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0.png" ContentType="image/png"/>
  <Override PartName="/word/media/rId25.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Kingswood</w:t>
      </w:r>
      <w:r>
        <w:t xml:space="preserve"> </w:t>
      </w:r>
      <w:r>
        <w:t xml:space="preserve">PNA</w:t>
      </w:r>
      <w:r>
        <w:t xml:space="preserve"> </w:t>
      </w:r>
      <w:r>
        <w:t xml:space="preserve">Locality</w:t>
      </w:r>
      <w:r>
        <w:t xml:space="preserve"> </w:t>
      </w:r>
      <w:r>
        <w:t xml:space="preserve">Profile</w:t>
      </w:r>
    </w:p>
    <w:bookmarkStart w:id="23" w:name="locality-overview"/>
    <w:p>
      <w:pPr>
        <w:pStyle w:val="Heading2"/>
      </w:pPr>
      <w:r>
        <w:t xml:space="preserve">Locality Overview</w:t>
      </w:r>
    </w:p>
    <w:p>
      <w:pPr>
        <w:pStyle w:val="FirstParagraph"/>
      </w:pPr>
      <w:r>
        <w:t xml:space="preserve">Kingswood PNA Locality in South Gloucestershire has an estimated population of 123,726 as of -</w:t>
      </w:r>
      <w:r>
        <w:t xml:space="preserve">. Summary statistics:</w:t>
      </w:r>
    </w:p>
    <w:p>
      <w:pPr>
        <w:numPr>
          <w:ilvl w:val="0"/>
          <w:numId w:val="1001"/>
        </w:numPr>
        <w:pStyle w:val="Compact"/>
      </w:pPr>
      <w:r>
        <w:t xml:space="preserve">51% of its residents are female, 49% are male.</w:t>
      </w:r>
    </w:p>
    <w:p>
      <w:pPr>
        <w:numPr>
          <w:ilvl w:val="0"/>
          <w:numId w:val="1001"/>
        </w:numPr>
        <w:pStyle w:val="Compact"/>
      </w:pPr>
      <w:r>
        <w:t xml:space="preserve">19.7% are 65 years and older.</w:t>
      </w:r>
    </w:p>
    <w:p>
      <w:pPr>
        <w:numPr>
          <w:ilvl w:val="0"/>
          <w:numId w:val="1001"/>
        </w:numPr>
        <w:pStyle w:val="Compact"/>
      </w:pPr>
      <w:r>
        <w:t xml:space="preserve">22.2% of its population live in the 20% most deprived areas of South Gloucestershire.</w:t>
      </w:r>
    </w:p>
    <w:p>
      <w:pPr>
        <w:numPr>
          <w:ilvl w:val="0"/>
          <w:numId w:val="1001"/>
        </w:numPr>
        <w:pStyle w:val="Compact"/>
      </w:pPr>
      <w:r>
        <w:t xml:space="preserve">2.6% live in the 20% most deprived areas of England.</w:t>
      </w:r>
    </w:p>
    <w:p>
      <w:pPr>
        <w:pStyle w:val="FirstParagraph"/>
      </w:pPr>
      <w:r>
        <w:rPr>
          <w:bCs/>
          <w:b/>
        </w:rPr>
        <w:t xml:space="preserve">Figure X:</w:t>
      </w:r>
      <w:r>
        <w:t xml:space="preserve"> </w:t>
      </w:r>
      <w:r>
        <w:t xml:space="preserve">Kingswood PNA Locality population breakdown by age &amp; sex (-</w:t>
      </w:r>
      <w: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6324600" cy="3952874"/>
                  <wp:effectExtent b="0" l="0" r="0" t="0"/>
                  <wp:docPr descr="" title="" id="21" name="Picture"/>
                  <a:graphic>
                    <a:graphicData uri="http://schemas.openxmlformats.org/drawingml/2006/picture">
                      <pic:pic>
                        <pic:nvPicPr>
                          <pic:cNvPr descr="quarto_profile_files/figure-docx/unnamed-chunk-2-1.png" id="22" name="Picture"/>
                          <pic:cNvPicPr>
                            <a:picLocks noChangeArrowheads="1" noChangeAspect="1"/>
                          </pic:cNvPicPr>
                        </pic:nvPicPr>
                        <pic:blipFill>
                          <a:blip r:embed="rId20"/>
                          <a:stretch>
                            <a:fillRect/>
                          </a:stretch>
                        </pic:blipFill>
                        <pic:spPr bwMode="auto">
                          <a:xfrm>
                            <a:off x="0" y="0"/>
                            <a:ext cx="6324600" cy="3952874"/>
                          </a:xfrm>
                          <a:prstGeom prst="rect">
                            <a:avLst/>
                          </a:prstGeom>
                          <a:noFill/>
                          <a:ln w="9525">
                            <a:noFill/>
                            <a:headEnd/>
                            <a:tailEnd/>
                          </a:ln>
                        </pic:spPr>
                      </pic:pic>
                    </a:graphicData>
                  </a:graphic>
                </wp:inline>
              </w:drawing>
            </w:r>
          </w:p>
          <w:p>
            <w:pPr>
              <w:jc w:val="center"/>
            </w:pPr>
            <w:pPr>
              <w:jc w:val="start"/>
              <w:spacing w:before="200"/>
              <w:pStyle w:val="ImageCaption"/>
            </w:pPr>
            <w:r>
              <w:t xml:space="preserve">Source: Office for National Statistics, mid-year small area population estimates.</w:t>
            </w:r>
          </w:p>
        </w:tc>
      </w:tr>
    </w:tbl>
    <w:bookmarkEnd w:id="23"/>
    <w:bookmarkStart w:id="24" w:name="overview-of-pharmacies"/>
    <w:p>
      <w:pPr>
        <w:pStyle w:val="Heading2"/>
      </w:pPr>
      <w:r>
        <w:t xml:space="preserve">Overview of Pharmacies</w:t>
      </w:r>
    </w:p>
    <w:p>
      <w:pPr>
        <w:pStyle w:val="FirstParagraph"/>
      </w:pPr>
      <w:r>
        <w:t xml:space="preserve">As of May 2025, there are 17 pharmacies in Kingswood PNA locality. There are four practices or branches of practices with dispensing doctors providing drugs and appliances to their own patients.</w:t>
      </w:r>
    </w:p>
    <w:p>
      <w:pPr>
        <w:pStyle w:val="BodyText"/>
      </w:pPr>
      <w:r>
        <w:t xml:space="preserve">Of the 17 pharmacies, there are:</w:t>
      </w:r>
    </w:p>
    <w:p>
      <w:pPr>
        <w:numPr>
          <w:ilvl w:val="0"/>
          <w:numId w:val="1002"/>
        </w:numPr>
      </w:pPr>
      <w:r>
        <w:t xml:space="preserve">17 providing Pharmacy First services.</w:t>
      </w:r>
    </w:p>
    <w:p>
      <w:pPr>
        <w:numPr>
          <w:ilvl w:val="0"/>
          <w:numId w:val="1002"/>
        </w:numPr>
      </w:pPr>
      <w:r>
        <w:t xml:space="preserve">11 independent pharmacies.</w:t>
      </w:r>
    </w:p>
    <w:p>
      <w:pPr>
        <w:numPr>
          <w:ilvl w:val="0"/>
          <w:numId w:val="1002"/>
        </w:numPr>
      </w:pPr>
      <w:r>
        <w:t xml:space="preserve">Six pharmacies owned by national pharmacy chains:</w:t>
      </w:r>
    </w:p>
    <w:p>
      <w:pPr>
        <w:numPr>
          <w:ilvl w:val="1"/>
          <w:numId w:val="1003"/>
        </w:numPr>
      </w:pPr>
      <w:r>
        <w:t xml:space="preserve">Three by Boots Pharmacy</w:t>
      </w:r>
    </w:p>
    <w:p>
      <w:pPr>
        <w:numPr>
          <w:ilvl w:val="1"/>
          <w:numId w:val="1003"/>
        </w:numPr>
      </w:pPr>
      <w:r>
        <w:t xml:space="preserve">Two by Well Pharmacy</w:t>
      </w:r>
    </w:p>
    <w:p>
      <w:pPr>
        <w:numPr>
          <w:ilvl w:val="1"/>
          <w:numId w:val="1003"/>
        </w:numPr>
      </w:pPr>
      <w:r>
        <w:t xml:space="preserve">One by Asda Pharmacy</w:t>
      </w:r>
    </w:p>
    <w:p>
      <w:pPr>
        <w:numPr>
          <w:ilvl w:val="0"/>
          <w:numId w:val="1002"/>
        </w:numPr>
      </w:pPr>
      <w:r>
        <w:t xml:space="preserve">15 pharmacies with 40-hour contracts and two pharmacies with 100-hour contracts. The 100-hour pharmacies are:</w:t>
      </w:r>
    </w:p>
    <w:p>
      <w:pPr>
        <w:numPr>
          <w:ilvl w:val="1"/>
          <w:numId w:val="1004"/>
        </w:numPr>
      </w:pPr>
      <w:r>
        <w:t xml:space="preserve">Boots Pharmacy, Unit D Gallagher Shopping Park, Aldermoor Way, Longwell Green</w:t>
      </w:r>
    </w:p>
    <w:p>
      <w:pPr>
        <w:numPr>
          <w:ilvl w:val="1"/>
          <w:numId w:val="1004"/>
        </w:numPr>
      </w:pPr>
      <w:r>
        <w:t xml:space="preserve">Asda Pharmacy, Craven Way, Longwell Green</w:t>
      </w:r>
    </w:p>
    <w:p>
      <w:pPr>
        <w:numPr>
          <w:ilvl w:val="0"/>
          <w:numId w:val="1002"/>
        </w:numPr>
      </w:pPr>
      <w:r>
        <w:t xml:space="preserve">One distance-selling pharmacy</w:t>
      </w:r>
    </w:p>
    <w:p>
      <w:pPr>
        <w:numPr>
          <w:ilvl w:val="0"/>
          <w:numId w:val="1002"/>
        </w:numPr>
      </w:pPr>
      <w:r>
        <w:t xml:space="preserve">No pharmacies with local pharmaceutical services contracts</w:t>
      </w:r>
    </w:p>
    <w:p>
      <w:pPr>
        <w:numPr>
          <w:ilvl w:val="0"/>
          <w:numId w:val="1002"/>
        </w:numPr>
      </w:pPr>
      <w:r>
        <w:t xml:space="preserve">No dispensing appliance contractors (DAC).</w:t>
      </w:r>
    </w:p>
    <w:p>
      <w:pPr>
        <w:pStyle w:val="FirstParagraph"/>
      </w:pPr>
      <w:r>
        <w:t xml:space="preserve">Tables X and X show the provision in Kingswood compared to other areas. Note that there is no national expectation or standard on the ratio of pharmacies to population. These ratios do not consider the size and staffing of pharmacies which will determine the size of the population they are able to serve.</w:t>
      </w:r>
    </w:p>
    <w:p>
      <w:pPr>
        <w:pStyle w:val="BodyText"/>
      </w:pPr>
      <w:r>
        <w:rPr>
          <w:bCs/>
          <w:b/>
        </w:rPr>
        <w:t xml:space="preserve">Table X:</w:t>
      </w:r>
      <w:r>
        <w:t xml:space="preserve"> </w:t>
      </w:r>
      <w:r>
        <w:t xml:space="preserve">Number and rate of pharmacies in Kingswood PNA Locality, South Gloucestershire, and the South West, May 2025.</w:t>
      </w:r>
    </w:p>
    <w:tbl>
      <w:tblPr>
        <w:tblStyle w:val="Table"/>
        <w:tblW w:type="pct" w:w="5000"/>
        <w:tblLook w:firstRow="1" w:lastRow="0" w:firstColumn="0" w:lastColumn="0" w:noHBand="0" w:noVBand="0" w:val="0020"/>
      </w:tblPr>
      <w:tblGrid>
        <w:gridCol w:w="1834"/>
        <w:gridCol w:w="1500"/>
        <w:gridCol w:w="1750"/>
        <w:gridCol w:w="2834"/>
      </w:tblGrid>
      <w:tr>
        <w:trPr>
          <w:tblHeader w:val="true"/>
        </w:trPr>
        <w:tc>
          <w:tcPr/>
          <w:p>
            <w:pPr>
              <w:pStyle w:val="Compact"/>
              <w:jc w:val="left"/>
            </w:pPr>
            <w:r>
              <w:t xml:space="preserve">Area</w:t>
            </w:r>
          </w:p>
        </w:tc>
        <w:tc>
          <w:tcPr/>
          <w:p>
            <w:pPr>
              <w:pStyle w:val="Compact"/>
              <w:jc w:val="left"/>
            </w:pPr>
            <w:r>
              <w:t xml:space="preserve">Latest population</w:t>
            </w:r>
          </w:p>
        </w:tc>
        <w:tc>
          <w:tcPr/>
          <w:p>
            <w:pPr>
              <w:pStyle w:val="Compact"/>
              <w:jc w:val="left"/>
            </w:pPr>
            <w:r>
              <w:t xml:space="preserve">Number of pharmacies</w:t>
            </w:r>
          </w:p>
        </w:tc>
        <w:tc>
          <w:tcPr/>
          <w:p>
            <w:pPr>
              <w:pStyle w:val="Compact"/>
              <w:jc w:val="left"/>
            </w:pPr>
            <w:r>
              <w:t xml:space="preserve">Pharmacies per 100,000 population</w:t>
            </w:r>
          </w:p>
        </w:tc>
      </w:tr>
      <w:tr>
        <w:tc>
          <w:tcPr/>
          <w:p>
            <w:pPr>
              <w:pStyle w:val="Compact"/>
              <w:jc w:val="left"/>
            </w:pPr>
            <w:r>
              <w:t xml:space="preserve">Locality</w:t>
            </w:r>
          </w:p>
        </w:tc>
        <w:tc>
          <w:tcPr/>
          <w:p>
            <w:pPr>
              <w:pStyle w:val="Compact"/>
              <w:jc w:val="left"/>
            </w:pPr>
            <w:r>
              <w:t xml:space="preserve">123,726</w:t>
            </w:r>
          </w:p>
        </w:tc>
        <w:tc>
          <w:tcPr/>
          <w:p>
            <w:pPr>
              <w:pStyle w:val="Compact"/>
              <w:jc w:val="left"/>
            </w:pPr>
            <w:r>
              <w:t xml:space="preserve">17</w:t>
            </w:r>
          </w:p>
        </w:tc>
        <w:tc>
          <w:tcPr/>
          <w:p>
            <w:pPr>
              <w:pStyle w:val="Compact"/>
              <w:jc w:val="left"/>
            </w:pPr>
            <w:r>
              <w:t xml:space="preserve">13.7</w:t>
            </w:r>
          </w:p>
        </w:tc>
      </w:tr>
      <w:tr>
        <w:tc>
          <w:tcPr/>
          <w:p>
            <w:pPr>
              <w:pStyle w:val="Compact"/>
              <w:jc w:val="left"/>
            </w:pPr>
            <w:r>
              <w:t xml:space="preserve">South Gloucestershire</w:t>
            </w:r>
          </w:p>
        </w:tc>
        <w:tc>
          <w:tcPr/>
          <w:p>
            <w:pPr>
              <w:pStyle w:val="Compact"/>
              <w:jc w:val="left"/>
            </w:pPr>
            <w:r>
              <w:t xml:space="preserve">299,439</w:t>
            </w:r>
          </w:p>
        </w:tc>
        <w:tc>
          <w:tcPr/>
          <w:p>
            <w:pPr>
              <w:pStyle w:val="Compact"/>
              <w:jc w:val="left"/>
            </w:pPr>
            <w:r>
              <w:t xml:space="preserve">46</w:t>
            </w:r>
          </w:p>
        </w:tc>
        <w:tc>
          <w:tcPr/>
          <w:p>
            <w:pPr>
              <w:pStyle w:val="Compact"/>
              <w:jc w:val="left"/>
            </w:pPr>
            <w:r>
              <w:t xml:space="preserve">15.4</w:t>
            </w:r>
          </w:p>
        </w:tc>
      </w:tr>
      <w:tr>
        <w:tc>
          <w:tcPr/>
          <w:p>
            <w:pPr>
              <w:pStyle w:val="Compact"/>
              <w:jc w:val="left"/>
            </w:pPr>
            <w:r>
              <w:t xml:space="preserve">South West</w:t>
            </w:r>
          </w:p>
        </w:tc>
        <w:tc>
          <w:tcPr/>
          <w:p>
            <w:pPr>
              <w:pStyle w:val="Compact"/>
              <w:jc w:val="left"/>
            </w:pPr>
            <w:r>
              <w:t xml:space="preserve">5,811,259</w:t>
            </w:r>
          </w:p>
        </w:tc>
        <w:tc>
          <w:tcPr/>
          <w:p>
            <w:pPr>
              <w:pStyle w:val="Compact"/>
              <w:jc w:val="left"/>
            </w:pPr>
            <w:r>
              <w:t xml:space="preserve">919</w:t>
            </w:r>
          </w:p>
        </w:tc>
        <w:tc>
          <w:tcPr/>
          <w:p>
            <w:pPr>
              <w:pStyle w:val="Compact"/>
              <w:jc w:val="left"/>
            </w:pPr>
            <w:r>
              <w:t xml:space="preserve">15.8</w:t>
            </w:r>
          </w:p>
        </w:tc>
      </w:tr>
    </w:tbl>
    <w:p>
      <w:pPr>
        <w:pStyle w:val="BodyText"/>
      </w:pPr>
      <w:r>
        <w:rPr>
          <w:iCs/>
          <w:i/>
        </w:rPr>
        <w:t xml:space="preserve">Source: NHS South West Collaborative Commissioning Hub</w:t>
      </w:r>
    </w:p>
    <w:p>
      <w:pPr>
        <w:pStyle w:val="BodyText"/>
      </w:pPr>
      <w:r>
        <w:rPr>
          <w:iCs/>
          <w:i/>
        </w:rPr>
        <w:t xml:space="preserve">Notes: Populations for localities are based on the latest ONS mid-year population estimates for small areas (mid-2022), and populations for local authority and region are based on the latest subnational mid-year estimates (mid-2023).</w:t>
      </w:r>
    </w:p>
    <w:p>
      <w:pPr>
        <w:pStyle w:val="BodyText"/>
      </w:pPr>
      <w:r>
        <w:rPr>
          <w:bCs/>
          <w:b/>
        </w:rPr>
        <w:t xml:space="preserve">Table X:</w:t>
      </w:r>
      <w:r>
        <w:t xml:space="preserve"> </w:t>
      </w:r>
      <w:r>
        <w:t xml:space="preserve">Number and rate of items dispensed in Kingswood PNA Locality, 2023/24 (last full year of data).</w:t>
      </w:r>
    </w:p>
    <w:tbl>
      <w:tblPr>
        <w:tblStyle w:val="Table"/>
        <w:tblW w:type="pct" w:w="5000"/>
        <w:tblLook w:firstRow="1" w:lastRow="0" w:firstColumn="0" w:lastColumn="0" w:noHBand="0" w:noVBand="0" w:val="0020"/>
      </w:tblPr>
      <w:tblGrid>
        <w:gridCol w:w="2074"/>
        <w:gridCol w:w="1037"/>
        <w:gridCol w:w="2451"/>
        <w:gridCol w:w="2357"/>
      </w:tblGrid>
      <w:tr>
        <w:trPr>
          <w:tblHeader w:val="true"/>
        </w:trPr>
        <w:tc>
          <w:tcPr/>
          <w:p>
            <w:pPr>
              <w:pStyle w:val="Compact"/>
              <w:jc w:val="left"/>
            </w:pPr>
            <w:r>
              <w:t xml:space="preserve">Area</w:t>
            </w:r>
          </w:p>
        </w:tc>
        <w:tc>
          <w:tcPr/>
          <w:p>
            <w:pPr>
              <w:pStyle w:val="Compact"/>
              <w:jc w:val="left"/>
            </w:pPr>
            <w:r>
              <w:t xml:space="preserve">Population</w:t>
            </w:r>
          </w:p>
        </w:tc>
        <w:tc>
          <w:tcPr/>
          <w:p>
            <w:pPr>
              <w:pStyle w:val="Compact"/>
              <w:jc w:val="left"/>
            </w:pPr>
            <w:r>
              <w:t xml:space="preserve">Number of dispensed items</w:t>
            </w:r>
          </w:p>
        </w:tc>
        <w:tc>
          <w:tcPr/>
          <w:p>
            <w:pPr>
              <w:pStyle w:val="Compact"/>
              <w:jc w:val="left"/>
            </w:pPr>
            <w:r>
              <w:t xml:space="preserve">Items dispensed per head</w:t>
            </w:r>
          </w:p>
        </w:tc>
      </w:tr>
      <w:tr>
        <w:tc>
          <w:tcPr/>
          <w:p>
            <w:pPr>
              <w:pStyle w:val="Compact"/>
              <w:jc w:val="left"/>
            </w:pPr>
            <w:r>
              <w:t xml:space="preserve">Locality</w:t>
            </w:r>
          </w:p>
        </w:tc>
        <w:tc>
          <w:tcPr/>
          <w:p>
            <w:pPr>
              <w:pStyle w:val="Compact"/>
              <w:jc w:val="left"/>
            </w:pPr>
            <w:r>
              <w:t xml:space="preserve">123,726</w:t>
            </w:r>
          </w:p>
        </w:tc>
        <w:tc>
          <w:tcPr/>
          <w:p>
            <w:pPr>
              <w:pStyle w:val="Compact"/>
              <w:jc w:val="left"/>
            </w:pPr>
            <w:r>
              <w:t xml:space="preserve">1,811,879</w:t>
            </w:r>
          </w:p>
        </w:tc>
        <w:tc>
          <w:tcPr/>
          <w:p>
            <w:pPr>
              <w:pStyle w:val="Compact"/>
              <w:jc w:val="left"/>
            </w:pPr>
            <w:r>
              <w:t xml:space="preserve">14.6</w:t>
            </w:r>
          </w:p>
        </w:tc>
      </w:tr>
      <w:tr>
        <w:tc>
          <w:tcPr/>
          <w:p>
            <w:pPr>
              <w:pStyle w:val="Compact"/>
              <w:jc w:val="left"/>
            </w:pPr>
            <w:r>
              <w:t xml:space="preserve">South Gloucestershire</w:t>
            </w:r>
          </w:p>
        </w:tc>
        <w:tc>
          <w:tcPr/>
          <w:p>
            <w:pPr>
              <w:pStyle w:val="Compact"/>
              <w:jc w:val="left"/>
            </w:pPr>
            <w:r>
              <w:t xml:space="preserve">299,439</w:t>
            </w:r>
          </w:p>
        </w:tc>
        <w:tc>
          <w:tcPr/>
          <w:p>
            <w:pPr>
              <w:pStyle w:val="Compact"/>
              <w:jc w:val="left"/>
            </w:pPr>
            <w:r>
              <w:t xml:space="preserve">5,155,722</w:t>
            </w:r>
          </w:p>
        </w:tc>
        <w:tc>
          <w:tcPr/>
          <w:p>
            <w:pPr>
              <w:pStyle w:val="Compact"/>
              <w:jc w:val="left"/>
            </w:pPr>
            <w:r>
              <w:t xml:space="preserve">17.2</w:t>
            </w:r>
          </w:p>
        </w:tc>
      </w:tr>
      <w:tr>
        <w:tc>
          <w:tcPr/>
          <w:p>
            <w:pPr>
              <w:pStyle w:val="Compact"/>
              <w:jc w:val="left"/>
            </w:pPr>
            <w:r>
              <w:t xml:space="preserve">South West</w:t>
            </w:r>
          </w:p>
        </w:tc>
        <w:tc>
          <w:tcPr/>
          <w:p>
            <w:pPr>
              <w:pStyle w:val="Compact"/>
              <w:jc w:val="left"/>
            </w:pPr>
            <w:r>
              <w:t xml:space="preserve">5,811,259</w:t>
            </w:r>
          </w:p>
        </w:tc>
        <w:tc>
          <w:tcPr/>
          <w:p>
            <w:pPr>
              <w:pStyle w:val="Compact"/>
              <w:jc w:val="left"/>
            </w:pPr>
            <w:r>
              <w:t xml:space="preserve">99,164,702</w:t>
            </w:r>
          </w:p>
        </w:tc>
        <w:tc>
          <w:tcPr/>
          <w:p>
            <w:pPr>
              <w:pStyle w:val="Compact"/>
              <w:jc w:val="left"/>
            </w:pPr>
            <w:r>
              <w:t xml:space="preserve">17.1</w:t>
            </w:r>
          </w:p>
        </w:tc>
      </w:tr>
      <w:tr>
        <w:tc>
          <w:tcPr/>
          <w:p>
            <w:pPr>
              <w:pStyle w:val="Compact"/>
              <w:jc w:val="left"/>
            </w:pPr>
            <w:r>
              <w:t xml:space="preserve">England</w:t>
            </w:r>
          </w:p>
        </w:tc>
        <w:tc>
          <w:tcPr/>
          <w:p>
            <w:pPr>
              <w:pStyle w:val="Compact"/>
              <w:jc w:val="left"/>
            </w:pPr>
            <w:r>
              <w:t xml:space="preserve">57,690,323</w:t>
            </w:r>
          </w:p>
        </w:tc>
        <w:tc>
          <w:tcPr/>
          <w:p>
            <w:pPr>
              <w:pStyle w:val="Compact"/>
              <w:jc w:val="left"/>
            </w:pPr>
            <w:r>
              <w:t xml:space="preserve">1,112,920,890</w:t>
            </w:r>
          </w:p>
        </w:tc>
        <w:tc>
          <w:tcPr/>
          <w:p>
            <w:pPr>
              <w:pStyle w:val="Compact"/>
              <w:jc w:val="left"/>
            </w:pPr>
            <w:r>
              <w:t xml:space="preserve">19.3</w:t>
            </w:r>
          </w:p>
        </w:tc>
      </w:tr>
    </w:tbl>
    <w:p>
      <w:pPr>
        <w:pStyle w:val="BodyText"/>
      </w:pPr>
      <w:r>
        <w:rPr>
          <w:iCs/>
          <w:i/>
        </w:rPr>
        <w:t xml:space="preserve">Source: NHS Business Services Authority</w:t>
      </w:r>
    </w:p>
    <w:p>
      <w:pPr>
        <w:pStyle w:val="BodyText"/>
      </w:pPr>
      <w:r>
        <w:rPr>
          <w:iCs/>
          <w:i/>
        </w:rPr>
        <w:t xml:space="preserve">Notes: Populations for localities are based on the latest ONS mid-year population estimates for small areas (mid-2022), and populations for local authority and region are based on the latest subnational mid-year estimates (mid-2023).</w:t>
      </w:r>
    </w:p>
    <w:bookmarkEnd w:id="24"/>
    <w:bookmarkStart w:id="28" w:name="access-to-essential-services"/>
    <w:p>
      <w:pPr>
        <w:pStyle w:val="Heading2"/>
      </w:pPr>
      <w:r>
        <w:t xml:space="preserve">Access to Essential Services</w:t>
      </w:r>
    </w:p>
    <w:p>
      <w:pPr>
        <w:pStyle w:val="FirstParagraph"/>
      </w:pPr>
      <w:r>
        <w:t xml:space="preserve">As of May 2025, in Kingswood PNA locality, there are:</w:t>
      </w:r>
    </w:p>
    <w:p>
      <w:pPr>
        <w:numPr>
          <w:ilvl w:val="0"/>
          <w:numId w:val="1005"/>
        </w:numPr>
        <w:pStyle w:val="Compact"/>
      </w:pPr>
      <w:r>
        <w:t xml:space="preserve">Two pharmacies open seven days a week</w:t>
      </w:r>
    </w:p>
    <w:p>
      <w:pPr>
        <w:numPr>
          <w:ilvl w:val="0"/>
          <w:numId w:val="1005"/>
        </w:numPr>
        <w:pStyle w:val="Compact"/>
      </w:pPr>
      <w:r>
        <w:t xml:space="preserve">Nine pharmacies open six days a week</w:t>
      </w:r>
    </w:p>
    <w:p>
      <w:pPr>
        <w:numPr>
          <w:ilvl w:val="0"/>
          <w:numId w:val="1005"/>
        </w:numPr>
        <w:pStyle w:val="Compact"/>
      </w:pPr>
      <w:r>
        <w:t xml:space="preserve">Six pharmacies open five days a week</w:t>
      </w:r>
    </w:p>
    <w:p>
      <w:pPr>
        <w:numPr>
          <w:ilvl w:val="0"/>
          <w:numId w:val="1005"/>
        </w:numPr>
        <w:pStyle w:val="Compact"/>
      </w:pPr>
      <w:r>
        <w:t xml:space="preserve">No pharmacies open before 8:00 at least five days a week</w:t>
      </w:r>
    </w:p>
    <w:p>
      <w:pPr>
        <w:numPr>
          <w:ilvl w:val="0"/>
          <w:numId w:val="1005"/>
        </w:numPr>
        <w:pStyle w:val="Compact"/>
      </w:pPr>
      <w:r>
        <w:t xml:space="preserve">Four pharmacies open past 18:30 at least five days a week</w:t>
      </w:r>
    </w:p>
    <w:p>
      <w:pPr>
        <w:pStyle w:val="FirstParagraph"/>
      </w:pPr>
      <w:r>
        <w:rPr>
          <w:bCs/>
          <w:b/>
        </w:rPr>
        <w:t xml:space="preserve">Figure X:</w:t>
      </w:r>
      <w:r>
        <w:t xml:space="preserve"> </w:t>
      </w:r>
      <w:r>
        <w:t xml:space="preserve">Kingswood PNA Locality pharmacy coverage across the week, May 2025.</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6324600" cy="3952874"/>
                  <wp:effectExtent b="0" l="0" r="0" t="0"/>
                  <wp:docPr descr="" title="" id="26" name="Picture"/>
                  <a:graphic>
                    <a:graphicData uri="http://schemas.openxmlformats.org/drawingml/2006/picture">
                      <pic:pic>
                        <pic:nvPicPr>
                          <pic:cNvPr descr="quarto_profile_files/figure-docx/unnamed-chunk-7-1.png" id="27" name="Picture"/>
                          <pic:cNvPicPr>
                            <a:picLocks noChangeArrowheads="1" noChangeAspect="1"/>
                          </pic:cNvPicPr>
                        </pic:nvPicPr>
                        <pic:blipFill>
                          <a:blip r:embed="rId25"/>
                          <a:stretch>
                            <a:fillRect/>
                          </a:stretch>
                        </pic:blipFill>
                        <pic:spPr bwMode="auto">
                          <a:xfrm>
                            <a:off x="0" y="0"/>
                            <a:ext cx="6324600" cy="3952874"/>
                          </a:xfrm>
                          <a:prstGeom prst="rect">
                            <a:avLst/>
                          </a:prstGeom>
                          <a:noFill/>
                          <a:ln w="9525">
                            <a:noFill/>
                            <a:headEnd/>
                            <a:tailEnd/>
                          </a:ln>
                        </pic:spPr>
                      </pic:pic>
                    </a:graphicData>
                  </a:graphic>
                </wp:inline>
              </w:drawing>
            </w:r>
          </w:p>
          <w:p>
            <w:pPr>
              <w:jc w:val="center"/>
            </w:pPr>
            <w:pPr>
              <w:jc w:val="start"/>
              <w:spacing w:before="200"/>
              <w:pStyle w:val="ImageCaption"/>
            </w:pPr>
            <w:r>
              <w:t xml:space="preserve">Source: NHS South West Collaborative Commissioning Hub</w:t>
            </w:r>
          </w:p>
        </w:tc>
      </w:tr>
    </w:tbl>
    <w:bookmarkEnd w:id="28"/>
    <w:bookmarkStart w:id="29" w:name="X43703d1ce5b9337bb4c8e1aab6f0ef348154d4f"/>
    <w:p>
      <w:pPr>
        <w:pStyle w:val="Heading2"/>
      </w:pPr>
      <w:r>
        <w:t xml:space="preserve">Provision of Advanced and Enhanced Services</w:t>
      </w:r>
    </w:p>
    <w:p>
      <w:pPr>
        <w:pStyle w:val="FirstParagraph"/>
      </w:pPr>
      <w:r>
        <w:t xml:space="preserve">Below is a summary of the provision of advanced and enhanced services in Kingswood PNA locality as of May 2025.</w:t>
      </w:r>
    </w:p>
    <w:p>
      <w:pPr>
        <w:pStyle w:val="BodyText"/>
      </w:pPr>
      <w:r>
        <w:rPr>
          <w:bCs/>
          <w:b/>
        </w:rPr>
        <w:t xml:space="preserve">New Medicine Service</w:t>
      </w:r>
      <w:r>
        <w:t xml:space="preserve"> </w:t>
      </w:r>
      <w:r>
        <w:t xml:space="preserve">(NMS) accreditation: 17 pharmacies. In 2023/24 (the last full year of data), there were 7,242 NMSs undertaken.</w:t>
      </w:r>
    </w:p>
    <w:p>
      <w:pPr>
        <w:pStyle w:val="BodyText"/>
      </w:pPr>
      <w:r>
        <w:rPr>
          <w:bCs/>
          <w:b/>
        </w:rPr>
        <w:t xml:space="preserve">Specialist Medicines Provider</w:t>
      </w:r>
      <w:r>
        <w:t xml:space="preserve">: One pharmacy.</w:t>
      </w:r>
    </w:p>
    <w:p>
      <w:pPr>
        <w:pStyle w:val="BodyText"/>
      </w:pPr>
      <w:r>
        <w:rPr>
          <w:bCs/>
          <w:b/>
        </w:rPr>
        <w:t xml:space="preserve">Influenza vaccination</w:t>
      </w:r>
      <w:r>
        <w:t xml:space="preserve">: 16 pharmacies providing this advanced service.</w:t>
      </w:r>
    </w:p>
    <w:p>
      <w:pPr>
        <w:pStyle w:val="BodyText"/>
      </w:pPr>
      <w:r>
        <w:rPr>
          <w:bCs/>
          <w:b/>
        </w:rPr>
        <w:t xml:space="preserve">Appliance Use Reviews</w:t>
      </w:r>
      <w:r>
        <w:t xml:space="preserve">: No pharmacies providing this service. Many appliances will be dispensed by DACs based around the country, which may provide this service.</w:t>
      </w:r>
    </w:p>
    <w:p>
      <w:pPr>
        <w:pStyle w:val="BodyText"/>
      </w:pPr>
      <w:r>
        <w:rPr>
          <w:bCs/>
          <w:b/>
        </w:rPr>
        <w:t xml:space="preserve">NHS Pharmacy contraception</w:t>
      </w:r>
      <w:r>
        <w:t xml:space="preserve">: 14 pharmacies providing this service.</w:t>
      </w:r>
    </w:p>
    <w:p>
      <w:pPr>
        <w:pStyle w:val="BodyText"/>
      </w:pPr>
      <w:r>
        <w:rPr>
          <w:bCs/>
          <w:b/>
        </w:rPr>
        <w:t xml:space="preserve">Lateral Flow Device test supply</w:t>
      </w:r>
      <w:r>
        <w:t xml:space="preserve">: 13 pharmacies providing this service.</w:t>
      </w:r>
    </w:p>
    <w:p>
      <w:pPr>
        <w:pStyle w:val="BodyText"/>
      </w:pPr>
      <w:r>
        <w:rPr>
          <w:bCs/>
          <w:b/>
        </w:rPr>
        <w:t xml:space="preserve">Hypertension Case-Finding</w:t>
      </w:r>
      <w:r>
        <w:t xml:space="preserve">: 17 pharmacies providing this service.</w:t>
      </w:r>
    </w:p>
    <w:p>
      <w:pPr>
        <w:pStyle w:val="BodyText"/>
      </w:pPr>
      <w:r>
        <w:rPr>
          <w:bCs/>
          <w:b/>
        </w:rPr>
        <w:t xml:space="preserve">Stop Smoking</w:t>
      </w:r>
      <w:r>
        <w:t xml:space="preserve">: Seven pharmacies providing this service.</w:t>
      </w:r>
    </w:p>
    <w:bookmarkEnd w:id="29"/>
    <w:sectPr w:rsidR="002B4CF8" w:rsidRPr="00AA0693" w:rsidSect="00A25CE0">
      <w:pgSz w:h="15840" w:w="12240"/>
      <w:pgMar w:bottom="1134" w:footer="720" w:gutter="0" w:header="720" w:left="1134" w:right="1134" w:top="1134"/>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C0DC6A4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601ED6D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11823878" w:numId="1">
    <w:abstractNumId w:val="0"/>
  </w:num>
  <w:num w16cid:durableId="1489637669" w:numId="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25CE0"/>
    <w:rPr>
      <w:rFonts w:ascii="Arial" w:hAnsi="Arial"/>
    </w:rPr>
  </w:style>
  <w:style w:styleId="Heading1" w:type="paragraph">
    <w:name w:val="heading 1"/>
    <w:basedOn w:val="Normal"/>
    <w:next w:val="BodyText"/>
    <w:uiPriority w:val="9"/>
    <w:qFormat/>
    <w:rsid w:val="00A25CE0"/>
    <w:pPr>
      <w:keepNext/>
      <w:keepLines/>
      <w:spacing w:after="0" w:before="480"/>
      <w:outlineLvl w:val="0"/>
    </w:pPr>
    <w:rPr>
      <w:rFonts w:cstheme="majorBidi" w:eastAsiaTheme="majorEastAsia"/>
      <w:b/>
      <w:bCs/>
      <w:color w:val="1C1F63"/>
      <w:sz w:val="32"/>
      <w:szCs w:val="32"/>
    </w:rPr>
  </w:style>
  <w:style w:styleId="Heading2" w:type="paragraph">
    <w:name w:val="heading 2"/>
    <w:basedOn w:val="Normal"/>
    <w:next w:val="BodyText"/>
    <w:uiPriority w:val="9"/>
    <w:unhideWhenUsed/>
    <w:qFormat/>
    <w:rsid w:val="00CC325E"/>
    <w:pPr>
      <w:keepNext/>
      <w:keepLines/>
      <w:spacing w:after="0" w:before="480"/>
      <w:outlineLvl w:val="1"/>
    </w:pPr>
    <w:rPr>
      <w:rFonts w:cstheme="majorBidi" w:eastAsiaTheme="majorEastAsia"/>
      <w:b/>
      <w:bCs/>
      <w:color w:val="1C1F63"/>
      <w:sz w:val="28"/>
      <w:szCs w:val="28"/>
    </w:rPr>
  </w:style>
  <w:style w:styleId="Heading3" w:type="paragraph">
    <w:name w:val="heading 3"/>
    <w:basedOn w:val="Normal"/>
    <w:next w:val="BodyText"/>
    <w:uiPriority w:val="9"/>
    <w:unhideWhenUsed/>
    <w:qFormat/>
    <w:rsid w:val="00A25CE0"/>
    <w:pPr>
      <w:keepNext/>
      <w:keepLines/>
      <w:spacing w:after="0" w:before="200"/>
      <w:outlineLvl w:val="2"/>
    </w:pPr>
    <w:rPr>
      <w:rFonts w:cstheme="majorBidi" w:eastAsiaTheme="majorEastAsia"/>
      <w:b/>
      <w:bCs/>
      <w:color w:val="1C1F63"/>
    </w:rPr>
  </w:style>
  <w:style w:styleId="Heading4" w:type="paragraph">
    <w:name w:val="heading 4"/>
    <w:basedOn w:val="Normal"/>
    <w:next w:val="BodyText"/>
    <w:uiPriority w:val="9"/>
    <w:unhideWhenUsed/>
    <w:qFormat/>
    <w:rsid w:val="00A25CE0"/>
    <w:pPr>
      <w:keepNext/>
      <w:keepLines/>
      <w:spacing w:after="0" w:before="200"/>
      <w:outlineLvl w:val="3"/>
    </w:pPr>
    <w:rPr>
      <w:rFonts w:cstheme="majorBidi" w:eastAsiaTheme="majorEastAsia"/>
      <w:bCs/>
      <w:i/>
      <w:color w:val="1C1F63"/>
    </w:rPr>
  </w:style>
  <w:style w:styleId="Heading5" w:type="paragraph">
    <w:name w:val="heading 5"/>
    <w:basedOn w:val="Normal"/>
    <w:next w:val="BodyText"/>
    <w:uiPriority w:val="9"/>
    <w:unhideWhenUsed/>
    <w:qFormat/>
    <w:rsid w:val="00A25CE0"/>
    <w:pPr>
      <w:keepNext/>
      <w:keepLines/>
      <w:spacing w:after="0" w:before="200"/>
      <w:outlineLvl w:val="4"/>
    </w:pPr>
    <w:rPr>
      <w:rFonts w:cstheme="majorBidi" w:eastAsiaTheme="majorEastAsia"/>
      <w:iCs/>
      <w:color w:val="1C1F63"/>
    </w:rPr>
  </w:style>
  <w:style w:styleId="Heading6" w:type="paragraph">
    <w:name w:val="heading 6"/>
    <w:basedOn w:val="Normal"/>
    <w:next w:val="BodyText"/>
    <w:uiPriority w:val="9"/>
    <w:unhideWhenUsed/>
    <w:qFormat/>
    <w:rsid w:val="00A25CE0"/>
    <w:pPr>
      <w:keepNext/>
      <w:keepLines/>
      <w:spacing w:after="0" w:before="200"/>
      <w:outlineLvl w:val="5"/>
    </w:pPr>
    <w:rPr>
      <w:rFonts w:cstheme="majorBidi" w:eastAsiaTheme="majorEastAsia"/>
      <w:color w:val="1C1F63"/>
    </w:rPr>
  </w:style>
  <w:style w:styleId="Heading7" w:type="paragraph">
    <w:name w:val="heading 7"/>
    <w:basedOn w:val="Normal"/>
    <w:next w:val="BodyText"/>
    <w:uiPriority w:val="9"/>
    <w:unhideWhenUsed/>
    <w:qFormat/>
    <w:rsid w:val="00A25CE0"/>
    <w:pPr>
      <w:keepNext/>
      <w:keepLines/>
      <w:spacing w:after="0" w:before="200"/>
      <w:outlineLvl w:val="6"/>
    </w:pPr>
    <w:rPr>
      <w:rFonts w:cstheme="majorBidi" w:eastAsiaTheme="majorEastAsia"/>
      <w:color w:val="1C1F63"/>
    </w:rPr>
  </w:style>
  <w:style w:styleId="Heading8" w:type="paragraph">
    <w:name w:val="heading 8"/>
    <w:basedOn w:val="Normal"/>
    <w:next w:val="BodyText"/>
    <w:uiPriority w:val="9"/>
    <w:unhideWhenUsed/>
    <w:qFormat/>
    <w:rsid w:val="00A25CE0"/>
    <w:pPr>
      <w:keepNext/>
      <w:keepLines/>
      <w:spacing w:after="0" w:before="200"/>
      <w:outlineLvl w:val="7"/>
    </w:pPr>
    <w:rPr>
      <w:rFonts w:cstheme="majorBidi" w:eastAsiaTheme="majorEastAsia"/>
      <w:color w:val="1C1F63"/>
    </w:rPr>
  </w:style>
  <w:style w:styleId="Heading9" w:type="paragraph">
    <w:name w:val="heading 9"/>
    <w:basedOn w:val="Normal"/>
    <w:next w:val="BodyText"/>
    <w:uiPriority w:val="9"/>
    <w:unhideWhenUsed/>
    <w:qFormat/>
    <w:rsid w:val="00DF161D"/>
    <w:pPr>
      <w:keepNext/>
      <w:keepLines/>
      <w:spacing w:after="0" w:before="200"/>
      <w:outlineLvl w:val="8"/>
    </w:pPr>
    <w:rPr>
      <w:rFonts w:cstheme="majorBidi" w:eastAsiaTheme="majorEastAsia"/>
      <w:color w:themeColor="background1" w:val="FFFFFF"/>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A25CE0"/>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A25CE0"/>
    <w:pPr>
      <w:keepNext/>
      <w:keepLines/>
      <w:spacing w:after="240" w:before="480"/>
    </w:pPr>
    <w:rPr>
      <w:rFonts w:ascii="Arial Black" w:cstheme="majorBidi" w:eastAsiaTheme="majorEastAsia" w:hAnsi="Arial Black"/>
      <w:b/>
      <w:bCs/>
      <w:color w:val="1C1F63"/>
      <w:sz w:val="36"/>
      <w:szCs w:val="36"/>
    </w:rPr>
  </w:style>
  <w:style w:styleId="Subtitle" w:type="paragraph">
    <w:name w:val="Subtitle"/>
    <w:basedOn w:val="Title"/>
    <w:next w:val="BodyText"/>
    <w:qFormat/>
    <w:pPr>
      <w:spacing w:before="240"/>
      <w:jc w:val="center"/>
    </w:pPr>
    <w:rPr>
      <w:sz w:val="30"/>
      <w:szCs w:val="30"/>
    </w:rPr>
  </w:style>
  <w:style w:customStyle="1" w:styleId="Author" w:type="paragraph">
    <w:name w:val="Author"/>
    <w:next w:val="BodyText"/>
    <w:qFormat/>
    <w:rsid w:val="00A25CE0"/>
    <w:pPr>
      <w:keepNext/>
      <w:keepLines/>
      <w:jc w:val="center"/>
    </w:pPr>
    <w:rPr>
      <w:rFonts w:ascii="Arial" w:hAnsi="Arial"/>
    </w:rPr>
  </w:style>
  <w:style w:styleId="Date" w:type="paragraph">
    <w:name w:val="Date"/>
    <w:next w:val="BodyText"/>
    <w:qFormat/>
    <w:rsid w:val="00A25CE0"/>
    <w:pPr>
      <w:keepNext/>
      <w:keepLines/>
      <w:jc w:val="center"/>
    </w:pPr>
    <w:rPr>
      <w:rFonts w:ascii="Arial" w:hAnsi="Arial"/>
    </w:rPr>
  </w:style>
  <w:style w:customStyle="1" w:styleId="Abstract" w:type="paragraph">
    <w:name w:val="Abstract"/>
    <w:basedOn w:val="Normal"/>
    <w:next w:val="BodyText"/>
    <w:qFormat/>
    <w:rsid w:val="00A25CE0"/>
    <w:pPr>
      <w:keepNext/>
      <w:keepLines/>
      <w:spacing w:after="300" w:before="300"/>
    </w:pPr>
    <w:rPr>
      <w:sz w:val="20"/>
      <w:szCs w:val="20"/>
    </w:rPr>
  </w:style>
  <w:style w:styleId="Bibliography" w:type="paragraph">
    <w:name w:val="Bibliography"/>
    <w:basedOn w:val="Normal"/>
    <w:qFormat/>
    <w:rsid w:val="00A25CE0"/>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A25CE0"/>
    <w:pPr>
      <w:spacing w:before="240" w:line="259" w:lineRule="auto"/>
      <w:outlineLvl w:val="9"/>
    </w:pPr>
    <w:rPr>
      <w:b w:val="0"/>
      <w:bCs w:val="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Header" w:type="paragraph">
    <w:name w:val="header"/>
    <w:basedOn w:val="Normal"/>
    <w:link w:val="HeaderChar"/>
    <w:rsid w:val="00F70E5A"/>
    <w:pPr>
      <w:tabs>
        <w:tab w:pos="4513" w:val="center"/>
        <w:tab w:pos="9026" w:val="right"/>
      </w:tabs>
      <w:spacing w:after="0"/>
    </w:pPr>
  </w:style>
  <w:style w:customStyle="1" w:styleId="HeaderChar" w:type="character">
    <w:name w:val="Header Char"/>
    <w:basedOn w:val="DefaultParagraphFont"/>
    <w:link w:val="Header"/>
    <w:rsid w:val="00F70E5A"/>
    <w:rPr>
      <w:rFonts w:ascii="Arial" w:hAnsi="Arial"/>
    </w:rPr>
  </w:style>
  <w:style w:styleId="Footer" w:type="paragraph">
    <w:name w:val="footer"/>
    <w:basedOn w:val="Normal"/>
    <w:link w:val="FooterChar"/>
    <w:rsid w:val="00F70E5A"/>
    <w:pPr>
      <w:tabs>
        <w:tab w:pos="4513" w:val="center"/>
        <w:tab w:pos="9026" w:val="right"/>
      </w:tabs>
      <w:spacing w:after="0"/>
    </w:pPr>
  </w:style>
  <w:style w:customStyle="1" w:styleId="FooterChar" w:type="character">
    <w:name w:val="Footer Char"/>
    <w:basedOn w:val="DefaultParagraphFont"/>
    <w:link w:val="Footer"/>
    <w:rsid w:val="00F70E5A"/>
    <w:rPr>
      <w:rFonts w:ascii="Arial" w:hAnsi="Arial"/>
    </w:rPr>
  </w:style>
  <w:style w:styleId="TableGrid" w:type="table">
    <w:name w:val="Table Grid"/>
    <w:basedOn w:val="TableNormal"/>
    <w:rsid w:val="00D432A9"/>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footnotes" Target="footnotes.xml"/><Relationship Id="rId25" Type="http://schemas.openxmlformats.org/officeDocument/2006/relationships/image" Target="media/rId25.png"/><Relationship Id="rId2" Type="http://schemas.openxmlformats.org/officeDocument/2006/relationships/styles" Target="styles.xml"/><Relationship Id="rId20" Type="http://schemas.openxmlformats.org/officeDocument/2006/relationships/image" Target="media/rId20.png"/><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8" Type="http://schemas.openxmlformats.org/officeDocument/2006/relationships/customXml" Target="../customXml/item3.xml"/><Relationship Id="rId4" Type="http://schemas.openxmlformats.org/officeDocument/2006/relationships/webSettings" Target="webSettings.xml"/><Relationship Id="rId27" Type="http://schemas.openxmlformats.org/officeDocument/2006/relationships/customXml" Target="../customXml/item2.xml"/></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45FD19D15EEB4F856804E30AE6C910" ma:contentTypeVersion="19" ma:contentTypeDescription="Create a new document." ma:contentTypeScope="" ma:versionID="c46255a99c72d0de6965ece9445551b0">
  <xsd:schema xmlns:xsd="http://www.w3.org/2001/XMLSchema" xmlns:xs="http://www.w3.org/2001/XMLSchema" xmlns:p="http://schemas.microsoft.com/office/2006/metadata/properties" xmlns:ns2="2cb04cb6-fd46-45ab-a0b1-cdeedec8e6ae" xmlns:ns3="53d9a618-c0fc-4378-be70-69d4cc9b9182" xmlns:ns4="b4ff75f0-9bd5-40ee-9010-33523d454cfa" targetNamespace="http://schemas.microsoft.com/office/2006/metadata/properties" ma:root="true" ma:fieldsID="98ddafb2fddb26920fa32bfe788e6dc1" ns2:_="" ns3:_="" ns4:_="">
    <xsd:import namespace="2cb04cb6-fd46-45ab-a0b1-cdeedec8e6ae"/>
    <xsd:import namespace="53d9a618-c0fc-4378-be70-69d4cc9b9182"/>
    <xsd:import namespace="b4ff75f0-9bd5-40ee-9010-33523d454c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ObjectDetectorVersions" minOccurs="0"/>
                <xsd:element ref="ns2:Sensitivedata" minOccurs="0"/>
                <xsd:element ref="ns2:Retention_x0020_end_x0020_date"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b04cb6-fd46-45ab-a0b1-cdeedec8e6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b0f5359-d226-4d63-80c6-79d877f0b9e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Sensitivedata" ma:index="24" nillable="true" ma:displayName="Sensitive data" ma:default="0" ma:format="Dropdown" ma:internalName="Sensitivedata">
      <xsd:simpleType>
        <xsd:restriction base="dms:Boolean"/>
      </xsd:simpleType>
    </xsd:element>
    <xsd:element name="Retention_x0020_end_x0020_date" ma:index="25" nillable="true" ma:displayName="Retention end date" ma:format="DateOnly" ma:internalName="Retention_x0020_end_x0020_date">
      <xsd:simpleType>
        <xsd:restriction base="dms:DateTime"/>
      </xsd:simpleType>
    </xsd:element>
    <xsd:element name="Notes" ma:index="26"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3d9a618-c0fc-4378-be70-69d4cc9b918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ff75f0-9bd5-40ee-9010-33523d454cf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b0c769a-4968-4665-8a39-d9dda0936470}" ma:internalName="TaxCatchAll" ma:showField="CatchAllData" ma:web="53d9a618-c0fc-4378-be70-69d4cc9b91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nsitivedata xmlns="2cb04cb6-fd46-45ab-a0b1-cdeedec8e6ae">false</Sensitivedata>
    <Retention_x0020_end_x0020_date xmlns="2cb04cb6-fd46-45ab-a0b1-cdeedec8e6ae" xsi:nil="true"/>
    <Notes xmlns="2cb04cb6-fd46-45ab-a0b1-cdeedec8e6ae" xsi:nil="true"/>
    <lcf76f155ced4ddcb4097134ff3c332f xmlns="2cb04cb6-fd46-45ab-a0b1-cdeedec8e6ae">
      <Terms xmlns="http://schemas.microsoft.com/office/infopath/2007/PartnerControls"/>
    </lcf76f155ced4ddcb4097134ff3c332f>
    <TaxCatchAll xmlns="b4ff75f0-9bd5-40ee-9010-33523d454cfa" xsi:nil="true"/>
  </documentManagement>
</p:properties>
</file>

<file path=customXml/itemProps1.xml><?xml version="1.0" encoding="utf-8"?>
<ds:datastoreItem xmlns:ds="http://schemas.openxmlformats.org/officeDocument/2006/customXml" ds:itemID="{25C35D22-EED0-49AB-8FD3-C20C86B49437}"/>
</file>

<file path=customXml/itemProps2.xml><?xml version="1.0" encoding="utf-8"?>
<ds:datastoreItem xmlns:ds="http://schemas.openxmlformats.org/officeDocument/2006/customXml" ds:itemID="{0D584C9D-4172-44AE-AD5C-C23C59BF2686}"/>
</file>

<file path=customXml/itemProps3.xml><?xml version="1.0" encoding="utf-8"?>
<ds:datastoreItem xmlns:ds="http://schemas.openxmlformats.org/officeDocument/2006/customXml" ds:itemID="{18EE422C-279A-47BF-A467-68AF63A0DDD1}"/>
</file>

<file path=docProps/app.xml><?xml version="1.0" encoding="utf-8"?>
<Properties xmlns="http://schemas.openxmlformats.org/officeDocument/2006/extended-properties" xmlns:vt="http://schemas.openxmlformats.org/officeDocument/2006/docPropsVTypes">
  <Template>Normal</Template>
  <TotalTime>26</TotalTime>
  <Pages>1</Pages>
  <Words>6</Words>
  <Characters>38</Characters>
  <Application>Microsoft Office Word</Application>
  <DocSecurity>0</DocSecurity>
  <Lines>1</Lines>
  <Paragraphs>1</Paragraphs>
  <ScaleCrop>false</ScaleCrop>
  <Company/>
  <LinksUpToDate>false</LinksUpToDate>
  <CharactersWithSpaces>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Kingswood PNA Locality Profile</dc:title>
  <dc:creator/>
  <cp:keywords/>
  <dcterms:created xsi:type="dcterms:W3CDTF">2025-05-28T10:11:05Z</dcterms:created>
  <dcterms:modified xsi:type="dcterms:W3CDTF">2025-05-28T10:11:05Z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params">
    <vt:lpwstr/>
  </property>
  <property fmtid="{D5CDD505-2E9C-101B-9397-08002B2CF9AE}" pid="8" name="toc-title">
    <vt:lpwstr>Table of contents</vt:lpwstr>
  </property>
  <property fmtid="{D5CDD505-2E9C-101B-9397-08002B2CF9AE}" pid="9" name="MediaServiceImageTags">
    <vt:lpwstr/>
  </property>
  <property fmtid="{D5CDD505-2E9C-101B-9397-08002B2CF9AE}" pid="10" name="ContentTypeId">
    <vt:lpwstr>0x010100F245FD19D15EEB4F856804E30AE6C910</vt:lpwstr>
  </property>
</Properties>
</file>