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spacing w:line="360" w:lineRule="auto"/>
        <w:ind w:firstLine="720"/>
        <w:rPr>
          <w:rFonts w:hint="eastAsia" w:ascii="黑体" w:hAnsi="黑体" w:eastAsia="黑体" w:cs="黑体"/>
          <w:sz w:val="36"/>
          <w:szCs w:val="36"/>
        </w:rPr>
      </w:pPr>
    </w:p>
    <w:p>
      <w:pPr>
        <w:spacing w:line="360" w:lineRule="auto"/>
        <w:rPr>
          <w:rFonts w:hint="eastAsia" w:ascii="黑体" w:hAnsi="黑体" w:eastAsia="黑体" w:cs="黑体"/>
          <w:sz w:val="36"/>
          <w:szCs w:val="36"/>
        </w:rPr>
      </w:pPr>
    </w:p>
    <w:p>
      <w:pPr>
        <w:spacing w:line="360" w:lineRule="auto"/>
        <w:jc w:val="center"/>
        <w:rPr>
          <w:rFonts w:hint="eastAsia" w:ascii="黑体" w:hAnsi="黑体" w:eastAsia="黑体" w:cs="黑体"/>
          <w:b/>
          <w:sz w:val="72"/>
          <w:szCs w:val="72"/>
        </w:rPr>
      </w:pPr>
      <w:r>
        <w:rPr>
          <w:rFonts w:hint="eastAsia" w:ascii="黑体" w:hAnsi="黑体" w:eastAsia="黑体" w:cs="黑体"/>
          <w:b/>
          <w:sz w:val="72"/>
          <w:szCs w:val="72"/>
        </w:rPr>
        <w:t>xx银行ODS及应用建设项目</w:t>
      </w:r>
    </w:p>
    <w:p>
      <w:pPr>
        <w:spacing w:line="360" w:lineRule="auto"/>
        <w:ind w:firstLine="1072"/>
        <w:jc w:val="center"/>
        <w:rPr>
          <w:rFonts w:hint="eastAsia" w:ascii="黑体" w:hAnsi="黑体" w:eastAsia="黑体" w:cs="黑体"/>
          <w:sz w:val="52"/>
          <w:szCs w:val="52"/>
        </w:rPr>
      </w:pPr>
      <w:r>
        <w:rPr>
          <w:rFonts w:hint="eastAsia" w:ascii="黑体" w:hAnsi="黑体" w:eastAsia="黑体" w:cs="黑体"/>
          <w:sz w:val="52"/>
          <w:szCs w:val="52"/>
        </w:rPr>
        <w:t>监管报送报表需求说明书</w:t>
      </w:r>
    </w:p>
    <w:p>
      <w:pPr>
        <w:spacing w:line="360" w:lineRule="auto"/>
        <w:rPr>
          <w:rFonts w:hint="eastAsia" w:ascii="黑体" w:hAnsi="黑体" w:eastAsia="黑体" w:cs="黑体"/>
        </w:rPr>
      </w:pPr>
    </w:p>
    <w:p>
      <w:pPr>
        <w:spacing w:line="360" w:lineRule="auto"/>
        <w:rPr>
          <w:rFonts w:hint="eastAsia" w:ascii="黑体" w:hAnsi="黑体" w:eastAsia="黑体" w:cs="黑体"/>
        </w:rPr>
      </w:pPr>
    </w:p>
    <w:p>
      <w:pPr>
        <w:spacing w:line="360" w:lineRule="auto"/>
        <w:rPr>
          <w:rFonts w:hint="eastAsia" w:ascii="黑体" w:hAnsi="黑体" w:eastAsia="黑体" w:cs="黑体"/>
        </w:rPr>
      </w:pPr>
    </w:p>
    <w:p>
      <w:pPr>
        <w:spacing w:line="360" w:lineRule="auto"/>
        <w:rPr>
          <w:rFonts w:hint="eastAsia" w:ascii="黑体" w:hAnsi="黑体" w:eastAsia="黑体" w:cs="黑体"/>
        </w:rPr>
      </w:pPr>
    </w:p>
    <w:p>
      <w:pPr>
        <w:spacing w:line="360" w:lineRule="auto"/>
        <w:rPr>
          <w:rFonts w:hint="eastAsia" w:ascii="黑体" w:hAnsi="黑体" w:eastAsia="黑体" w:cs="黑体"/>
        </w:rPr>
      </w:pPr>
    </w:p>
    <w:p>
      <w:pPr>
        <w:spacing w:line="360" w:lineRule="auto"/>
        <w:rPr>
          <w:rFonts w:hint="eastAsia" w:ascii="黑体" w:hAnsi="黑体" w:eastAsia="黑体" w:cs="黑体"/>
        </w:rPr>
      </w:pPr>
    </w:p>
    <w:p>
      <w:pPr>
        <w:spacing w:line="360" w:lineRule="auto"/>
        <w:rPr>
          <w:rFonts w:hint="eastAsia" w:ascii="黑体" w:hAnsi="黑体" w:eastAsia="黑体" w:cs="黑体"/>
        </w:rPr>
      </w:pPr>
    </w:p>
    <w:p>
      <w:pPr>
        <w:spacing w:line="360" w:lineRule="auto"/>
        <w:rPr>
          <w:rFonts w:hint="eastAsia" w:ascii="黑体" w:hAnsi="黑体" w:eastAsia="黑体" w:cs="黑体"/>
        </w:rPr>
      </w:pPr>
    </w:p>
    <w:p>
      <w:pPr>
        <w:spacing w:line="360" w:lineRule="auto"/>
        <w:rPr>
          <w:rFonts w:hint="eastAsia" w:ascii="黑体" w:hAnsi="黑体" w:eastAsia="黑体" w:cs="黑体"/>
        </w:rPr>
      </w:pPr>
    </w:p>
    <w:p>
      <w:pPr>
        <w:spacing w:line="360" w:lineRule="auto"/>
        <w:rPr>
          <w:rFonts w:hint="eastAsia" w:ascii="黑体" w:hAnsi="黑体" w:eastAsia="黑体" w:cs="黑体"/>
        </w:rPr>
      </w:pPr>
    </w:p>
    <w:p>
      <w:pPr>
        <w:spacing w:line="360" w:lineRule="auto"/>
        <w:rPr>
          <w:rFonts w:hint="eastAsia" w:ascii="黑体" w:hAnsi="黑体" w:eastAsia="黑体" w:cs="黑体"/>
        </w:rPr>
      </w:pPr>
      <w:r>
        <w:rPr>
          <w:rFonts w:hint="eastAsia" w:ascii="黑体" w:hAnsi="黑体" w:eastAsia="黑体" w:cs="黑体"/>
        </w:rPr>
        <w:t xml:space="preserve">    </w:t>
      </w:r>
    </w:p>
    <w:p>
      <w:pPr>
        <w:spacing w:line="360" w:lineRule="auto"/>
        <w:rPr>
          <w:rFonts w:hint="eastAsia" w:ascii="黑体" w:hAnsi="黑体" w:eastAsia="黑体" w:cs="黑体"/>
        </w:rPr>
      </w:pPr>
    </w:p>
    <w:p>
      <w:pPr>
        <w:spacing w:line="360" w:lineRule="auto"/>
        <w:ind w:firstLine="452"/>
        <w:jc w:val="center"/>
        <w:rPr>
          <w:rFonts w:hint="eastAsia" w:ascii="黑体" w:hAnsi="黑体" w:eastAsia="黑体" w:cs="黑体"/>
        </w:rPr>
      </w:pPr>
    </w:p>
    <w:p>
      <w:pPr>
        <w:spacing w:line="360" w:lineRule="auto"/>
        <w:ind w:firstLine="634"/>
        <w:jc w:val="center"/>
        <w:rPr>
          <w:rFonts w:hint="eastAsia" w:ascii="黑体" w:hAnsi="黑体" w:eastAsia="黑体" w:cs="黑体"/>
          <w:b/>
          <w:sz w:val="30"/>
          <w:szCs w:val="30"/>
        </w:rPr>
      </w:pPr>
      <w:r>
        <w:rPr>
          <w:rFonts w:hint="eastAsia" w:ascii="黑体" w:hAnsi="黑体" w:eastAsia="黑体" w:cs="黑体"/>
          <w:b/>
          <w:sz w:val="30"/>
          <w:szCs w:val="30"/>
        </w:rPr>
        <w:t>xx公司</w:t>
      </w:r>
    </w:p>
    <w:p>
      <w:pPr>
        <w:spacing w:line="360" w:lineRule="auto"/>
        <w:ind w:firstLine="634"/>
        <w:jc w:val="center"/>
        <w:rPr>
          <w:rFonts w:hint="eastAsia" w:ascii="黑体" w:hAnsi="黑体" w:eastAsia="黑体" w:cs="黑体"/>
          <w:b/>
          <w:sz w:val="30"/>
          <w:szCs w:val="30"/>
        </w:rPr>
      </w:pPr>
      <w:r>
        <w:rPr>
          <w:rFonts w:hint="eastAsia" w:ascii="黑体" w:hAnsi="黑体" w:eastAsia="黑体" w:cs="黑体"/>
          <w:b/>
          <w:sz w:val="30"/>
          <w:szCs w:val="30"/>
        </w:rPr>
        <w:t>2012年11月</w:t>
      </w:r>
    </w:p>
    <w:p>
      <w:pPr>
        <w:spacing w:line="360" w:lineRule="auto"/>
        <w:rPr>
          <w:rFonts w:hint="eastAsia" w:ascii="黑体" w:hAnsi="黑体" w:eastAsia="黑体" w:cs="黑体"/>
        </w:rPr>
      </w:pPr>
    </w:p>
    <w:p>
      <w:pPr>
        <w:spacing w:line="360" w:lineRule="auto"/>
        <w:rPr>
          <w:rFonts w:hint="eastAsia" w:ascii="黑体" w:hAnsi="黑体" w:eastAsia="黑体" w:cs="黑体"/>
        </w:rPr>
      </w:pPr>
    </w:p>
    <w:p>
      <w:pPr>
        <w:spacing w:line="360" w:lineRule="auto"/>
        <w:rPr>
          <w:rFonts w:hint="eastAsia" w:ascii="黑体" w:hAnsi="黑体" w:eastAsia="黑体" w:cs="黑体"/>
        </w:rPr>
      </w:pPr>
    </w:p>
    <w:p>
      <w:pPr>
        <w:spacing w:line="360" w:lineRule="auto"/>
        <w:rPr>
          <w:rFonts w:hint="eastAsia" w:ascii="黑体" w:hAnsi="黑体" w:eastAsia="黑体" w:cs="黑体"/>
        </w:rPr>
      </w:pPr>
    </w:p>
    <w:p>
      <w:pPr>
        <w:spacing w:line="360" w:lineRule="auto"/>
        <w:jc w:val="center"/>
        <w:rPr>
          <w:rFonts w:hint="eastAsia" w:ascii="黑体" w:hAnsi="黑体" w:eastAsia="黑体" w:cs="黑体"/>
          <w:b/>
          <w:sz w:val="28"/>
          <w:szCs w:val="28"/>
        </w:rPr>
      </w:pPr>
      <w:r>
        <w:rPr>
          <w:rFonts w:hint="eastAsia" w:ascii="黑体" w:hAnsi="黑体" w:eastAsia="黑体" w:cs="黑体"/>
        </w:rPr>
        <w:br w:type="page"/>
      </w:r>
      <w:r>
        <w:rPr>
          <w:rFonts w:hint="eastAsia" w:ascii="黑体" w:hAnsi="黑体" w:eastAsia="黑体" w:cs="黑体"/>
          <w:b/>
          <w:sz w:val="28"/>
          <w:szCs w:val="28"/>
        </w:rPr>
        <w:t>修订记录</w:t>
      </w:r>
    </w:p>
    <w:tbl>
      <w:tblPr>
        <w:tblStyle w:val="31"/>
        <w:tblW w:w="8460" w:type="dxa"/>
        <w:tblInd w:w="43" w:type="dxa"/>
        <w:tblLayout w:type="fixed"/>
        <w:tblCellMar>
          <w:top w:w="0" w:type="dxa"/>
          <w:left w:w="43" w:type="dxa"/>
          <w:bottom w:w="0" w:type="dxa"/>
          <w:right w:w="43" w:type="dxa"/>
        </w:tblCellMar>
      </w:tblPr>
      <w:tblGrid>
        <w:gridCol w:w="1843"/>
        <w:gridCol w:w="1391"/>
        <w:gridCol w:w="3606"/>
        <w:gridCol w:w="1620"/>
      </w:tblGrid>
      <w:tr>
        <w:tblPrEx>
          <w:tblCellMar>
            <w:top w:w="0" w:type="dxa"/>
            <w:left w:w="43" w:type="dxa"/>
            <w:bottom w:w="0" w:type="dxa"/>
            <w:right w:w="43" w:type="dxa"/>
          </w:tblCellMar>
        </w:tblPrEx>
        <w:trPr>
          <w:cantSplit/>
          <w:trHeight w:val="419" w:hRule="atLeast"/>
          <w:tblHeader/>
        </w:trPr>
        <w:tc>
          <w:tcPr>
            <w:tcW w:w="1843" w:type="dxa"/>
            <w:tcBorders>
              <w:top w:val="single" w:color="auto" w:sz="6" w:space="0"/>
              <w:left w:val="single" w:color="auto" w:sz="6" w:space="0"/>
              <w:bottom w:val="single" w:color="auto" w:sz="6" w:space="0"/>
              <w:right w:val="single" w:color="auto" w:sz="6" w:space="0"/>
            </w:tcBorders>
            <w:shd w:val="clear" w:color="auto" w:fill="E0E0E0"/>
          </w:tcPr>
          <w:p>
            <w:pPr>
              <w:spacing w:before="48" w:after="48" w:line="360" w:lineRule="auto"/>
              <w:ind w:firstLine="512"/>
              <w:jc w:val="center"/>
              <w:rPr>
                <w:rFonts w:hint="eastAsia" w:ascii="黑体" w:hAnsi="黑体" w:eastAsia="黑体" w:cs="黑体"/>
                <w:sz w:val="24"/>
                <w:szCs w:val="24"/>
              </w:rPr>
            </w:pPr>
            <w:r>
              <w:rPr>
                <w:rFonts w:hint="eastAsia" w:ascii="黑体" w:hAnsi="黑体" w:eastAsia="黑体" w:cs="黑体"/>
                <w:bCs/>
                <w:sz w:val="24"/>
              </w:rPr>
              <w:t xml:space="preserve">日期  </w:t>
            </w:r>
          </w:p>
        </w:tc>
        <w:tc>
          <w:tcPr>
            <w:tcW w:w="1391" w:type="dxa"/>
            <w:tcBorders>
              <w:top w:val="single" w:color="auto" w:sz="6" w:space="0"/>
              <w:left w:val="single" w:color="auto" w:sz="6" w:space="0"/>
              <w:bottom w:val="single" w:color="auto" w:sz="6" w:space="0"/>
              <w:right w:val="single" w:color="auto" w:sz="6" w:space="0"/>
            </w:tcBorders>
            <w:shd w:val="clear" w:color="auto" w:fill="E0E0E0"/>
          </w:tcPr>
          <w:p>
            <w:pPr>
              <w:spacing w:before="48" w:after="48" w:line="360" w:lineRule="auto"/>
              <w:ind w:firstLine="512"/>
              <w:jc w:val="center"/>
              <w:rPr>
                <w:rFonts w:hint="eastAsia" w:ascii="黑体" w:hAnsi="黑体" w:eastAsia="黑体" w:cs="黑体"/>
                <w:bCs/>
                <w:sz w:val="24"/>
                <w:szCs w:val="24"/>
              </w:rPr>
            </w:pPr>
            <w:r>
              <w:rPr>
                <w:rFonts w:hint="eastAsia" w:ascii="黑体" w:hAnsi="黑体" w:eastAsia="黑体" w:cs="黑体"/>
                <w:bCs/>
                <w:sz w:val="24"/>
              </w:rPr>
              <w:t>版本</w:t>
            </w:r>
          </w:p>
        </w:tc>
        <w:tc>
          <w:tcPr>
            <w:tcW w:w="3606" w:type="dxa"/>
            <w:tcBorders>
              <w:top w:val="single" w:color="auto" w:sz="6" w:space="0"/>
              <w:left w:val="single" w:color="auto" w:sz="6" w:space="0"/>
              <w:bottom w:val="single" w:color="auto" w:sz="6" w:space="0"/>
              <w:right w:val="single" w:color="auto" w:sz="6" w:space="0"/>
            </w:tcBorders>
            <w:shd w:val="clear" w:color="auto" w:fill="E0E0E0"/>
          </w:tcPr>
          <w:p>
            <w:pPr>
              <w:spacing w:before="48" w:after="48" w:line="360" w:lineRule="auto"/>
              <w:ind w:firstLine="512"/>
              <w:jc w:val="center"/>
              <w:rPr>
                <w:rFonts w:hint="eastAsia" w:ascii="黑体" w:hAnsi="黑体" w:eastAsia="黑体" w:cs="黑体"/>
                <w:sz w:val="24"/>
                <w:szCs w:val="24"/>
              </w:rPr>
            </w:pPr>
            <w:r>
              <w:rPr>
                <w:rFonts w:hint="eastAsia" w:ascii="黑体" w:hAnsi="黑体" w:eastAsia="黑体" w:cs="黑体"/>
                <w:bCs/>
                <w:sz w:val="24"/>
              </w:rPr>
              <w:t>描述</w:t>
            </w:r>
          </w:p>
        </w:tc>
        <w:tc>
          <w:tcPr>
            <w:tcW w:w="1620" w:type="dxa"/>
            <w:tcBorders>
              <w:top w:val="single" w:color="auto" w:sz="6" w:space="0"/>
              <w:left w:val="single" w:color="auto" w:sz="6" w:space="0"/>
              <w:bottom w:val="single" w:color="auto" w:sz="6" w:space="0"/>
              <w:right w:val="single" w:color="auto" w:sz="6" w:space="0"/>
            </w:tcBorders>
            <w:shd w:val="clear" w:color="auto" w:fill="E0E0E0"/>
          </w:tcPr>
          <w:p>
            <w:pPr>
              <w:spacing w:before="48" w:after="48" w:line="360" w:lineRule="auto"/>
              <w:ind w:firstLine="512"/>
              <w:rPr>
                <w:rFonts w:hint="eastAsia" w:ascii="黑体" w:hAnsi="黑体" w:eastAsia="黑体" w:cs="黑体"/>
                <w:sz w:val="24"/>
                <w:szCs w:val="24"/>
              </w:rPr>
            </w:pPr>
            <w:r>
              <w:rPr>
                <w:rFonts w:hint="eastAsia" w:ascii="黑体" w:hAnsi="黑体" w:eastAsia="黑体" w:cs="黑体"/>
                <w:bCs/>
                <w:sz w:val="24"/>
              </w:rPr>
              <w:t>作者</w:t>
            </w:r>
          </w:p>
        </w:tc>
      </w:tr>
      <w:tr>
        <w:tblPrEx>
          <w:tblCellMar>
            <w:top w:w="0" w:type="dxa"/>
            <w:left w:w="43" w:type="dxa"/>
            <w:bottom w:w="0" w:type="dxa"/>
            <w:right w:w="43" w:type="dxa"/>
          </w:tblCellMar>
        </w:tblPrEx>
        <w:trPr>
          <w:cantSplit/>
        </w:trPr>
        <w:tc>
          <w:tcPr>
            <w:tcW w:w="1843" w:type="dxa"/>
            <w:tcBorders>
              <w:top w:val="single" w:color="auto" w:sz="6" w:space="0"/>
              <w:left w:val="single" w:color="auto" w:sz="6" w:space="0"/>
              <w:bottom w:val="single" w:color="auto" w:sz="6" w:space="0"/>
              <w:right w:val="single" w:color="auto" w:sz="6" w:space="0"/>
            </w:tcBorders>
            <w:vAlign w:val="center"/>
          </w:tcPr>
          <w:p>
            <w:pPr>
              <w:spacing w:line="360" w:lineRule="auto"/>
              <w:jc w:val="center"/>
              <w:rPr>
                <w:rFonts w:hint="eastAsia" w:ascii="黑体" w:hAnsi="黑体" w:eastAsia="黑体" w:cs="黑体"/>
              </w:rPr>
            </w:pPr>
          </w:p>
        </w:tc>
        <w:tc>
          <w:tcPr>
            <w:tcW w:w="1391" w:type="dxa"/>
            <w:tcBorders>
              <w:top w:val="single" w:color="auto" w:sz="6" w:space="0"/>
              <w:left w:val="single" w:color="auto" w:sz="6" w:space="0"/>
              <w:bottom w:val="single" w:color="auto" w:sz="6" w:space="0"/>
              <w:right w:val="single" w:color="auto" w:sz="6" w:space="0"/>
            </w:tcBorders>
            <w:vAlign w:val="center"/>
          </w:tcPr>
          <w:p>
            <w:pPr>
              <w:spacing w:line="360" w:lineRule="auto"/>
              <w:jc w:val="center"/>
              <w:rPr>
                <w:rFonts w:hint="eastAsia" w:ascii="黑体" w:hAnsi="黑体" w:eastAsia="黑体" w:cs="黑体"/>
              </w:rPr>
            </w:pPr>
          </w:p>
        </w:tc>
        <w:tc>
          <w:tcPr>
            <w:tcW w:w="3606" w:type="dxa"/>
            <w:tcBorders>
              <w:top w:val="single" w:color="auto" w:sz="6" w:space="0"/>
              <w:left w:val="single" w:color="auto" w:sz="6" w:space="0"/>
              <w:bottom w:val="single" w:color="auto" w:sz="6" w:space="0"/>
              <w:right w:val="single" w:color="auto" w:sz="6" w:space="0"/>
            </w:tcBorders>
          </w:tcPr>
          <w:p>
            <w:pPr>
              <w:spacing w:line="360" w:lineRule="auto"/>
              <w:rPr>
                <w:rFonts w:hint="eastAsia" w:ascii="黑体" w:hAnsi="黑体" w:eastAsia="黑体" w:cs="黑体"/>
              </w:rPr>
            </w:pPr>
          </w:p>
        </w:tc>
        <w:tc>
          <w:tcPr>
            <w:tcW w:w="1620" w:type="dxa"/>
            <w:tcBorders>
              <w:top w:val="single" w:color="auto" w:sz="6" w:space="0"/>
              <w:left w:val="single" w:color="auto" w:sz="6" w:space="0"/>
              <w:bottom w:val="single" w:color="auto" w:sz="6" w:space="0"/>
              <w:right w:val="single" w:color="auto" w:sz="6" w:space="0"/>
            </w:tcBorders>
            <w:vAlign w:val="center"/>
          </w:tcPr>
          <w:p>
            <w:pPr>
              <w:spacing w:line="360" w:lineRule="auto"/>
              <w:jc w:val="center"/>
              <w:rPr>
                <w:rFonts w:hint="eastAsia" w:ascii="黑体" w:hAnsi="黑体" w:eastAsia="黑体" w:cs="黑体"/>
              </w:rPr>
            </w:pPr>
          </w:p>
        </w:tc>
      </w:tr>
      <w:tr>
        <w:tblPrEx>
          <w:tblCellMar>
            <w:top w:w="0" w:type="dxa"/>
            <w:left w:w="43" w:type="dxa"/>
            <w:bottom w:w="0" w:type="dxa"/>
            <w:right w:w="43" w:type="dxa"/>
          </w:tblCellMar>
        </w:tblPrEx>
        <w:trPr>
          <w:cantSplit/>
        </w:trPr>
        <w:tc>
          <w:tcPr>
            <w:tcW w:w="1843" w:type="dxa"/>
            <w:tcBorders>
              <w:top w:val="single" w:color="auto" w:sz="6" w:space="0"/>
              <w:left w:val="single" w:color="auto" w:sz="6" w:space="0"/>
              <w:bottom w:val="single" w:color="auto" w:sz="6" w:space="0"/>
              <w:right w:val="single" w:color="auto" w:sz="6" w:space="0"/>
            </w:tcBorders>
            <w:vAlign w:val="center"/>
          </w:tcPr>
          <w:p>
            <w:pPr>
              <w:spacing w:line="360" w:lineRule="auto"/>
              <w:jc w:val="center"/>
              <w:rPr>
                <w:rFonts w:hint="eastAsia" w:ascii="黑体" w:hAnsi="黑体" w:eastAsia="黑体" w:cs="黑体"/>
              </w:rPr>
            </w:pPr>
          </w:p>
        </w:tc>
        <w:tc>
          <w:tcPr>
            <w:tcW w:w="1391" w:type="dxa"/>
            <w:tcBorders>
              <w:top w:val="single" w:color="auto" w:sz="6" w:space="0"/>
              <w:left w:val="single" w:color="auto" w:sz="6" w:space="0"/>
              <w:bottom w:val="single" w:color="auto" w:sz="6" w:space="0"/>
              <w:right w:val="single" w:color="auto" w:sz="6" w:space="0"/>
            </w:tcBorders>
            <w:vAlign w:val="center"/>
          </w:tcPr>
          <w:p>
            <w:pPr>
              <w:spacing w:line="360" w:lineRule="auto"/>
              <w:jc w:val="center"/>
              <w:rPr>
                <w:rFonts w:hint="eastAsia" w:ascii="黑体" w:hAnsi="黑体" w:eastAsia="黑体" w:cs="黑体"/>
              </w:rPr>
            </w:pPr>
          </w:p>
        </w:tc>
        <w:tc>
          <w:tcPr>
            <w:tcW w:w="3606" w:type="dxa"/>
            <w:tcBorders>
              <w:top w:val="single" w:color="auto" w:sz="6" w:space="0"/>
              <w:left w:val="single" w:color="auto" w:sz="6" w:space="0"/>
              <w:bottom w:val="single" w:color="auto" w:sz="6" w:space="0"/>
              <w:right w:val="single" w:color="auto" w:sz="6" w:space="0"/>
            </w:tcBorders>
          </w:tcPr>
          <w:p>
            <w:pPr>
              <w:spacing w:line="360" w:lineRule="auto"/>
              <w:rPr>
                <w:rFonts w:hint="eastAsia" w:ascii="黑体" w:hAnsi="黑体" w:eastAsia="黑体" w:cs="黑体"/>
              </w:rPr>
            </w:pPr>
          </w:p>
        </w:tc>
        <w:tc>
          <w:tcPr>
            <w:tcW w:w="1620" w:type="dxa"/>
            <w:tcBorders>
              <w:top w:val="single" w:color="auto" w:sz="6" w:space="0"/>
              <w:left w:val="single" w:color="auto" w:sz="6" w:space="0"/>
              <w:bottom w:val="single" w:color="auto" w:sz="6" w:space="0"/>
              <w:right w:val="single" w:color="auto" w:sz="6" w:space="0"/>
            </w:tcBorders>
            <w:vAlign w:val="center"/>
          </w:tcPr>
          <w:p>
            <w:pPr>
              <w:spacing w:line="360" w:lineRule="auto"/>
              <w:jc w:val="center"/>
              <w:rPr>
                <w:rFonts w:hint="eastAsia" w:ascii="黑体" w:hAnsi="黑体" w:eastAsia="黑体" w:cs="黑体"/>
              </w:rPr>
            </w:pPr>
          </w:p>
        </w:tc>
      </w:tr>
      <w:tr>
        <w:tblPrEx>
          <w:tblCellMar>
            <w:top w:w="0" w:type="dxa"/>
            <w:left w:w="43" w:type="dxa"/>
            <w:bottom w:w="0" w:type="dxa"/>
            <w:right w:w="43" w:type="dxa"/>
          </w:tblCellMar>
        </w:tblPrEx>
        <w:trPr>
          <w:cantSplit/>
        </w:trPr>
        <w:tc>
          <w:tcPr>
            <w:tcW w:w="1843" w:type="dxa"/>
            <w:tcBorders>
              <w:top w:val="single" w:color="auto" w:sz="6" w:space="0"/>
              <w:left w:val="single" w:color="auto" w:sz="6" w:space="0"/>
              <w:bottom w:val="single" w:color="auto" w:sz="6" w:space="0"/>
              <w:right w:val="single" w:color="auto" w:sz="6" w:space="0"/>
            </w:tcBorders>
            <w:vAlign w:val="center"/>
          </w:tcPr>
          <w:p>
            <w:pPr>
              <w:spacing w:line="360" w:lineRule="auto"/>
              <w:jc w:val="center"/>
              <w:rPr>
                <w:rFonts w:hint="eastAsia" w:ascii="黑体" w:hAnsi="黑体" w:eastAsia="黑体" w:cs="黑体"/>
              </w:rPr>
            </w:pPr>
          </w:p>
        </w:tc>
        <w:tc>
          <w:tcPr>
            <w:tcW w:w="1391" w:type="dxa"/>
            <w:tcBorders>
              <w:top w:val="single" w:color="auto" w:sz="6" w:space="0"/>
              <w:left w:val="single" w:color="auto" w:sz="6" w:space="0"/>
              <w:bottom w:val="single" w:color="auto" w:sz="6" w:space="0"/>
              <w:right w:val="single" w:color="auto" w:sz="6" w:space="0"/>
            </w:tcBorders>
            <w:vAlign w:val="center"/>
          </w:tcPr>
          <w:p>
            <w:pPr>
              <w:spacing w:line="360" w:lineRule="auto"/>
              <w:jc w:val="center"/>
              <w:rPr>
                <w:rFonts w:hint="eastAsia" w:ascii="黑体" w:hAnsi="黑体" w:eastAsia="黑体" w:cs="黑体"/>
              </w:rPr>
            </w:pPr>
          </w:p>
        </w:tc>
        <w:tc>
          <w:tcPr>
            <w:tcW w:w="3606" w:type="dxa"/>
            <w:tcBorders>
              <w:top w:val="single" w:color="auto" w:sz="6" w:space="0"/>
              <w:left w:val="single" w:color="auto" w:sz="6" w:space="0"/>
              <w:bottom w:val="single" w:color="auto" w:sz="6" w:space="0"/>
              <w:right w:val="single" w:color="auto" w:sz="6" w:space="0"/>
            </w:tcBorders>
          </w:tcPr>
          <w:p>
            <w:pPr>
              <w:spacing w:line="360" w:lineRule="auto"/>
              <w:rPr>
                <w:rFonts w:hint="eastAsia" w:ascii="黑体" w:hAnsi="黑体" w:eastAsia="黑体" w:cs="黑体"/>
              </w:rPr>
            </w:pPr>
          </w:p>
        </w:tc>
        <w:tc>
          <w:tcPr>
            <w:tcW w:w="1620" w:type="dxa"/>
            <w:tcBorders>
              <w:top w:val="single" w:color="auto" w:sz="6" w:space="0"/>
              <w:left w:val="single" w:color="auto" w:sz="6" w:space="0"/>
              <w:bottom w:val="single" w:color="auto" w:sz="6" w:space="0"/>
              <w:right w:val="single" w:color="auto" w:sz="6" w:space="0"/>
            </w:tcBorders>
            <w:vAlign w:val="center"/>
          </w:tcPr>
          <w:p>
            <w:pPr>
              <w:spacing w:line="360" w:lineRule="auto"/>
              <w:jc w:val="center"/>
              <w:rPr>
                <w:rFonts w:hint="eastAsia" w:ascii="黑体" w:hAnsi="黑体" w:eastAsia="黑体" w:cs="黑体"/>
              </w:rPr>
            </w:pPr>
          </w:p>
        </w:tc>
      </w:tr>
      <w:tr>
        <w:tblPrEx>
          <w:tblCellMar>
            <w:top w:w="0" w:type="dxa"/>
            <w:left w:w="43" w:type="dxa"/>
            <w:bottom w:w="0" w:type="dxa"/>
            <w:right w:w="43" w:type="dxa"/>
          </w:tblCellMar>
        </w:tblPrEx>
        <w:trPr>
          <w:cantSplit/>
        </w:trPr>
        <w:tc>
          <w:tcPr>
            <w:tcW w:w="1843" w:type="dxa"/>
            <w:tcBorders>
              <w:top w:val="single" w:color="auto" w:sz="6" w:space="0"/>
              <w:left w:val="single" w:color="auto" w:sz="6" w:space="0"/>
              <w:bottom w:val="single" w:color="auto" w:sz="6" w:space="0"/>
              <w:right w:val="single" w:color="auto" w:sz="6" w:space="0"/>
            </w:tcBorders>
            <w:vAlign w:val="center"/>
          </w:tcPr>
          <w:p>
            <w:pPr>
              <w:spacing w:line="360" w:lineRule="auto"/>
              <w:jc w:val="center"/>
              <w:rPr>
                <w:rFonts w:hint="eastAsia" w:ascii="黑体" w:hAnsi="黑体" w:eastAsia="黑体" w:cs="黑体"/>
              </w:rPr>
            </w:pPr>
          </w:p>
        </w:tc>
        <w:tc>
          <w:tcPr>
            <w:tcW w:w="1391" w:type="dxa"/>
            <w:tcBorders>
              <w:top w:val="single" w:color="auto" w:sz="6" w:space="0"/>
              <w:left w:val="single" w:color="auto" w:sz="6" w:space="0"/>
              <w:bottom w:val="single" w:color="auto" w:sz="6" w:space="0"/>
              <w:right w:val="single" w:color="auto" w:sz="6" w:space="0"/>
            </w:tcBorders>
            <w:vAlign w:val="center"/>
          </w:tcPr>
          <w:p>
            <w:pPr>
              <w:spacing w:line="360" w:lineRule="auto"/>
              <w:jc w:val="center"/>
              <w:rPr>
                <w:rFonts w:hint="eastAsia" w:ascii="黑体" w:hAnsi="黑体" w:eastAsia="黑体" w:cs="黑体"/>
              </w:rPr>
            </w:pPr>
          </w:p>
        </w:tc>
        <w:tc>
          <w:tcPr>
            <w:tcW w:w="3606" w:type="dxa"/>
            <w:tcBorders>
              <w:top w:val="single" w:color="auto" w:sz="6" w:space="0"/>
              <w:left w:val="single" w:color="auto" w:sz="6" w:space="0"/>
              <w:bottom w:val="single" w:color="auto" w:sz="6" w:space="0"/>
              <w:right w:val="single" w:color="auto" w:sz="6" w:space="0"/>
            </w:tcBorders>
          </w:tcPr>
          <w:p>
            <w:pPr>
              <w:spacing w:line="360" w:lineRule="auto"/>
              <w:rPr>
                <w:rFonts w:hint="eastAsia" w:ascii="黑体" w:hAnsi="黑体" w:eastAsia="黑体" w:cs="黑体"/>
              </w:rPr>
            </w:pPr>
          </w:p>
        </w:tc>
        <w:tc>
          <w:tcPr>
            <w:tcW w:w="1620" w:type="dxa"/>
            <w:tcBorders>
              <w:top w:val="single" w:color="auto" w:sz="6" w:space="0"/>
              <w:left w:val="single" w:color="auto" w:sz="6" w:space="0"/>
              <w:bottom w:val="single" w:color="auto" w:sz="6" w:space="0"/>
              <w:right w:val="single" w:color="auto" w:sz="6" w:space="0"/>
            </w:tcBorders>
            <w:vAlign w:val="center"/>
          </w:tcPr>
          <w:p>
            <w:pPr>
              <w:spacing w:line="360" w:lineRule="auto"/>
              <w:jc w:val="center"/>
              <w:rPr>
                <w:rFonts w:hint="eastAsia" w:ascii="黑体" w:hAnsi="黑体" w:eastAsia="黑体" w:cs="黑体"/>
              </w:rPr>
            </w:pPr>
          </w:p>
        </w:tc>
      </w:tr>
      <w:tr>
        <w:tblPrEx>
          <w:tblCellMar>
            <w:top w:w="0" w:type="dxa"/>
            <w:left w:w="43" w:type="dxa"/>
            <w:bottom w:w="0" w:type="dxa"/>
            <w:right w:w="43" w:type="dxa"/>
          </w:tblCellMar>
        </w:tblPrEx>
        <w:trPr>
          <w:cantSplit/>
        </w:trPr>
        <w:tc>
          <w:tcPr>
            <w:tcW w:w="1843" w:type="dxa"/>
            <w:tcBorders>
              <w:top w:val="single" w:color="auto" w:sz="6" w:space="0"/>
              <w:left w:val="single" w:color="auto" w:sz="6" w:space="0"/>
              <w:bottom w:val="single" w:color="auto" w:sz="6" w:space="0"/>
              <w:right w:val="single" w:color="auto" w:sz="6" w:space="0"/>
            </w:tcBorders>
          </w:tcPr>
          <w:p>
            <w:pPr>
              <w:spacing w:before="48" w:after="48" w:line="360" w:lineRule="auto"/>
              <w:ind w:firstLine="512"/>
              <w:rPr>
                <w:rFonts w:hint="eastAsia" w:ascii="黑体" w:hAnsi="黑体" w:eastAsia="黑体" w:cs="黑体"/>
                <w:sz w:val="24"/>
                <w:szCs w:val="24"/>
              </w:rPr>
            </w:pPr>
          </w:p>
        </w:tc>
        <w:tc>
          <w:tcPr>
            <w:tcW w:w="1391" w:type="dxa"/>
            <w:tcBorders>
              <w:top w:val="single" w:color="auto" w:sz="6" w:space="0"/>
              <w:left w:val="single" w:color="auto" w:sz="6" w:space="0"/>
              <w:bottom w:val="single" w:color="auto" w:sz="6" w:space="0"/>
              <w:right w:val="single" w:color="auto" w:sz="6" w:space="0"/>
            </w:tcBorders>
          </w:tcPr>
          <w:p>
            <w:pPr>
              <w:spacing w:before="48" w:after="48" w:line="360" w:lineRule="auto"/>
              <w:ind w:firstLine="512"/>
              <w:rPr>
                <w:rFonts w:hint="eastAsia" w:ascii="黑体" w:hAnsi="黑体" w:eastAsia="黑体" w:cs="黑体"/>
                <w:sz w:val="24"/>
                <w:szCs w:val="24"/>
              </w:rPr>
            </w:pPr>
          </w:p>
        </w:tc>
        <w:tc>
          <w:tcPr>
            <w:tcW w:w="3606" w:type="dxa"/>
            <w:tcBorders>
              <w:top w:val="single" w:color="auto" w:sz="6" w:space="0"/>
              <w:left w:val="single" w:color="auto" w:sz="6" w:space="0"/>
              <w:bottom w:val="single" w:color="auto" w:sz="6" w:space="0"/>
              <w:right w:val="single" w:color="auto" w:sz="6" w:space="0"/>
            </w:tcBorders>
          </w:tcPr>
          <w:p>
            <w:pPr>
              <w:spacing w:before="48" w:after="48" w:line="360" w:lineRule="auto"/>
              <w:ind w:firstLine="512"/>
              <w:rPr>
                <w:rFonts w:hint="eastAsia" w:ascii="黑体" w:hAnsi="黑体" w:eastAsia="黑体" w:cs="黑体"/>
                <w:sz w:val="24"/>
                <w:szCs w:val="24"/>
              </w:rPr>
            </w:pPr>
          </w:p>
        </w:tc>
        <w:tc>
          <w:tcPr>
            <w:tcW w:w="1620" w:type="dxa"/>
            <w:tcBorders>
              <w:top w:val="single" w:color="auto" w:sz="6" w:space="0"/>
              <w:left w:val="single" w:color="auto" w:sz="6" w:space="0"/>
              <w:bottom w:val="single" w:color="auto" w:sz="6" w:space="0"/>
              <w:right w:val="single" w:color="auto" w:sz="6" w:space="0"/>
            </w:tcBorders>
          </w:tcPr>
          <w:p>
            <w:pPr>
              <w:spacing w:before="48" w:after="48" w:line="360" w:lineRule="auto"/>
              <w:ind w:firstLine="512"/>
              <w:rPr>
                <w:rFonts w:hint="eastAsia" w:ascii="黑体" w:hAnsi="黑体" w:eastAsia="黑体" w:cs="黑体"/>
                <w:sz w:val="24"/>
                <w:szCs w:val="24"/>
              </w:rPr>
            </w:pPr>
          </w:p>
        </w:tc>
      </w:tr>
      <w:tr>
        <w:tblPrEx>
          <w:tblCellMar>
            <w:top w:w="0" w:type="dxa"/>
            <w:left w:w="43" w:type="dxa"/>
            <w:bottom w:w="0" w:type="dxa"/>
            <w:right w:w="43" w:type="dxa"/>
          </w:tblCellMar>
        </w:tblPrEx>
        <w:trPr>
          <w:cantSplit/>
        </w:trPr>
        <w:tc>
          <w:tcPr>
            <w:tcW w:w="1843" w:type="dxa"/>
            <w:tcBorders>
              <w:top w:val="single" w:color="auto" w:sz="6" w:space="0"/>
              <w:left w:val="single" w:color="auto" w:sz="6" w:space="0"/>
              <w:bottom w:val="single" w:color="auto" w:sz="6" w:space="0"/>
              <w:right w:val="single" w:color="auto" w:sz="6" w:space="0"/>
            </w:tcBorders>
          </w:tcPr>
          <w:p>
            <w:pPr>
              <w:spacing w:before="48" w:after="48" w:line="360" w:lineRule="auto"/>
              <w:ind w:firstLine="512"/>
              <w:rPr>
                <w:rFonts w:hint="eastAsia" w:ascii="黑体" w:hAnsi="黑体" w:eastAsia="黑体" w:cs="黑体"/>
                <w:sz w:val="24"/>
                <w:szCs w:val="24"/>
              </w:rPr>
            </w:pPr>
          </w:p>
        </w:tc>
        <w:tc>
          <w:tcPr>
            <w:tcW w:w="1391" w:type="dxa"/>
            <w:tcBorders>
              <w:top w:val="single" w:color="auto" w:sz="6" w:space="0"/>
              <w:left w:val="single" w:color="auto" w:sz="6" w:space="0"/>
              <w:bottom w:val="single" w:color="auto" w:sz="6" w:space="0"/>
              <w:right w:val="single" w:color="auto" w:sz="6" w:space="0"/>
            </w:tcBorders>
          </w:tcPr>
          <w:p>
            <w:pPr>
              <w:spacing w:before="48" w:after="48" w:line="360" w:lineRule="auto"/>
              <w:ind w:firstLine="512"/>
              <w:rPr>
                <w:rFonts w:hint="eastAsia" w:ascii="黑体" w:hAnsi="黑体" w:eastAsia="黑体" w:cs="黑体"/>
                <w:sz w:val="24"/>
                <w:szCs w:val="24"/>
              </w:rPr>
            </w:pPr>
          </w:p>
        </w:tc>
        <w:tc>
          <w:tcPr>
            <w:tcW w:w="3606" w:type="dxa"/>
            <w:tcBorders>
              <w:top w:val="single" w:color="auto" w:sz="6" w:space="0"/>
              <w:left w:val="single" w:color="auto" w:sz="6" w:space="0"/>
              <w:bottom w:val="single" w:color="auto" w:sz="6" w:space="0"/>
              <w:right w:val="single" w:color="auto" w:sz="6" w:space="0"/>
            </w:tcBorders>
          </w:tcPr>
          <w:p>
            <w:pPr>
              <w:spacing w:before="48" w:after="48" w:line="360" w:lineRule="auto"/>
              <w:ind w:firstLine="512"/>
              <w:rPr>
                <w:rFonts w:hint="eastAsia" w:ascii="黑体" w:hAnsi="黑体" w:eastAsia="黑体" w:cs="黑体"/>
                <w:sz w:val="24"/>
                <w:szCs w:val="24"/>
              </w:rPr>
            </w:pPr>
          </w:p>
        </w:tc>
        <w:tc>
          <w:tcPr>
            <w:tcW w:w="1620" w:type="dxa"/>
            <w:tcBorders>
              <w:top w:val="single" w:color="auto" w:sz="6" w:space="0"/>
              <w:left w:val="single" w:color="auto" w:sz="6" w:space="0"/>
              <w:bottom w:val="single" w:color="auto" w:sz="6" w:space="0"/>
              <w:right w:val="single" w:color="auto" w:sz="6" w:space="0"/>
            </w:tcBorders>
          </w:tcPr>
          <w:p>
            <w:pPr>
              <w:spacing w:before="48" w:after="48" w:line="360" w:lineRule="auto"/>
              <w:ind w:firstLine="512"/>
              <w:rPr>
                <w:rFonts w:hint="eastAsia" w:ascii="黑体" w:hAnsi="黑体" w:eastAsia="黑体" w:cs="黑体"/>
                <w:sz w:val="24"/>
                <w:szCs w:val="24"/>
              </w:rPr>
            </w:pPr>
          </w:p>
        </w:tc>
      </w:tr>
      <w:tr>
        <w:tblPrEx>
          <w:tblCellMar>
            <w:top w:w="0" w:type="dxa"/>
            <w:left w:w="43" w:type="dxa"/>
            <w:bottom w:w="0" w:type="dxa"/>
            <w:right w:w="43" w:type="dxa"/>
          </w:tblCellMar>
        </w:tblPrEx>
        <w:trPr>
          <w:cantSplit/>
        </w:trPr>
        <w:tc>
          <w:tcPr>
            <w:tcW w:w="1843" w:type="dxa"/>
            <w:tcBorders>
              <w:top w:val="single" w:color="auto" w:sz="6" w:space="0"/>
              <w:left w:val="single" w:color="auto" w:sz="6" w:space="0"/>
              <w:bottom w:val="single" w:color="auto" w:sz="6" w:space="0"/>
              <w:right w:val="single" w:color="auto" w:sz="6" w:space="0"/>
            </w:tcBorders>
          </w:tcPr>
          <w:p>
            <w:pPr>
              <w:spacing w:before="48" w:after="48" w:line="360" w:lineRule="auto"/>
              <w:ind w:firstLine="512"/>
              <w:rPr>
                <w:rFonts w:hint="eastAsia" w:ascii="黑体" w:hAnsi="黑体" w:eastAsia="黑体" w:cs="黑体"/>
                <w:sz w:val="24"/>
                <w:szCs w:val="24"/>
              </w:rPr>
            </w:pPr>
          </w:p>
        </w:tc>
        <w:tc>
          <w:tcPr>
            <w:tcW w:w="1391" w:type="dxa"/>
            <w:tcBorders>
              <w:top w:val="single" w:color="auto" w:sz="6" w:space="0"/>
              <w:left w:val="single" w:color="auto" w:sz="6" w:space="0"/>
              <w:bottom w:val="single" w:color="auto" w:sz="6" w:space="0"/>
              <w:right w:val="single" w:color="auto" w:sz="6" w:space="0"/>
            </w:tcBorders>
          </w:tcPr>
          <w:p>
            <w:pPr>
              <w:spacing w:before="48" w:after="48" w:line="360" w:lineRule="auto"/>
              <w:ind w:firstLine="512"/>
              <w:rPr>
                <w:rFonts w:hint="eastAsia" w:ascii="黑体" w:hAnsi="黑体" w:eastAsia="黑体" w:cs="黑体"/>
                <w:sz w:val="24"/>
                <w:szCs w:val="24"/>
              </w:rPr>
            </w:pPr>
          </w:p>
        </w:tc>
        <w:tc>
          <w:tcPr>
            <w:tcW w:w="3606" w:type="dxa"/>
            <w:tcBorders>
              <w:top w:val="single" w:color="auto" w:sz="6" w:space="0"/>
              <w:left w:val="single" w:color="auto" w:sz="6" w:space="0"/>
              <w:bottom w:val="single" w:color="auto" w:sz="6" w:space="0"/>
              <w:right w:val="single" w:color="auto" w:sz="6" w:space="0"/>
            </w:tcBorders>
          </w:tcPr>
          <w:p>
            <w:pPr>
              <w:spacing w:before="48" w:after="48" w:line="360" w:lineRule="auto"/>
              <w:ind w:firstLine="512"/>
              <w:rPr>
                <w:rFonts w:hint="eastAsia" w:ascii="黑体" w:hAnsi="黑体" w:eastAsia="黑体" w:cs="黑体"/>
                <w:sz w:val="24"/>
                <w:szCs w:val="24"/>
              </w:rPr>
            </w:pPr>
          </w:p>
        </w:tc>
        <w:tc>
          <w:tcPr>
            <w:tcW w:w="1620" w:type="dxa"/>
            <w:tcBorders>
              <w:top w:val="single" w:color="auto" w:sz="6" w:space="0"/>
              <w:left w:val="single" w:color="auto" w:sz="6" w:space="0"/>
              <w:bottom w:val="single" w:color="auto" w:sz="6" w:space="0"/>
              <w:right w:val="single" w:color="auto" w:sz="6" w:space="0"/>
            </w:tcBorders>
          </w:tcPr>
          <w:p>
            <w:pPr>
              <w:spacing w:before="48" w:after="48" w:line="360" w:lineRule="auto"/>
              <w:ind w:firstLine="512"/>
              <w:rPr>
                <w:rFonts w:hint="eastAsia" w:ascii="黑体" w:hAnsi="黑体" w:eastAsia="黑体" w:cs="黑体"/>
                <w:sz w:val="24"/>
                <w:szCs w:val="24"/>
              </w:rPr>
            </w:pPr>
          </w:p>
        </w:tc>
      </w:tr>
      <w:tr>
        <w:tblPrEx>
          <w:tblCellMar>
            <w:top w:w="0" w:type="dxa"/>
            <w:left w:w="43" w:type="dxa"/>
            <w:bottom w:w="0" w:type="dxa"/>
            <w:right w:w="43" w:type="dxa"/>
          </w:tblCellMar>
        </w:tblPrEx>
        <w:trPr>
          <w:cantSplit/>
        </w:trPr>
        <w:tc>
          <w:tcPr>
            <w:tcW w:w="1843" w:type="dxa"/>
            <w:tcBorders>
              <w:top w:val="single" w:color="auto" w:sz="6" w:space="0"/>
              <w:left w:val="single" w:color="auto" w:sz="6" w:space="0"/>
              <w:bottom w:val="single" w:color="auto" w:sz="6" w:space="0"/>
              <w:right w:val="single" w:color="auto" w:sz="6" w:space="0"/>
            </w:tcBorders>
          </w:tcPr>
          <w:p>
            <w:pPr>
              <w:spacing w:before="48" w:after="48" w:line="360" w:lineRule="auto"/>
              <w:ind w:firstLine="512"/>
              <w:rPr>
                <w:rFonts w:hint="eastAsia" w:ascii="黑体" w:hAnsi="黑体" w:eastAsia="黑体" w:cs="黑体"/>
                <w:sz w:val="24"/>
                <w:szCs w:val="24"/>
              </w:rPr>
            </w:pPr>
          </w:p>
        </w:tc>
        <w:tc>
          <w:tcPr>
            <w:tcW w:w="1391" w:type="dxa"/>
            <w:tcBorders>
              <w:top w:val="single" w:color="auto" w:sz="6" w:space="0"/>
              <w:left w:val="single" w:color="auto" w:sz="6" w:space="0"/>
              <w:bottom w:val="single" w:color="auto" w:sz="6" w:space="0"/>
              <w:right w:val="single" w:color="auto" w:sz="6" w:space="0"/>
            </w:tcBorders>
          </w:tcPr>
          <w:p>
            <w:pPr>
              <w:spacing w:before="48" w:after="48" w:line="360" w:lineRule="auto"/>
              <w:ind w:firstLine="512"/>
              <w:rPr>
                <w:rFonts w:hint="eastAsia" w:ascii="黑体" w:hAnsi="黑体" w:eastAsia="黑体" w:cs="黑体"/>
                <w:sz w:val="24"/>
                <w:szCs w:val="24"/>
              </w:rPr>
            </w:pPr>
          </w:p>
        </w:tc>
        <w:tc>
          <w:tcPr>
            <w:tcW w:w="3606" w:type="dxa"/>
            <w:tcBorders>
              <w:top w:val="single" w:color="auto" w:sz="6" w:space="0"/>
              <w:left w:val="single" w:color="auto" w:sz="6" w:space="0"/>
              <w:bottom w:val="single" w:color="auto" w:sz="6" w:space="0"/>
              <w:right w:val="single" w:color="auto" w:sz="6" w:space="0"/>
            </w:tcBorders>
          </w:tcPr>
          <w:p>
            <w:pPr>
              <w:spacing w:before="48" w:after="48" w:line="360" w:lineRule="auto"/>
              <w:ind w:firstLine="512"/>
              <w:rPr>
                <w:rFonts w:hint="eastAsia" w:ascii="黑体" w:hAnsi="黑体" w:eastAsia="黑体" w:cs="黑体"/>
                <w:sz w:val="24"/>
                <w:szCs w:val="24"/>
              </w:rPr>
            </w:pPr>
          </w:p>
        </w:tc>
        <w:tc>
          <w:tcPr>
            <w:tcW w:w="1620" w:type="dxa"/>
            <w:tcBorders>
              <w:top w:val="single" w:color="auto" w:sz="6" w:space="0"/>
              <w:left w:val="single" w:color="auto" w:sz="6" w:space="0"/>
              <w:bottom w:val="single" w:color="auto" w:sz="6" w:space="0"/>
              <w:right w:val="single" w:color="auto" w:sz="6" w:space="0"/>
            </w:tcBorders>
          </w:tcPr>
          <w:p>
            <w:pPr>
              <w:spacing w:before="48" w:after="48" w:line="360" w:lineRule="auto"/>
              <w:ind w:firstLine="512"/>
              <w:rPr>
                <w:rFonts w:hint="eastAsia" w:ascii="黑体" w:hAnsi="黑体" w:eastAsia="黑体" w:cs="黑体"/>
                <w:sz w:val="24"/>
                <w:szCs w:val="24"/>
              </w:rPr>
            </w:pPr>
          </w:p>
        </w:tc>
      </w:tr>
      <w:tr>
        <w:tblPrEx>
          <w:tblCellMar>
            <w:top w:w="0" w:type="dxa"/>
            <w:left w:w="43" w:type="dxa"/>
            <w:bottom w:w="0" w:type="dxa"/>
            <w:right w:w="43" w:type="dxa"/>
          </w:tblCellMar>
        </w:tblPrEx>
        <w:trPr>
          <w:cantSplit/>
        </w:trPr>
        <w:tc>
          <w:tcPr>
            <w:tcW w:w="1843" w:type="dxa"/>
            <w:tcBorders>
              <w:top w:val="single" w:color="auto" w:sz="6" w:space="0"/>
              <w:left w:val="single" w:color="auto" w:sz="6" w:space="0"/>
              <w:bottom w:val="single" w:color="auto" w:sz="6" w:space="0"/>
              <w:right w:val="single" w:color="auto" w:sz="6" w:space="0"/>
            </w:tcBorders>
          </w:tcPr>
          <w:p>
            <w:pPr>
              <w:spacing w:before="48" w:after="48" w:line="360" w:lineRule="auto"/>
              <w:ind w:firstLine="512"/>
              <w:rPr>
                <w:rFonts w:hint="eastAsia" w:ascii="黑体" w:hAnsi="黑体" w:eastAsia="黑体" w:cs="黑体"/>
                <w:sz w:val="24"/>
                <w:szCs w:val="24"/>
              </w:rPr>
            </w:pPr>
          </w:p>
        </w:tc>
        <w:tc>
          <w:tcPr>
            <w:tcW w:w="1391" w:type="dxa"/>
            <w:tcBorders>
              <w:top w:val="single" w:color="auto" w:sz="6" w:space="0"/>
              <w:left w:val="single" w:color="auto" w:sz="6" w:space="0"/>
              <w:bottom w:val="single" w:color="auto" w:sz="6" w:space="0"/>
              <w:right w:val="single" w:color="auto" w:sz="6" w:space="0"/>
            </w:tcBorders>
          </w:tcPr>
          <w:p>
            <w:pPr>
              <w:spacing w:before="48" w:after="48" w:line="360" w:lineRule="auto"/>
              <w:ind w:firstLine="512"/>
              <w:rPr>
                <w:rFonts w:hint="eastAsia" w:ascii="黑体" w:hAnsi="黑体" w:eastAsia="黑体" w:cs="黑体"/>
                <w:sz w:val="24"/>
                <w:szCs w:val="24"/>
              </w:rPr>
            </w:pPr>
          </w:p>
        </w:tc>
        <w:tc>
          <w:tcPr>
            <w:tcW w:w="3606" w:type="dxa"/>
            <w:tcBorders>
              <w:top w:val="single" w:color="auto" w:sz="6" w:space="0"/>
              <w:left w:val="single" w:color="auto" w:sz="6" w:space="0"/>
              <w:bottom w:val="single" w:color="auto" w:sz="6" w:space="0"/>
              <w:right w:val="single" w:color="auto" w:sz="6" w:space="0"/>
            </w:tcBorders>
          </w:tcPr>
          <w:p>
            <w:pPr>
              <w:spacing w:before="48" w:after="48" w:line="360" w:lineRule="auto"/>
              <w:ind w:firstLine="512"/>
              <w:rPr>
                <w:rFonts w:hint="eastAsia" w:ascii="黑体" w:hAnsi="黑体" w:eastAsia="黑体" w:cs="黑体"/>
                <w:sz w:val="24"/>
                <w:szCs w:val="24"/>
              </w:rPr>
            </w:pPr>
          </w:p>
        </w:tc>
        <w:tc>
          <w:tcPr>
            <w:tcW w:w="1620" w:type="dxa"/>
            <w:tcBorders>
              <w:top w:val="single" w:color="auto" w:sz="6" w:space="0"/>
              <w:left w:val="single" w:color="auto" w:sz="6" w:space="0"/>
              <w:bottom w:val="single" w:color="auto" w:sz="6" w:space="0"/>
              <w:right w:val="single" w:color="auto" w:sz="6" w:space="0"/>
            </w:tcBorders>
          </w:tcPr>
          <w:p>
            <w:pPr>
              <w:spacing w:before="48" w:after="48" w:line="360" w:lineRule="auto"/>
              <w:ind w:firstLine="512"/>
              <w:rPr>
                <w:rFonts w:hint="eastAsia" w:ascii="黑体" w:hAnsi="黑体" w:eastAsia="黑体" w:cs="黑体"/>
                <w:sz w:val="24"/>
                <w:szCs w:val="24"/>
              </w:rPr>
            </w:pPr>
          </w:p>
        </w:tc>
      </w:tr>
    </w:tbl>
    <w:p>
      <w:pPr>
        <w:spacing w:line="360" w:lineRule="auto"/>
        <w:ind w:firstLine="674"/>
        <w:jc w:val="center"/>
        <w:rPr>
          <w:rFonts w:hint="eastAsia" w:ascii="黑体" w:hAnsi="黑体" w:eastAsia="黑体" w:cs="黑体"/>
          <w:b/>
          <w:bCs/>
          <w:sz w:val="32"/>
          <w:szCs w:val="24"/>
        </w:rPr>
      </w:pPr>
    </w:p>
    <w:p>
      <w:pPr>
        <w:spacing w:line="360" w:lineRule="auto"/>
        <w:jc w:val="center"/>
        <w:rPr>
          <w:rFonts w:hint="eastAsia" w:ascii="黑体" w:hAnsi="黑体" w:eastAsia="黑体" w:cs="黑体"/>
          <w:sz w:val="32"/>
          <w:szCs w:val="32"/>
        </w:rPr>
      </w:pPr>
      <w:r>
        <w:rPr>
          <w:rFonts w:hint="eastAsia" w:ascii="黑体" w:hAnsi="黑体" w:eastAsia="黑体" w:cs="黑体"/>
        </w:rPr>
        <w:br w:type="page"/>
      </w:r>
      <w:bookmarkStart w:id="0" w:name="_Toc289196505"/>
      <w:bookmarkStart w:id="1" w:name="_Toc289333774"/>
      <w:bookmarkStart w:id="2" w:name="_Toc289089866"/>
      <w:r>
        <w:rPr>
          <w:rFonts w:hint="eastAsia" w:ascii="黑体" w:hAnsi="黑体" w:eastAsia="黑体" w:cs="黑体"/>
          <w:sz w:val="32"/>
          <w:szCs w:val="32"/>
        </w:rPr>
        <w:t>目   录</w:t>
      </w:r>
    </w:p>
    <w:bookmarkEnd w:id="0"/>
    <w:bookmarkEnd w:id="1"/>
    <w:bookmarkEnd w:id="2"/>
    <w:p>
      <w:pPr>
        <w:pStyle w:val="25"/>
        <w:tabs>
          <w:tab w:val="left" w:pos="420"/>
          <w:tab w:val="right" w:leader="dot" w:pos="8296"/>
        </w:tabs>
        <w:rPr>
          <w:rFonts w:hint="eastAsia" w:ascii="黑体" w:hAnsi="黑体" w:eastAsia="黑体" w:cs="黑体"/>
        </w:rPr>
      </w:pPr>
      <w:bookmarkStart w:id="3" w:name="_Toc289333775"/>
      <w:bookmarkStart w:id="4" w:name="_Toc289196506"/>
      <w:bookmarkStart w:id="5" w:name="_Toc289089867"/>
      <w:bookmarkStart w:id="6" w:name="_Toc288811773"/>
      <w:bookmarkStart w:id="7" w:name="_Toc101321172"/>
      <w:bookmarkStart w:id="8" w:name="_Toc114038693"/>
      <w:bookmarkStart w:id="9" w:name="_Toc286924961"/>
      <w:r>
        <w:rPr>
          <w:rFonts w:hint="eastAsia" w:ascii="黑体" w:hAnsi="黑体" w:eastAsia="黑体" w:cs="黑体"/>
          <w:sz w:val="18"/>
          <w:szCs w:val="18"/>
        </w:rPr>
        <w:fldChar w:fldCharType="begin"/>
      </w:r>
      <w:r>
        <w:rPr>
          <w:rFonts w:hint="eastAsia" w:ascii="黑体" w:hAnsi="黑体" w:eastAsia="黑体" w:cs="黑体"/>
          <w:sz w:val="18"/>
          <w:szCs w:val="18"/>
        </w:rPr>
        <w:instrText xml:space="preserve"> TOC \o "1-3" \h \z \u </w:instrText>
      </w:r>
      <w:r>
        <w:rPr>
          <w:rFonts w:hint="eastAsia" w:ascii="黑体" w:hAnsi="黑体" w:eastAsia="黑体" w:cs="黑体"/>
          <w:sz w:val="18"/>
          <w:szCs w:val="18"/>
        </w:rPr>
        <w:fldChar w:fldCharType="separate"/>
      </w:r>
      <w:r>
        <w:rPr>
          <w:rFonts w:hint="eastAsia" w:ascii="黑体" w:hAnsi="黑体" w:eastAsia="黑体" w:cs="黑体"/>
        </w:rPr>
        <w:fldChar w:fldCharType="begin"/>
      </w:r>
      <w:r>
        <w:rPr>
          <w:rFonts w:hint="eastAsia" w:ascii="黑体" w:hAnsi="黑体" w:eastAsia="黑体" w:cs="黑体"/>
        </w:rPr>
        <w:instrText xml:space="preserve"> HYPERLINK \l "_Toc343525805" </w:instrText>
      </w:r>
      <w:r>
        <w:rPr>
          <w:rFonts w:hint="eastAsia" w:ascii="黑体" w:hAnsi="黑体" w:eastAsia="黑体" w:cs="黑体"/>
        </w:rPr>
        <w:fldChar w:fldCharType="separate"/>
      </w:r>
      <w:r>
        <w:rPr>
          <w:rStyle w:val="35"/>
          <w:rFonts w:hint="eastAsia" w:ascii="黑体" w:hAnsi="黑体" w:eastAsia="黑体" w:cs="黑体"/>
        </w:rPr>
        <w:t>1</w:t>
      </w:r>
      <w:r>
        <w:rPr>
          <w:rFonts w:hint="eastAsia" w:ascii="黑体" w:hAnsi="黑体" w:eastAsia="黑体" w:cs="黑体"/>
        </w:rPr>
        <w:tab/>
      </w:r>
      <w:r>
        <w:rPr>
          <w:rStyle w:val="35"/>
          <w:rFonts w:hint="eastAsia" w:ascii="黑体" w:hAnsi="黑体" w:eastAsia="黑体" w:cs="黑体"/>
        </w:rPr>
        <w:t>监管报送报表需求</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_Toc343525805 \h </w:instrText>
      </w:r>
      <w:r>
        <w:rPr>
          <w:rFonts w:hint="eastAsia" w:ascii="黑体" w:hAnsi="黑体" w:eastAsia="黑体" w:cs="黑体"/>
        </w:rPr>
        <w:fldChar w:fldCharType="separate"/>
      </w:r>
      <w:r>
        <w:rPr>
          <w:rFonts w:hint="eastAsia" w:ascii="黑体" w:hAnsi="黑体" w:eastAsia="黑体" w:cs="黑体"/>
        </w:rPr>
        <w:t>4</w:t>
      </w:r>
      <w:r>
        <w:rPr>
          <w:rFonts w:hint="eastAsia" w:ascii="黑体" w:hAnsi="黑体" w:eastAsia="黑体" w:cs="黑体"/>
        </w:rPr>
        <w:fldChar w:fldCharType="end"/>
      </w:r>
      <w:r>
        <w:rPr>
          <w:rFonts w:hint="eastAsia" w:ascii="黑体" w:hAnsi="黑体" w:eastAsia="黑体" w:cs="黑体"/>
        </w:rPr>
        <w:fldChar w:fldCharType="end"/>
      </w:r>
    </w:p>
    <w:p>
      <w:pPr>
        <w:pStyle w:val="28"/>
        <w:tabs>
          <w:tab w:val="left" w:pos="1260"/>
          <w:tab w:val="right" w:leader="dot" w:pos="8296"/>
        </w:tabs>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"_Toc343525806" </w:instrText>
      </w:r>
      <w:r>
        <w:rPr>
          <w:rFonts w:hint="eastAsia" w:ascii="黑体" w:hAnsi="黑体" w:eastAsia="黑体" w:cs="黑体"/>
        </w:rPr>
        <w:fldChar w:fldCharType="separate"/>
      </w:r>
      <w:r>
        <w:rPr>
          <w:rStyle w:val="35"/>
          <w:rFonts w:hint="eastAsia" w:ascii="黑体" w:hAnsi="黑体" w:eastAsia="黑体" w:cs="黑体"/>
        </w:rPr>
        <w:t>1.1</w:t>
      </w:r>
      <w:r>
        <w:rPr>
          <w:rFonts w:hint="eastAsia" w:ascii="黑体" w:hAnsi="黑体" w:eastAsia="黑体" w:cs="黑体"/>
        </w:rPr>
        <w:tab/>
      </w:r>
      <w:r>
        <w:rPr>
          <w:rStyle w:val="35"/>
          <w:rFonts w:hint="eastAsia" w:ascii="黑体" w:hAnsi="黑体" w:eastAsia="黑体" w:cs="黑体"/>
        </w:rPr>
        <w:t>项目描述</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_Toc343525806 \h </w:instrText>
      </w:r>
      <w:r>
        <w:rPr>
          <w:rFonts w:hint="eastAsia" w:ascii="黑体" w:hAnsi="黑体" w:eastAsia="黑体" w:cs="黑体"/>
        </w:rPr>
        <w:fldChar w:fldCharType="separate"/>
      </w:r>
      <w:r>
        <w:rPr>
          <w:rFonts w:hint="eastAsia" w:ascii="黑体" w:hAnsi="黑体" w:eastAsia="黑体" w:cs="黑体"/>
        </w:rPr>
        <w:t>4</w:t>
      </w:r>
      <w:r>
        <w:rPr>
          <w:rFonts w:hint="eastAsia" w:ascii="黑体" w:hAnsi="黑体" w:eastAsia="黑体" w:cs="黑体"/>
        </w:rPr>
        <w:fldChar w:fldCharType="end"/>
      </w:r>
      <w:r>
        <w:rPr>
          <w:rFonts w:hint="eastAsia" w:ascii="黑体" w:hAnsi="黑体" w:eastAsia="黑体" w:cs="黑体"/>
        </w:rPr>
        <w:fldChar w:fldCharType="end"/>
      </w:r>
    </w:p>
    <w:p>
      <w:pPr>
        <w:pStyle w:val="17"/>
        <w:tabs>
          <w:tab w:val="left" w:pos="1680"/>
          <w:tab w:val="right" w:leader="dot" w:pos="8296"/>
        </w:tabs>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"_Toc343525807" </w:instrText>
      </w:r>
      <w:r>
        <w:rPr>
          <w:rFonts w:hint="eastAsia" w:ascii="黑体" w:hAnsi="黑体" w:eastAsia="黑体" w:cs="黑体"/>
        </w:rPr>
        <w:fldChar w:fldCharType="separate"/>
      </w:r>
      <w:r>
        <w:rPr>
          <w:rStyle w:val="35"/>
          <w:rFonts w:hint="eastAsia" w:ascii="黑体" w:hAnsi="黑体" w:eastAsia="黑体" w:cs="黑体"/>
        </w:rPr>
        <w:t>1.1.1</w:t>
      </w:r>
      <w:r>
        <w:rPr>
          <w:rFonts w:hint="eastAsia" w:ascii="黑体" w:hAnsi="黑体" w:eastAsia="黑体" w:cs="黑体"/>
        </w:rPr>
        <w:tab/>
      </w:r>
      <w:r>
        <w:rPr>
          <w:rStyle w:val="35"/>
          <w:rFonts w:hint="eastAsia" w:ascii="黑体" w:hAnsi="黑体" w:eastAsia="黑体" w:cs="黑体"/>
        </w:rPr>
        <w:t>背景</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_Toc343525807 \h </w:instrText>
      </w:r>
      <w:r>
        <w:rPr>
          <w:rFonts w:hint="eastAsia" w:ascii="黑体" w:hAnsi="黑体" w:eastAsia="黑体" w:cs="黑体"/>
        </w:rPr>
        <w:fldChar w:fldCharType="separate"/>
      </w:r>
      <w:r>
        <w:rPr>
          <w:rFonts w:hint="eastAsia" w:ascii="黑体" w:hAnsi="黑体" w:eastAsia="黑体" w:cs="黑体"/>
        </w:rPr>
        <w:t>4</w:t>
      </w:r>
      <w:r>
        <w:rPr>
          <w:rFonts w:hint="eastAsia" w:ascii="黑体" w:hAnsi="黑体" w:eastAsia="黑体" w:cs="黑体"/>
        </w:rPr>
        <w:fldChar w:fldCharType="end"/>
      </w:r>
      <w:r>
        <w:rPr>
          <w:rFonts w:hint="eastAsia" w:ascii="黑体" w:hAnsi="黑体" w:eastAsia="黑体" w:cs="黑体"/>
        </w:rPr>
        <w:fldChar w:fldCharType="end"/>
      </w:r>
    </w:p>
    <w:p>
      <w:pPr>
        <w:pStyle w:val="17"/>
        <w:tabs>
          <w:tab w:val="left" w:pos="1680"/>
          <w:tab w:val="right" w:leader="dot" w:pos="8296"/>
        </w:tabs>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"_Toc343525808" </w:instrText>
      </w:r>
      <w:r>
        <w:rPr>
          <w:rFonts w:hint="eastAsia" w:ascii="黑体" w:hAnsi="黑体" w:eastAsia="黑体" w:cs="黑体"/>
        </w:rPr>
        <w:fldChar w:fldCharType="separate"/>
      </w:r>
      <w:r>
        <w:rPr>
          <w:rStyle w:val="35"/>
          <w:rFonts w:hint="eastAsia" w:ascii="黑体" w:hAnsi="黑体" w:eastAsia="黑体" w:cs="黑体"/>
        </w:rPr>
        <w:t>1.1.2</w:t>
      </w:r>
      <w:r>
        <w:rPr>
          <w:rFonts w:hint="eastAsia" w:ascii="黑体" w:hAnsi="黑体" w:eastAsia="黑体" w:cs="黑体"/>
        </w:rPr>
        <w:tab/>
      </w:r>
      <w:r>
        <w:rPr>
          <w:rStyle w:val="35"/>
          <w:rFonts w:hint="eastAsia" w:ascii="黑体" w:hAnsi="黑体" w:eastAsia="黑体" w:cs="黑体"/>
        </w:rPr>
        <w:t>任务目标</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_Toc343525808 \h </w:instrText>
      </w:r>
      <w:r>
        <w:rPr>
          <w:rFonts w:hint="eastAsia" w:ascii="黑体" w:hAnsi="黑体" w:eastAsia="黑体" w:cs="黑体"/>
        </w:rPr>
        <w:fldChar w:fldCharType="separate"/>
      </w:r>
      <w:r>
        <w:rPr>
          <w:rFonts w:hint="eastAsia" w:ascii="黑体" w:hAnsi="黑体" w:eastAsia="黑体" w:cs="黑体"/>
        </w:rPr>
        <w:t>4</w:t>
      </w:r>
      <w:r>
        <w:rPr>
          <w:rFonts w:hint="eastAsia" w:ascii="黑体" w:hAnsi="黑体" w:eastAsia="黑体" w:cs="黑体"/>
        </w:rPr>
        <w:fldChar w:fldCharType="end"/>
      </w:r>
      <w:r>
        <w:rPr>
          <w:rFonts w:hint="eastAsia" w:ascii="黑体" w:hAnsi="黑体" w:eastAsia="黑体" w:cs="黑体"/>
        </w:rPr>
        <w:fldChar w:fldCharType="end"/>
      </w:r>
    </w:p>
    <w:p>
      <w:pPr>
        <w:pStyle w:val="17"/>
        <w:tabs>
          <w:tab w:val="left" w:pos="1680"/>
          <w:tab w:val="right" w:leader="dot" w:pos="8296"/>
        </w:tabs>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"_Toc343525809" </w:instrText>
      </w:r>
      <w:r>
        <w:rPr>
          <w:rFonts w:hint="eastAsia" w:ascii="黑体" w:hAnsi="黑体" w:eastAsia="黑体" w:cs="黑体"/>
        </w:rPr>
        <w:fldChar w:fldCharType="separate"/>
      </w:r>
      <w:r>
        <w:rPr>
          <w:rStyle w:val="35"/>
          <w:rFonts w:hint="eastAsia" w:ascii="黑体" w:hAnsi="黑体" w:eastAsia="黑体" w:cs="黑体"/>
        </w:rPr>
        <w:t>1.1.3</w:t>
      </w:r>
      <w:r>
        <w:rPr>
          <w:rFonts w:hint="eastAsia" w:ascii="黑体" w:hAnsi="黑体" w:eastAsia="黑体" w:cs="黑体"/>
        </w:rPr>
        <w:tab/>
      </w:r>
      <w:r>
        <w:rPr>
          <w:rStyle w:val="35"/>
          <w:rFonts w:hint="eastAsia" w:ascii="黑体" w:hAnsi="黑体" w:eastAsia="黑体" w:cs="黑体"/>
        </w:rPr>
        <w:t>监管报表分类</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_Toc343525809 \h </w:instrText>
      </w:r>
      <w:r>
        <w:rPr>
          <w:rFonts w:hint="eastAsia" w:ascii="黑体" w:hAnsi="黑体" w:eastAsia="黑体" w:cs="黑体"/>
        </w:rPr>
        <w:fldChar w:fldCharType="separate"/>
      </w:r>
      <w:r>
        <w:rPr>
          <w:rFonts w:hint="eastAsia" w:ascii="黑体" w:hAnsi="黑体" w:eastAsia="黑体" w:cs="黑体"/>
        </w:rPr>
        <w:t>5</w:t>
      </w:r>
      <w:r>
        <w:rPr>
          <w:rFonts w:hint="eastAsia" w:ascii="黑体" w:hAnsi="黑体" w:eastAsia="黑体" w:cs="黑体"/>
        </w:rPr>
        <w:fldChar w:fldCharType="end"/>
      </w:r>
      <w:r>
        <w:rPr>
          <w:rFonts w:hint="eastAsia" w:ascii="黑体" w:hAnsi="黑体" w:eastAsia="黑体" w:cs="黑体"/>
        </w:rPr>
        <w:fldChar w:fldCharType="end"/>
      </w:r>
    </w:p>
    <w:p>
      <w:pPr>
        <w:pStyle w:val="28"/>
        <w:tabs>
          <w:tab w:val="left" w:pos="1260"/>
          <w:tab w:val="right" w:leader="dot" w:pos="8296"/>
        </w:tabs>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"_Toc343525810" </w:instrText>
      </w:r>
      <w:r>
        <w:rPr>
          <w:rFonts w:hint="eastAsia" w:ascii="黑体" w:hAnsi="黑体" w:eastAsia="黑体" w:cs="黑体"/>
        </w:rPr>
        <w:fldChar w:fldCharType="separate"/>
      </w:r>
      <w:r>
        <w:rPr>
          <w:rStyle w:val="35"/>
          <w:rFonts w:hint="eastAsia" w:ascii="黑体" w:hAnsi="黑体" w:eastAsia="黑体" w:cs="黑体"/>
        </w:rPr>
        <w:t>1.2</w:t>
      </w:r>
      <w:r>
        <w:rPr>
          <w:rFonts w:hint="eastAsia" w:ascii="黑体" w:hAnsi="黑体" w:eastAsia="黑体" w:cs="黑体"/>
        </w:rPr>
        <w:tab/>
      </w:r>
      <w:r>
        <w:rPr>
          <w:rStyle w:val="35"/>
          <w:rFonts w:hint="eastAsia" w:ascii="黑体" w:hAnsi="黑体" w:eastAsia="黑体" w:cs="黑体"/>
        </w:rPr>
        <w:t>功能需求</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_Toc343525810 \h </w:instrText>
      </w:r>
      <w:r>
        <w:rPr>
          <w:rFonts w:hint="eastAsia" w:ascii="黑体" w:hAnsi="黑体" w:eastAsia="黑体" w:cs="黑体"/>
        </w:rPr>
        <w:fldChar w:fldCharType="separate"/>
      </w:r>
      <w:r>
        <w:rPr>
          <w:rFonts w:hint="eastAsia" w:ascii="黑体" w:hAnsi="黑体" w:eastAsia="黑体" w:cs="黑体"/>
        </w:rPr>
        <w:t>5</w:t>
      </w:r>
      <w:r>
        <w:rPr>
          <w:rFonts w:hint="eastAsia" w:ascii="黑体" w:hAnsi="黑体" w:eastAsia="黑体" w:cs="黑体"/>
        </w:rPr>
        <w:fldChar w:fldCharType="end"/>
      </w:r>
      <w:r>
        <w:rPr>
          <w:rFonts w:hint="eastAsia" w:ascii="黑体" w:hAnsi="黑体" w:eastAsia="黑体" w:cs="黑体"/>
        </w:rPr>
        <w:fldChar w:fldCharType="end"/>
      </w:r>
    </w:p>
    <w:p>
      <w:pPr>
        <w:pStyle w:val="17"/>
        <w:tabs>
          <w:tab w:val="left" w:pos="1680"/>
          <w:tab w:val="right" w:leader="dot" w:pos="8296"/>
        </w:tabs>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"_Toc343525811" </w:instrText>
      </w:r>
      <w:r>
        <w:rPr>
          <w:rFonts w:hint="eastAsia" w:ascii="黑体" w:hAnsi="黑体" w:eastAsia="黑体" w:cs="黑体"/>
        </w:rPr>
        <w:fldChar w:fldCharType="separate"/>
      </w:r>
      <w:r>
        <w:rPr>
          <w:rStyle w:val="35"/>
          <w:rFonts w:hint="eastAsia" w:ascii="黑体" w:hAnsi="黑体" w:eastAsia="黑体" w:cs="黑体"/>
        </w:rPr>
        <w:t>1.2.1</w:t>
      </w:r>
      <w:r>
        <w:rPr>
          <w:rFonts w:hint="eastAsia" w:ascii="黑体" w:hAnsi="黑体" w:eastAsia="黑体" w:cs="黑体"/>
        </w:rPr>
        <w:tab/>
      </w:r>
      <w:r>
        <w:rPr>
          <w:rStyle w:val="35"/>
          <w:rFonts w:hint="eastAsia" w:ascii="黑体" w:hAnsi="黑体" w:eastAsia="黑体" w:cs="黑体"/>
        </w:rPr>
        <w:t>应用功能说明</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_Toc343525811 \h </w:instrText>
      </w:r>
      <w:r>
        <w:rPr>
          <w:rFonts w:hint="eastAsia" w:ascii="黑体" w:hAnsi="黑体" w:eastAsia="黑体" w:cs="黑体"/>
        </w:rPr>
        <w:fldChar w:fldCharType="separate"/>
      </w:r>
      <w:r>
        <w:rPr>
          <w:rFonts w:hint="eastAsia" w:ascii="黑体" w:hAnsi="黑体" w:eastAsia="黑体" w:cs="黑体"/>
        </w:rPr>
        <w:t>5</w:t>
      </w:r>
      <w:r>
        <w:rPr>
          <w:rFonts w:hint="eastAsia" w:ascii="黑体" w:hAnsi="黑体" w:eastAsia="黑体" w:cs="黑体"/>
        </w:rPr>
        <w:fldChar w:fldCharType="end"/>
      </w:r>
      <w:r>
        <w:rPr>
          <w:rFonts w:hint="eastAsia" w:ascii="黑体" w:hAnsi="黑体" w:eastAsia="黑体" w:cs="黑体"/>
        </w:rPr>
        <w:fldChar w:fldCharType="end"/>
      </w:r>
    </w:p>
    <w:p>
      <w:pPr>
        <w:pStyle w:val="28"/>
        <w:tabs>
          <w:tab w:val="left" w:pos="1260"/>
          <w:tab w:val="right" w:leader="dot" w:pos="8296"/>
        </w:tabs>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"_Toc343525812" </w:instrText>
      </w:r>
      <w:r>
        <w:rPr>
          <w:rFonts w:hint="eastAsia" w:ascii="黑体" w:hAnsi="黑体" w:eastAsia="黑体" w:cs="黑体"/>
        </w:rPr>
        <w:fldChar w:fldCharType="separate"/>
      </w:r>
      <w:r>
        <w:rPr>
          <w:rStyle w:val="35"/>
          <w:rFonts w:hint="eastAsia" w:ascii="黑体" w:hAnsi="黑体" w:eastAsia="黑体" w:cs="黑体"/>
        </w:rPr>
        <w:t>1.3</w:t>
      </w:r>
      <w:r>
        <w:rPr>
          <w:rFonts w:hint="eastAsia" w:ascii="黑体" w:hAnsi="黑体" w:eastAsia="黑体" w:cs="黑体"/>
        </w:rPr>
        <w:tab/>
      </w:r>
      <w:r>
        <w:rPr>
          <w:rStyle w:val="35"/>
          <w:rFonts w:hint="eastAsia" w:ascii="黑体" w:hAnsi="黑体" w:eastAsia="黑体" w:cs="黑体"/>
        </w:rPr>
        <w:t>报表需求</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_Toc343525812 \h </w:instrText>
      </w:r>
      <w:r>
        <w:rPr>
          <w:rFonts w:hint="eastAsia" w:ascii="黑体" w:hAnsi="黑体" w:eastAsia="黑体" w:cs="黑体"/>
        </w:rPr>
        <w:fldChar w:fldCharType="separate"/>
      </w:r>
      <w:r>
        <w:rPr>
          <w:rFonts w:hint="eastAsia" w:ascii="黑体" w:hAnsi="黑体" w:eastAsia="黑体" w:cs="黑体"/>
        </w:rPr>
        <w:t>9</w:t>
      </w:r>
      <w:r>
        <w:rPr>
          <w:rFonts w:hint="eastAsia" w:ascii="黑体" w:hAnsi="黑体" w:eastAsia="黑体" w:cs="黑体"/>
        </w:rPr>
        <w:fldChar w:fldCharType="end"/>
      </w:r>
      <w:r>
        <w:rPr>
          <w:rFonts w:hint="eastAsia" w:ascii="黑体" w:hAnsi="黑体" w:eastAsia="黑体" w:cs="黑体"/>
        </w:rPr>
        <w:fldChar w:fldCharType="end"/>
      </w:r>
    </w:p>
    <w:p>
      <w:pPr>
        <w:pStyle w:val="17"/>
        <w:tabs>
          <w:tab w:val="left" w:pos="1680"/>
          <w:tab w:val="right" w:leader="dot" w:pos="8296"/>
        </w:tabs>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"_Toc343525813" </w:instrText>
      </w:r>
      <w:r>
        <w:rPr>
          <w:rFonts w:hint="eastAsia" w:ascii="黑体" w:hAnsi="黑体" w:eastAsia="黑体" w:cs="黑体"/>
        </w:rPr>
        <w:fldChar w:fldCharType="separate"/>
      </w:r>
      <w:r>
        <w:rPr>
          <w:rStyle w:val="35"/>
          <w:rFonts w:hint="eastAsia" w:ascii="黑体" w:hAnsi="黑体" w:eastAsia="黑体" w:cs="黑体"/>
        </w:rPr>
        <w:t>1.3.1</w:t>
      </w:r>
      <w:r>
        <w:rPr>
          <w:rFonts w:hint="eastAsia" w:ascii="黑体" w:hAnsi="黑体" w:eastAsia="黑体" w:cs="黑体"/>
        </w:rPr>
        <w:tab/>
      </w:r>
      <w:r>
        <w:rPr>
          <w:rStyle w:val="35"/>
          <w:rFonts w:hint="eastAsia" w:ascii="黑体" w:hAnsi="黑体" w:eastAsia="黑体" w:cs="黑体"/>
        </w:rPr>
        <w:t>报表处理</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_Toc343525813 \h </w:instrText>
      </w:r>
      <w:r>
        <w:rPr>
          <w:rFonts w:hint="eastAsia" w:ascii="黑体" w:hAnsi="黑体" w:eastAsia="黑体" w:cs="黑体"/>
        </w:rPr>
        <w:fldChar w:fldCharType="separate"/>
      </w:r>
      <w:r>
        <w:rPr>
          <w:rFonts w:hint="eastAsia" w:ascii="黑体" w:hAnsi="黑体" w:eastAsia="黑体" w:cs="黑体"/>
        </w:rPr>
        <w:t>9</w:t>
      </w:r>
      <w:r>
        <w:rPr>
          <w:rFonts w:hint="eastAsia" w:ascii="黑体" w:hAnsi="黑体" w:eastAsia="黑体" w:cs="黑体"/>
        </w:rPr>
        <w:fldChar w:fldCharType="end"/>
      </w:r>
      <w:r>
        <w:rPr>
          <w:rFonts w:hint="eastAsia" w:ascii="黑体" w:hAnsi="黑体" w:eastAsia="黑体" w:cs="黑体"/>
        </w:rPr>
        <w:fldChar w:fldCharType="end"/>
      </w:r>
    </w:p>
    <w:p>
      <w:pPr>
        <w:pStyle w:val="17"/>
        <w:tabs>
          <w:tab w:val="left" w:pos="1680"/>
          <w:tab w:val="right" w:leader="dot" w:pos="8296"/>
        </w:tabs>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"_Toc343525814" </w:instrText>
      </w:r>
      <w:r>
        <w:rPr>
          <w:rFonts w:hint="eastAsia" w:ascii="黑体" w:hAnsi="黑体" w:eastAsia="黑体" w:cs="黑体"/>
        </w:rPr>
        <w:fldChar w:fldCharType="separate"/>
      </w:r>
      <w:r>
        <w:rPr>
          <w:rStyle w:val="35"/>
          <w:rFonts w:hint="eastAsia" w:ascii="黑体" w:hAnsi="黑体" w:eastAsia="黑体" w:cs="黑体"/>
        </w:rPr>
        <w:t>1.3.2</w:t>
      </w:r>
      <w:r>
        <w:rPr>
          <w:rFonts w:hint="eastAsia" w:ascii="黑体" w:hAnsi="黑体" w:eastAsia="黑体" w:cs="黑体"/>
        </w:rPr>
        <w:tab/>
      </w:r>
      <w:r>
        <w:rPr>
          <w:rStyle w:val="35"/>
          <w:rFonts w:hint="eastAsia" w:ascii="黑体" w:hAnsi="黑体" w:eastAsia="黑体" w:cs="黑体"/>
        </w:rPr>
        <w:t>数据缺口处理</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_Toc343525814 \h </w:instrText>
      </w:r>
      <w:r>
        <w:rPr>
          <w:rFonts w:hint="eastAsia" w:ascii="黑体" w:hAnsi="黑体" w:eastAsia="黑体" w:cs="黑体"/>
        </w:rPr>
        <w:fldChar w:fldCharType="separate"/>
      </w:r>
      <w:r>
        <w:rPr>
          <w:rFonts w:hint="eastAsia" w:ascii="黑体" w:hAnsi="黑体" w:eastAsia="黑体" w:cs="黑体"/>
        </w:rPr>
        <w:t>10</w:t>
      </w:r>
      <w:r>
        <w:rPr>
          <w:rFonts w:hint="eastAsia" w:ascii="黑体" w:hAnsi="黑体" w:eastAsia="黑体" w:cs="黑体"/>
        </w:rPr>
        <w:fldChar w:fldCharType="end"/>
      </w:r>
      <w:r>
        <w:rPr>
          <w:rFonts w:hint="eastAsia" w:ascii="黑体" w:hAnsi="黑体" w:eastAsia="黑体" w:cs="黑体"/>
        </w:rPr>
        <w:fldChar w:fldCharType="end"/>
      </w:r>
    </w:p>
    <w:p>
      <w:pPr>
        <w:pStyle w:val="17"/>
        <w:tabs>
          <w:tab w:val="left" w:pos="1680"/>
          <w:tab w:val="right" w:leader="dot" w:pos="8296"/>
        </w:tabs>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"_Toc343525815" </w:instrText>
      </w:r>
      <w:r>
        <w:rPr>
          <w:rFonts w:hint="eastAsia" w:ascii="黑体" w:hAnsi="黑体" w:eastAsia="黑体" w:cs="黑体"/>
        </w:rPr>
        <w:fldChar w:fldCharType="separate"/>
      </w:r>
      <w:r>
        <w:rPr>
          <w:rStyle w:val="35"/>
          <w:rFonts w:hint="eastAsia" w:ascii="黑体" w:hAnsi="黑体" w:eastAsia="黑体" w:cs="黑体"/>
        </w:rPr>
        <w:t>1.3.3</w:t>
      </w:r>
      <w:r>
        <w:rPr>
          <w:rFonts w:hint="eastAsia" w:ascii="黑体" w:hAnsi="黑体" w:eastAsia="黑体" w:cs="黑体"/>
        </w:rPr>
        <w:tab/>
      </w:r>
      <w:r>
        <w:rPr>
          <w:rStyle w:val="35"/>
          <w:rFonts w:hint="eastAsia" w:ascii="黑体" w:hAnsi="黑体" w:eastAsia="黑体" w:cs="黑体"/>
        </w:rPr>
        <w:t>币种折算</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_Toc343525815 \h </w:instrText>
      </w:r>
      <w:r>
        <w:rPr>
          <w:rFonts w:hint="eastAsia" w:ascii="黑体" w:hAnsi="黑体" w:eastAsia="黑体" w:cs="黑体"/>
        </w:rPr>
        <w:fldChar w:fldCharType="separate"/>
      </w:r>
      <w:r>
        <w:rPr>
          <w:rFonts w:hint="eastAsia" w:ascii="黑体" w:hAnsi="黑体" w:eastAsia="黑体" w:cs="黑体"/>
        </w:rPr>
        <w:t>10</w:t>
      </w:r>
      <w:r>
        <w:rPr>
          <w:rFonts w:hint="eastAsia" w:ascii="黑体" w:hAnsi="黑体" w:eastAsia="黑体" w:cs="黑体"/>
        </w:rPr>
        <w:fldChar w:fldCharType="end"/>
      </w:r>
      <w:r>
        <w:rPr>
          <w:rFonts w:hint="eastAsia" w:ascii="黑体" w:hAnsi="黑体" w:eastAsia="黑体" w:cs="黑体"/>
        </w:rPr>
        <w:fldChar w:fldCharType="end"/>
      </w:r>
    </w:p>
    <w:p>
      <w:pPr>
        <w:pStyle w:val="17"/>
        <w:tabs>
          <w:tab w:val="left" w:pos="1680"/>
          <w:tab w:val="right" w:leader="dot" w:pos="8296"/>
        </w:tabs>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"_Toc343525816" </w:instrText>
      </w:r>
      <w:r>
        <w:rPr>
          <w:rFonts w:hint="eastAsia" w:ascii="黑体" w:hAnsi="黑体" w:eastAsia="黑体" w:cs="黑体"/>
        </w:rPr>
        <w:fldChar w:fldCharType="separate"/>
      </w:r>
      <w:r>
        <w:rPr>
          <w:rStyle w:val="35"/>
          <w:rFonts w:hint="eastAsia" w:ascii="黑体" w:hAnsi="黑体" w:eastAsia="黑体" w:cs="黑体"/>
        </w:rPr>
        <w:t>1.3.4</w:t>
      </w:r>
      <w:r>
        <w:rPr>
          <w:rFonts w:hint="eastAsia" w:ascii="黑体" w:hAnsi="黑体" w:eastAsia="黑体" w:cs="黑体"/>
        </w:rPr>
        <w:tab/>
      </w:r>
      <w:r>
        <w:rPr>
          <w:rStyle w:val="35"/>
          <w:rFonts w:hint="eastAsia" w:ascii="黑体" w:hAnsi="黑体" w:eastAsia="黑体" w:cs="黑体"/>
        </w:rPr>
        <w:t>尾数调平</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_Toc343525816 \h </w:instrText>
      </w:r>
      <w:r>
        <w:rPr>
          <w:rFonts w:hint="eastAsia" w:ascii="黑体" w:hAnsi="黑体" w:eastAsia="黑体" w:cs="黑体"/>
        </w:rPr>
        <w:fldChar w:fldCharType="separate"/>
      </w:r>
      <w:r>
        <w:rPr>
          <w:rFonts w:hint="eastAsia" w:ascii="黑体" w:hAnsi="黑体" w:eastAsia="黑体" w:cs="黑体"/>
        </w:rPr>
        <w:t>11</w:t>
      </w:r>
      <w:r>
        <w:rPr>
          <w:rFonts w:hint="eastAsia" w:ascii="黑体" w:hAnsi="黑体" w:eastAsia="黑体" w:cs="黑体"/>
        </w:rPr>
        <w:fldChar w:fldCharType="end"/>
      </w:r>
      <w:r>
        <w:rPr>
          <w:rFonts w:hint="eastAsia" w:ascii="黑体" w:hAnsi="黑体" w:eastAsia="黑体" w:cs="黑体"/>
        </w:rPr>
        <w:fldChar w:fldCharType="end"/>
      </w:r>
    </w:p>
    <w:p>
      <w:pPr>
        <w:pStyle w:val="25"/>
        <w:tabs>
          <w:tab w:val="left" w:pos="420"/>
          <w:tab w:val="right" w:leader="dot" w:pos="8296"/>
        </w:tabs>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"_Toc343525817" </w:instrText>
      </w:r>
      <w:r>
        <w:rPr>
          <w:rFonts w:hint="eastAsia" w:ascii="黑体" w:hAnsi="黑体" w:eastAsia="黑体" w:cs="黑体"/>
        </w:rPr>
        <w:fldChar w:fldCharType="separate"/>
      </w:r>
      <w:r>
        <w:rPr>
          <w:rStyle w:val="35"/>
          <w:rFonts w:hint="eastAsia" w:ascii="黑体" w:hAnsi="黑体" w:eastAsia="黑体" w:cs="黑体"/>
        </w:rPr>
        <w:t>2</w:t>
      </w:r>
      <w:r>
        <w:rPr>
          <w:rFonts w:hint="eastAsia" w:ascii="黑体" w:hAnsi="黑体" w:eastAsia="黑体" w:cs="黑体"/>
        </w:rPr>
        <w:tab/>
      </w:r>
      <w:r>
        <w:rPr>
          <w:rStyle w:val="35"/>
          <w:rFonts w:hint="eastAsia" w:ascii="黑体" w:hAnsi="黑体" w:eastAsia="黑体" w:cs="黑体"/>
        </w:rPr>
        <w:t>系统的非功能性需求</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_Toc343525817 \h </w:instrText>
      </w:r>
      <w:r>
        <w:rPr>
          <w:rFonts w:hint="eastAsia" w:ascii="黑体" w:hAnsi="黑体" w:eastAsia="黑体" w:cs="黑体"/>
        </w:rPr>
        <w:fldChar w:fldCharType="separate"/>
      </w:r>
      <w:r>
        <w:rPr>
          <w:rFonts w:hint="eastAsia" w:ascii="黑体" w:hAnsi="黑体" w:eastAsia="黑体" w:cs="黑体"/>
        </w:rPr>
        <w:t>12</w:t>
      </w:r>
      <w:r>
        <w:rPr>
          <w:rFonts w:hint="eastAsia" w:ascii="黑体" w:hAnsi="黑体" w:eastAsia="黑体" w:cs="黑体"/>
        </w:rPr>
        <w:fldChar w:fldCharType="end"/>
      </w:r>
      <w:r>
        <w:rPr>
          <w:rFonts w:hint="eastAsia" w:ascii="黑体" w:hAnsi="黑体" w:eastAsia="黑体" w:cs="黑体"/>
        </w:rPr>
        <w:fldChar w:fldCharType="end"/>
      </w:r>
    </w:p>
    <w:p>
      <w:pPr>
        <w:pStyle w:val="28"/>
        <w:tabs>
          <w:tab w:val="left" w:pos="1260"/>
          <w:tab w:val="right" w:leader="dot" w:pos="8296"/>
        </w:tabs>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"_Toc343525818" </w:instrText>
      </w:r>
      <w:r>
        <w:rPr>
          <w:rFonts w:hint="eastAsia" w:ascii="黑体" w:hAnsi="黑体" w:eastAsia="黑体" w:cs="黑体"/>
        </w:rPr>
        <w:fldChar w:fldCharType="separate"/>
      </w:r>
      <w:r>
        <w:rPr>
          <w:rStyle w:val="35"/>
          <w:rFonts w:hint="eastAsia" w:ascii="黑体" w:hAnsi="黑体" w:eastAsia="黑体" w:cs="黑体"/>
        </w:rPr>
        <w:t>2.1</w:t>
      </w:r>
      <w:r>
        <w:rPr>
          <w:rFonts w:hint="eastAsia" w:ascii="黑体" w:hAnsi="黑体" w:eastAsia="黑体" w:cs="黑体"/>
        </w:rPr>
        <w:tab/>
      </w:r>
      <w:r>
        <w:rPr>
          <w:rStyle w:val="35"/>
          <w:rFonts w:hint="eastAsia" w:ascii="黑体" w:hAnsi="黑体" w:eastAsia="黑体" w:cs="黑体"/>
        </w:rPr>
        <w:t>用户界面需求</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_Toc343525818 \h </w:instrText>
      </w:r>
      <w:r>
        <w:rPr>
          <w:rFonts w:hint="eastAsia" w:ascii="黑体" w:hAnsi="黑体" w:eastAsia="黑体" w:cs="黑体"/>
        </w:rPr>
        <w:fldChar w:fldCharType="separate"/>
      </w:r>
      <w:r>
        <w:rPr>
          <w:rFonts w:hint="eastAsia" w:ascii="黑体" w:hAnsi="黑体" w:eastAsia="黑体" w:cs="黑体"/>
        </w:rPr>
        <w:t>12</w:t>
      </w:r>
      <w:r>
        <w:rPr>
          <w:rFonts w:hint="eastAsia" w:ascii="黑体" w:hAnsi="黑体" w:eastAsia="黑体" w:cs="黑体"/>
        </w:rPr>
        <w:fldChar w:fldCharType="end"/>
      </w:r>
      <w:r>
        <w:rPr>
          <w:rFonts w:hint="eastAsia" w:ascii="黑体" w:hAnsi="黑体" w:eastAsia="黑体" w:cs="黑体"/>
        </w:rPr>
        <w:fldChar w:fldCharType="end"/>
      </w:r>
    </w:p>
    <w:p>
      <w:pPr>
        <w:pStyle w:val="28"/>
        <w:tabs>
          <w:tab w:val="left" w:pos="1260"/>
          <w:tab w:val="right" w:leader="dot" w:pos="8296"/>
        </w:tabs>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"_Toc343525819" </w:instrText>
      </w:r>
      <w:r>
        <w:rPr>
          <w:rFonts w:hint="eastAsia" w:ascii="黑体" w:hAnsi="黑体" w:eastAsia="黑体" w:cs="黑体"/>
        </w:rPr>
        <w:fldChar w:fldCharType="separate"/>
      </w:r>
      <w:r>
        <w:rPr>
          <w:rStyle w:val="35"/>
          <w:rFonts w:hint="eastAsia" w:ascii="黑体" w:hAnsi="黑体" w:eastAsia="黑体" w:cs="黑体"/>
        </w:rPr>
        <w:t>2.2</w:t>
      </w:r>
      <w:r>
        <w:rPr>
          <w:rFonts w:hint="eastAsia" w:ascii="黑体" w:hAnsi="黑体" w:eastAsia="黑体" w:cs="黑体"/>
        </w:rPr>
        <w:tab/>
      </w:r>
      <w:r>
        <w:rPr>
          <w:rStyle w:val="35"/>
          <w:rFonts w:hint="eastAsia" w:ascii="黑体" w:hAnsi="黑体" w:eastAsia="黑体" w:cs="黑体"/>
        </w:rPr>
        <w:t>安全保密需求说明</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_Toc343525819 \h </w:instrText>
      </w:r>
      <w:r>
        <w:rPr>
          <w:rFonts w:hint="eastAsia" w:ascii="黑体" w:hAnsi="黑体" w:eastAsia="黑体" w:cs="黑体"/>
        </w:rPr>
        <w:fldChar w:fldCharType="separate"/>
      </w:r>
      <w:r>
        <w:rPr>
          <w:rFonts w:hint="eastAsia" w:ascii="黑体" w:hAnsi="黑体" w:eastAsia="黑体" w:cs="黑体"/>
        </w:rPr>
        <w:t>13</w:t>
      </w:r>
      <w:r>
        <w:rPr>
          <w:rFonts w:hint="eastAsia" w:ascii="黑体" w:hAnsi="黑体" w:eastAsia="黑体" w:cs="黑体"/>
        </w:rPr>
        <w:fldChar w:fldCharType="end"/>
      </w:r>
      <w:r>
        <w:rPr>
          <w:rFonts w:hint="eastAsia" w:ascii="黑体" w:hAnsi="黑体" w:eastAsia="黑体" w:cs="黑体"/>
        </w:rPr>
        <w:fldChar w:fldCharType="end"/>
      </w:r>
    </w:p>
    <w:p>
      <w:pPr>
        <w:pStyle w:val="28"/>
        <w:tabs>
          <w:tab w:val="left" w:pos="1260"/>
          <w:tab w:val="right" w:leader="dot" w:pos="8296"/>
        </w:tabs>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"_Toc343525820" </w:instrText>
      </w:r>
      <w:r>
        <w:rPr>
          <w:rFonts w:hint="eastAsia" w:ascii="黑体" w:hAnsi="黑体" w:eastAsia="黑体" w:cs="黑体"/>
        </w:rPr>
        <w:fldChar w:fldCharType="separate"/>
      </w:r>
      <w:r>
        <w:rPr>
          <w:rStyle w:val="35"/>
          <w:rFonts w:hint="eastAsia" w:ascii="黑体" w:hAnsi="黑体" w:eastAsia="黑体" w:cs="黑体"/>
        </w:rPr>
        <w:t>2.3</w:t>
      </w:r>
      <w:r>
        <w:rPr>
          <w:rFonts w:hint="eastAsia" w:ascii="黑体" w:hAnsi="黑体" w:eastAsia="黑体" w:cs="黑体"/>
        </w:rPr>
        <w:tab/>
      </w:r>
      <w:r>
        <w:rPr>
          <w:rStyle w:val="35"/>
          <w:rFonts w:hint="eastAsia" w:ascii="黑体" w:hAnsi="黑体" w:eastAsia="黑体" w:cs="黑体"/>
        </w:rPr>
        <w:t>处理能力需求说明</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_Toc343525820 \h </w:instrText>
      </w:r>
      <w:r>
        <w:rPr>
          <w:rFonts w:hint="eastAsia" w:ascii="黑体" w:hAnsi="黑体" w:eastAsia="黑体" w:cs="黑体"/>
        </w:rPr>
        <w:fldChar w:fldCharType="separate"/>
      </w:r>
      <w:r>
        <w:rPr>
          <w:rFonts w:hint="eastAsia" w:ascii="黑体" w:hAnsi="黑体" w:eastAsia="黑体" w:cs="黑体"/>
        </w:rPr>
        <w:t>13</w:t>
      </w:r>
      <w:r>
        <w:rPr>
          <w:rFonts w:hint="eastAsia" w:ascii="黑体" w:hAnsi="黑体" w:eastAsia="黑体" w:cs="黑体"/>
        </w:rPr>
        <w:fldChar w:fldCharType="end"/>
      </w:r>
      <w:r>
        <w:rPr>
          <w:rFonts w:hint="eastAsia" w:ascii="黑体" w:hAnsi="黑体" w:eastAsia="黑体" w:cs="黑体"/>
        </w:rPr>
        <w:fldChar w:fldCharType="end"/>
      </w:r>
    </w:p>
    <w:p>
      <w:pPr>
        <w:pStyle w:val="17"/>
        <w:tabs>
          <w:tab w:val="left" w:pos="1680"/>
          <w:tab w:val="right" w:leader="dot" w:pos="8296"/>
        </w:tabs>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"_Toc343525821" </w:instrText>
      </w:r>
      <w:r>
        <w:rPr>
          <w:rFonts w:hint="eastAsia" w:ascii="黑体" w:hAnsi="黑体" w:eastAsia="黑体" w:cs="黑体"/>
        </w:rPr>
        <w:fldChar w:fldCharType="separate"/>
      </w:r>
      <w:r>
        <w:rPr>
          <w:rStyle w:val="35"/>
          <w:rFonts w:hint="eastAsia" w:ascii="黑体" w:hAnsi="黑体" w:eastAsia="黑体" w:cs="黑体"/>
        </w:rPr>
        <w:t>2.3.1</w:t>
      </w:r>
      <w:r>
        <w:rPr>
          <w:rFonts w:hint="eastAsia" w:ascii="黑体" w:hAnsi="黑体" w:eastAsia="黑体" w:cs="黑体"/>
        </w:rPr>
        <w:tab/>
      </w:r>
      <w:r>
        <w:rPr>
          <w:rStyle w:val="35"/>
          <w:rFonts w:hint="eastAsia" w:ascii="黑体" w:hAnsi="黑体" w:eastAsia="黑体" w:cs="黑体"/>
        </w:rPr>
        <w:t>精度</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_Toc343525821 \h </w:instrText>
      </w:r>
      <w:r>
        <w:rPr>
          <w:rFonts w:hint="eastAsia" w:ascii="黑体" w:hAnsi="黑体" w:eastAsia="黑体" w:cs="黑体"/>
        </w:rPr>
        <w:fldChar w:fldCharType="separate"/>
      </w:r>
      <w:r>
        <w:rPr>
          <w:rFonts w:hint="eastAsia" w:ascii="黑体" w:hAnsi="黑体" w:eastAsia="黑体" w:cs="黑体"/>
        </w:rPr>
        <w:t>13</w:t>
      </w:r>
      <w:r>
        <w:rPr>
          <w:rFonts w:hint="eastAsia" w:ascii="黑体" w:hAnsi="黑体" w:eastAsia="黑体" w:cs="黑体"/>
        </w:rPr>
        <w:fldChar w:fldCharType="end"/>
      </w:r>
      <w:r>
        <w:rPr>
          <w:rFonts w:hint="eastAsia" w:ascii="黑体" w:hAnsi="黑体" w:eastAsia="黑体" w:cs="黑体"/>
        </w:rPr>
        <w:fldChar w:fldCharType="end"/>
      </w:r>
    </w:p>
    <w:p>
      <w:pPr>
        <w:pStyle w:val="17"/>
        <w:tabs>
          <w:tab w:val="left" w:pos="1680"/>
          <w:tab w:val="right" w:leader="dot" w:pos="8296"/>
        </w:tabs>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"_Toc343525822" </w:instrText>
      </w:r>
      <w:r>
        <w:rPr>
          <w:rFonts w:hint="eastAsia" w:ascii="黑体" w:hAnsi="黑体" w:eastAsia="黑体" w:cs="黑体"/>
        </w:rPr>
        <w:fldChar w:fldCharType="separate"/>
      </w:r>
      <w:r>
        <w:rPr>
          <w:rStyle w:val="35"/>
          <w:rFonts w:hint="eastAsia" w:ascii="黑体" w:hAnsi="黑体" w:eastAsia="黑体" w:cs="黑体"/>
        </w:rPr>
        <w:t>2.3.2</w:t>
      </w:r>
      <w:r>
        <w:rPr>
          <w:rFonts w:hint="eastAsia" w:ascii="黑体" w:hAnsi="黑体" w:eastAsia="黑体" w:cs="黑体"/>
        </w:rPr>
        <w:tab/>
      </w:r>
      <w:r>
        <w:rPr>
          <w:rStyle w:val="35"/>
          <w:rFonts w:hint="eastAsia" w:ascii="黑体" w:hAnsi="黑体" w:eastAsia="黑体" w:cs="黑体"/>
        </w:rPr>
        <w:t>每页最大显示行数</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_Toc343525822 \h </w:instrText>
      </w:r>
      <w:r>
        <w:rPr>
          <w:rFonts w:hint="eastAsia" w:ascii="黑体" w:hAnsi="黑体" w:eastAsia="黑体" w:cs="黑体"/>
        </w:rPr>
        <w:fldChar w:fldCharType="separate"/>
      </w:r>
      <w:r>
        <w:rPr>
          <w:rFonts w:hint="eastAsia" w:ascii="黑体" w:hAnsi="黑体" w:eastAsia="黑体" w:cs="黑体"/>
        </w:rPr>
        <w:t>13</w:t>
      </w:r>
      <w:r>
        <w:rPr>
          <w:rFonts w:hint="eastAsia" w:ascii="黑体" w:hAnsi="黑体" w:eastAsia="黑体" w:cs="黑体"/>
        </w:rPr>
        <w:fldChar w:fldCharType="end"/>
      </w:r>
      <w:r>
        <w:rPr>
          <w:rFonts w:hint="eastAsia" w:ascii="黑体" w:hAnsi="黑体" w:eastAsia="黑体" w:cs="黑体"/>
        </w:rPr>
        <w:fldChar w:fldCharType="end"/>
      </w:r>
    </w:p>
    <w:p>
      <w:pPr>
        <w:pStyle w:val="17"/>
        <w:tabs>
          <w:tab w:val="left" w:pos="1680"/>
          <w:tab w:val="right" w:leader="dot" w:pos="8296"/>
        </w:tabs>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"_Toc343525823" </w:instrText>
      </w:r>
      <w:r>
        <w:rPr>
          <w:rFonts w:hint="eastAsia" w:ascii="黑体" w:hAnsi="黑体" w:eastAsia="黑体" w:cs="黑体"/>
        </w:rPr>
        <w:fldChar w:fldCharType="separate"/>
      </w:r>
      <w:r>
        <w:rPr>
          <w:rStyle w:val="35"/>
          <w:rFonts w:hint="eastAsia" w:ascii="黑体" w:hAnsi="黑体" w:eastAsia="黑体" w:cs="黑体"/>
        </w:rPr>
        <w:t>2.3.3</w:t>
      </w:r>
      <w:r>
        <w:rPr>
          <w:rFonts w:hint="eastAsia" w:ascii="黑体" w:hAnsi="黑体" w:eastAsia="黑体" w:cs="黑体"/>
        </w:rPr>
        <w:tab/>
      </w:r>
      <w:r>
        <w:rPr>
          <w:rStyle w:val="35"/>
          <w:rFonts w:hint="eastAsia" w:ascii="黑体" w:hAnsi="黑体" w:eastAsia="黑体" w:cs="黑体"/>
        </w:rPr>
        <w:t>性能要求（时间特性)</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_Toc343525823 \h </w:instrText>
      </w:r>
      <w:r>
        <w:rPr>
          <w:rFonts w:hint="eastAsia" w:ascii="黑体" w:hAnsi="黑体" w:eastAsia="黑体" w:cs="黑体"/>
        </w:rPr>
        <w:fldChar w:fldCharType="separate"/>
      </w:r>
      <w:r>
        <w:rPr>
          <w:rFonts w:hint="eastAsia" w:ascii="黑体" w:hAnsi="黑体" w:eastAsia="黑体" w:cs="黑体"/>
        </w:rPr>
        <w:t>13</w:t>
      </w:r>
      <w:r>
        <w:rPr>
          <w:rFonts w:hint="eastAsia" w:ascii="黑体" w:hAnsi="黑体" w:eastAsia="黑体" w:cs="黑体"/>
        </w:rPr>
        <w:fldChar w:fldCharType="end"/>
      </w:r>
      <w:r>
        <w:rPr>
          <w:rFonts w:hint="eastAsia" w:ascii="黑体" w:hAnsi="黑体" w:eastAsia="黑体" w:cs="黑体"/>
        </w:rPr>
        <w:fldChar w:fldCharType="end"/>
      </w:r>
    </w:p>
    <w:p>
      <w:pPr>
        <w:pStyle w:val="17"/>
        <w:tabs>
          <w:tab w:val="left" w:pos="1680"/>
          <w:tab w:val="right" w:leader="dot" w:pos="8296"/>
        </w:tabs>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"_Toc343525824" </w:instrText>
      </w:r>
      <w:r>
        <w:rPr>
          <w:rFonts w:hint="eastAsia" w:ascii="黑体" w:hAnsi="黑体" w:eastAsia="黑体" w:cs="黑体"/>
        </w:rPr>
        <w:fldChar w:fldCharType="separate"/>
      </w:r>
      <w:r>
        <w:rPr>
          <w:rStyle w:val="35"/>
          <w:rFonts w:hint="eastAsia" w:ascii="黑体" w:hAnsi="黑体" w:eastAsia="黑体" w:cs="黑体"/>
        </w:rPr>
        <w:t>2.3.4</w:t>
      </w:r>
      <w:r>
        <w:rPr>
          <w:rFonts w:hint="eastAsia" w:ascii="黑体" w:hAnsi="黑体" w:eastAsia="黑体" w:cs="黑体"/>
        </w:rPr>
        <w:tab/>
      </w:r>
      <w:r>
        <w:rPr>
          <w:rStyle w:val="35"/>
          <w:rFonts w:hint="eastAsia" w:ascii="黑体" w:hAnsi="黑体" w:eastAsia="黑体" w:cs="黑体"/>
        </w:rPr>
        <w:t>灵活性</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_Toc343525824 \h </w:instrText>
      </w:r>
      <w:r>
        <w:rPr>
          <w:rFonts w:hint="eastAsia" w:ascii="黑体" w:hAnsi="黑体" w:eastAsia="黑体" w:cs="黑体"/>
        </w:rPr>
        <w:fldChar w:fldCharType="separate"/>
      </w:r>
      <w:r>
        <w:rPr>
          <w:rFonts w:hint="eastAsia" w:ascii="黑体" w:hAnsi="黑体" w:eastAsia="黑体" w:cs="黑体"/>
        </w:rPr>
        <w:t>14</w:t>
      </w:r>
      <w:r>
        <w:rPr>
          <w:rFonts w:hint="eastAsia" w:ascii="黑体" w:hAnsi="黑体" w:eastAsia="黑体" w:cs="黑体"/>
        </w:rPr>
        <w:fldChar w:fldCharType="end"/>
      </w:r>
      <w:r>
        <w:rPr>
          <w:rFonts w:hint="eastAsia" w:ascii="黑体" w:hAnsi="黑体" w:eastAsia="黑体" w:cs="黑体"/>
        </w:rPr>
        <w:fldChar w:fldCharType="end"/>
      </w:r>
    </w:p>
    <w:p>
      <w:pPr>
        <w:pStyle w:val="17"/>
        <w:tabs>
          <w:tab w:val="left" w:pos="1680"/>
          <w:tab w:val="right" w:leader="dot" w:pos="8296"/>
        </w:tabs>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"_Toc343525825" </w:instrText>
      </w:r>
      <w:r>
        <w:rPr>
          <w:rFonts w:hint="eastAsia" w:ascii="黑体" w:hAnsi="黑体" w:eastAsia="黑体" w:cs="黑体"/>
        </w:rPr>
        <w:fldChar w:fldCharType="separate"/>
      </w:r>
      <w:r>
        <w:rPr>
          <w:rStyle w:val="35"/>
          <w:rFonts w:hint="eastAsia" w:ascii="黑体" w:hAnsi="黑体" w:eastAsia="黑体" w:cs="黑体"/>
        </w:rPr>
        <w:t>2.3.5</w:t>
      </w:r>
      <w:r>
        <w:rPr>
          <w:rFonts w:hint="eastAsia" w:ascii="黑体" w:hAnsi="黑体" w:eastAsia="黑体" w:cs="黑体"/>
        </w:rPr>
        <w:tab/>
      </w:r>
      <w:r>
        <w:rPr>
          <w:rStyle w:val="35"/>
          <w:rFonts w:hint="eastAsia" w:ascii="黑体" w:hAnsi="黑体" w:eastAsia="黑体" w:cs="黑体"/>
        </w:rPr>
        <w:t>容错性要求</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_Toc343525825 \h </w:instrText>
      </w:r>
      <w:r>
        <w:rPr>
          <w:rFonts w:hint="eastAsia" w:ascii="黑体" w:hAnsi="黑体" w:eastAsia="黑体" w:cs="黑体"/>
        </w:rPr>
        <w:fldChar w:fldCharType="separate"/>
      </w:r>
      <w:r>
        <w:rPr>
          <w:rFonts w:hint="eastAsia" w:ascii="黑体" w:hAnsi="黑体" w:eastAsia="黑体" w:cs="黑体"/>
        </w:rPr>
        <w:t>14</w:t>
      </w:r>
      <w:r>
        <w:rPr>
          <w:rFonts w:hint="eastAsia" w:ascii="黑体" w:hAnsi="黑体" w:eastAsia="黑体" w:cs="黑体"/>
        </w:rPr>
        <w:fldChar w:fldCharType="end"/>
      </w:r>
      <w:r>
        <w:rPr>
          <w:rFonts w:hint="eastAsia" w:ascii="黑体" w:hAnsi="黑体" w:eastAsia="黑体" w:cs="黑体"/>
        </w:rPr>
        <w:fldChar w:fldCharType="end"/>
      </w:r>
    </w:p>
    <w:p>
      <w:pPr>
        <w:pStyle w:val="17"/>
        <w:tabs>
          <w:tab w:val="left" w:pos="1680"/>
          <w:tab w:val="right" w:leader="dot" w:pos="8296"/>
        </w:tabs>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"_Toc343525826" </w:instrText>
      </w:r>
      <w:r>
        <w:rPr>
          <w:rFonts w:hint="eastAsia" w:ascii="黑体" w:hAnsi="黑体" w:eastAsia="黑体" w:cs="黑体"/>
        </w:rPr>
        <w:fldChar w:fldCharType="separate"/>
      </w:r>
      <w:r>
        <w:rPr>
          <w:rStyle w:val="35"/>
          <w:rFonts w:hint="eastAsia" w:ascii="黑体" w:hAnsi="黑体" w:eastAsia="黑体" w:cs="黑体"/>
        </w:rPr>
        <w:t>2.3.6</w:t>
      </w:r>
      <w:r>
        <w:rPr>
          <w:rFonts w:hint="eastAsia" w:ascii="黑体" w:hAnsi="黑体" w:eastAsia="黑体" w:cs="黑体"/>
        </w:rPr>
        <w:tab/>
      </w:r>
      <w:r>
        <w:rPr>
          <w:rStyle w:val="35"/>
          <w:rFonts w:hint="eastAsia" w:ascii="黑体" w:hAnsi="黑体" w:eastAsia="黑体" w:cs="黑体"/>
        </w:rPr>
        <w:t>可维护性</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_Toc343525826 \h </w:instrText>
      </w:r>
      <w:r>
        <w:rPr>
          <w:rFonts w:hint="eastAsia" w:ascii="黑体" w:hAnsi="黑体" w:eastAsia="黑体" w:cs="黑体"/>
        </w:rPr>
        <w:fldChar w:fldCharType="separate"/>
      </w:r>
      <w:r>
        <w:rPr>
          <w:rFonts w:hint="eastAsia" w:ascii="黑体" w:hAnsi="黑体" w:eastAsia="黑体" w:cs="黑体"/>
        </w:rPr>
        <w:t>14</w:t>
      </w:r>
      <w:r>
        <w:rPr>
          <w:rFonts w:hint="eastAsia" w:ascii="黑体" w:hAnsi="黑体" w:eastAsia="黑体" w:cs="黑体"/>
        </w:rPr>
        <w:fldChar w:fldCharType="end"/>
      </w:r>
      <w:r>
        <w:rPr>
          <w:rFonts w:hint="eastAsia" w:ascii="黑体" w:hAnsi="黑体" w:eastAsia="黑体" w:cs="黑体"/>
        </w:rPr>
        <w:fldChar w:fldCharType="end"/>
      </w:r>
    </w:p>
    <w:p>
      <w:pPr>
        <w:pStyle w:val="25"/>
        <w:tabs>
          <w:tab w:val="left" w:pos="420"/>
          <w:tab w:val="right" w:leader="dot" w:pos="8296"/>
        </w:tabs>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"_Toc343525827" </w:instrText>
      </w:r>
      <w:r>
        <w:rPr>
          <w:rFonts w:hint="eastAsia" w:ascii="黑体" w:hAnsi="黑体" w:eastAsia="黑体" w:cs="黑体"/>
        </w:rPr>
        <w:fldChar w:fldCharType="separate"/>
      </w:r>
      <w:r>
        <w:rPr>
          <w:rStyle w:val="35"/>
          <w:rFonts w:hint="eastAsia" w:ascii="黑体" w:hAnsi="黑体" w:eastAsia="黑体" w:cs="黑体"/>
        </w:rPr>
        <w:t>3</w:t>
      </w:r>
      <w:r>
        <w:rPr>
          <w:rFonts w:hint="eastAsia" w:ascii="黑体" w:hAnsi="黑体" w:eastAsia="黑体" w:cs="黑体"/>
        </w:rPr>
        <w:tab/>
      </w:r>
      <w:r>
        <w:rPr>
          <w:rStyle w:val="35"/>
          <w:rFonts w:hint="eastAsia" w:ascii="黑体" w:hAnsi="黑体" w:eastAsia="黑体" w:cs="黑体"/>
        </w:rPr>
        <w:t>一期监管报表需求分析</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_Toc343525827 \h </w:instrText>
      </w:r>
      <w:r>
        <w:rPr>
          <w:rFonts w:hint="eastAsia" w:ascii="黑体" w:hAnsi="黑体" w:eastAsia="黑体" w:cs="黑体"/>
        </w:rPr>
        <w:fldChar w:fldCharType="separate"/>
      </w:r>
      <w:r>
        <w:rPr>
          <w:rFonts w:hint="eastAsia" w:ascii="黑体" w:hAnsi="黑体" w:eastAsia="黑体" w:cs="黑体"/>
        </w:rPr>
        <w:t>14</w:t>
      </w:r>
      <w:r>
        <w:rPr>
          <w:rFonts w:hint="eastAsia" w:ascii="黑体" w:hAnsi="黑体" w:eastAsia="黑体" w:cs="黑体"/>
        </w:rPr>
        <w:fldChar w:fldCharType="end"/>
      </w:r>
      <w:r>
        <w:rPr>
          <w:rFonts w:hint="eastAsia" w:ascii="黑体" w:hAnsi="黑体" w:eastAsia="黑体" w:cs="黑体"/>
        </w:rPr>
        <w:fldChar w:fldCharType="end"/>
      </w:r>
    </w:p>
    <w:p>
      <w:pPr>
        <w:pStyle w:val="17"/>
        <w:tabs>
          <w:tab w:val="left" w:pos="1680"/>
          <w:tab w:val="right" w:leader="dot" w:pos="8296"/>
        </w:tabs>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"_Toc343525828" </w:instrText>
      </w:r>
      <w:r>
        <w:rPr>
          <w:rFonts w:hint="eastAsia" w:ascii="黑体" w:hAnsi="黑体" w:eastAsia="黑体" w:cs="黑体"/>
        </w:rPr>
        <w:fldChar w:fldCharType="separate"/>
      </w:r>
      <w:r>
        <w:rPr>
          <w:rStyle w:val="35"/>
          <w:rFonts w:hint="eastAsia" w:ascii="黑体" w:hAnsi="黑体" w:eastAsia="黑体" w:cs="黑体"/>
        </w:rPr>
        <w:t>3.1.1</w:t>
      </w:r>
      <w:r>
        <w:rPr>
          <w:rFonts w:hint="eastAsia" w:ascii="黑体" w:hAnsi="黑体" w:eastAsia="黑体" w:cs="黑体"/>
        </w:rPr>
        <w:tab/>
      </w:r>
      <w:r>
        <w:rPr>
          <w:rStyle w:val="35"/>
          <w:rFonts w:hint="eastAsia" w:ascii="黑体" w:hAnsi="黑体" w:eastAsia="黑体" w:cs="黑体"/>
        </w:rPr>
        <w:t>监管报表与原系统映射</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_Toc343525828 \h </w:instrText>
      </w:r>
      <w:r>
        <w:rPr>
          <w:rFonts w:hint="eastAsia" w:ascii="黑体" w:hAnsi="黑体" w:eastAsia="黑体" w:cs="黑体"/>
        </w:rPr>
        <w:fldChar w:fldCharType="separate"/>
      </w:r>
      <w:r>
        <w:rPr>
          <w:rFonts w:hint="eastAsia" w:ascii="黑体" w:hAnsi="黑体" w:eastAsia="黑体" w:cs="黑体"/>
        </w:rPr>
        <w:t>14</w:t>
      </w:r>
      <w:r>
        <w:rPr>
          <w:rFonts w:hint="eastAsia" w:ascii="黑体" w:hAnsi="黑体" w:eastAsia="黑体" w:cs="黑体"/>
        </w:rPr>
        <w:fldChar w:fldCharType="end"/>
      </w:r>
      <w:r>
        <w:rPr>
          <w:rFonts w:hint="eastAsia" w:ascii="黑体" w:hAnsi="黑体" w:eastAsia="黑体" w:cs="黑体"/>
        </w:rPr>
        <w:fldChar w:fldCharType="end"/>
      </w:r>
    </w:p>
    <w:p>
      <w:pPr>
        <w:pStyle w:val="17"/>
        <w:tabs>
          <w:tab w:val="left" w:pos="1680"/>
          <w:tab w:val="right" w:leader="dot" w:pos="8296"/>
        </w:tabs>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"_Toc343525829" </w:instrText>
      </w:r>
      <w:r>
        <w:rPr>
          <w:rFonts w:hint="eastAsia" w:ascii="黑体" w:hAnsi="黑体" w:eastAsia="黑体" w:cs="黑体"/>
        </w:rPr>
        <w:fldChar w:fldCharType="separate"/>
      </w:r>
      <w:r>
        <w:rPr>
          <w:rStyle w:val="35"/>
          <w:rFonts w:hint="eastAsia" w:ascii="黑体" w:hAnsi="黑体" w:eastAsia="黑体" w:cs="黑体"/>
        </w:rPr>
        <w:t>3.1.2</w:t>
      </w:r>
      <w:r>
        <w:rPr>
          <w:rFonts w:hint="eastAsia" w:ascii="黑体" w:hAnsi="黑体" w:eastAsia="黑体" w:cs="黑体"/>
        </w:rPr>
        <w:tab/>
      </w:r>
      <w:r>
        <w:rPr>
          <w:rStyle w:val="35"/>
          <w:rFonts w:hint="eastAsia" w:ascii="黑体" w:hAnsi="黑体" w:eastAsia="黑体" w:cs="黑体"/>
        </w:rPr>
        <w:t>表样格式需求分析</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_Toc343525829 \h </w:instrText>
      </w:r>
      <w:r>
        <w:rPr>
          <w:rFonts w:hint="eastAsia" w:ascii="黑体" w:hAnsi="黑体" w:eastAsia="黑体" w:cs="黑体"/>
        </w:rPr>
        <w:fldChar w:fldCharType="separate"/>
      </w:r>
      <w:r>
        <w:rPr>
          <w:rFonts w:hint="eastAsia" w:ascii="黑体" w:hAnsi="黑体" w:eastAsia="黑体" w:cs="黑体"/>
        </w:rPr>
        <w:t>15</w:t>
      </w:r>
      <w:r>
        <w:rPr>
          <w:rFonts w:hint="eastAsia" w:ascii="黑体" w:hAnsi="黑体" w:eastAsia="黑体" w:cs="黑体"/>
        </w:rPr>
        <w:fldChar w:fldCharType="end"/>
      </w:r>
      <w:r>
        <w:rPr>
          <w:rFonts w:hint="eastAsia" w:ascii="黑体" w:hAnsi="黑体" w:eastAsia="黑体" w:cs="黑体"/>
        </w:rPr>
        <w:fldChar w:fldCharType="end"/>
      </w:r>
    </w:p>
    <w:p>
      <w:pPr>
        <w:spacing w:line="360" w:lineRule="auto"/>
        <w:rPr>
          <w:rFonts w:hint="eastAsia" w:ascii="黑体" w:hAnsi="黑体" w:eastAsia="黑体" w:cs="黑体"/>
        </w:rPr>
      </w:pPr>
      <w:r>
        <w:rPr>
          <w:rFonts w:hint="eastAsia" w:ascii="黑体" w:hAnsi="黑体" w:eastAsia="黑体" w:cs="黑体"/>
          <w:sz w:val="18"/>
          <w:szCs w:val="18"/>
        </w:rPr>
        <w:fldChar w:fldCharType="end"/>
      </w:r>
      <w:bookmarkEnd w:id="3"/>
      <w:bookmarkEnd w:id="4"/>
      <w:bookmarkEnd w:id="5"/>
      <w:bookmarkEnd w:id="6"/>
      <w:bookmarkEnd w:id="7"/>
      <w:bookmarkEnd w:id="8"/>
      <w:bookmarkEnd w:id="9"/>
    </w:p>
    <w:p>
      <w:pPr>
        <w:spacing w:line="360" w:lineRule="auto"/>
        <w:rPr>
          <w:rFonts w:hint="eastAsia" w:ascii="黑体" w:hAnsi="黑体" w:eastAsia="黑体" w:cs="黑体"/>
        </w:rPr>
      </w:pPr>
    </w:p>
    <w:p>
      <w:pPr>
        <w:spacing w:line="360" w:lineRule="auto"/>
        <w:rPr>
          <w:rFonts w:hint="eastAsia" w:ascii="黑体" w:hAnsi="黑体" w:eastAsia="黑体" w:cs="黑体"/>
        </w:rPr>
      </w:pPr>
    </w:p>
    <w:p>
      <w:pPr>
        <w:spacing w:line="360" w:lineRule="auto"/>
        <w:rPr>
          <w:rFonts w:hint="eastAsia" w:ascii="黑体" w:hAnsi="黑体" w:eastAsia="黑体" w:cs="黑体"/>
        </w:rPr>
      </w:pPr>
    </w:p>
    <w:p>
      <w:pPr>
        <w:spacing w:line="360" w:lineRule="auto"/>
        <w:rPr>
          <w:rFonts w:hint="eastAsia" w:ascii="黑体" w:hAnsi="黑体" w:eastAsia="黑体" w:cs="黑体"/>
        </w:rPr>
      </w:pPr>
    </w:p>
    <w:p>
      <w:pPr>
        <w:spacing w:line="360" w:lineRule="auto"/>
        <w:rPr>
          <w:rFonts w:hint="eastAsia" w:ascii="黑体" w:hAnsi="黑体" w:eastAsia="黑体" w:cs="黑体"/>
        </w:rPr>
      </w:pPr>
    </w:p>
    <w:p>
      <w:pPr>
        <w:spacing w:line="360" w:lineRule="auto"/>
        <w:rPr>
          <w:rFonts w:hint="eastAsia" w:ascii="黑体" w:hAnsi="黑体" w:eastAsia="黑体" w:cs="黑体"/>
        </w:rPr>
      </w:pPr>
    </w:p>
    <w:p>
      <w:pPr>
        <w:spacing w:line="360" w:lineRule="auto"/>
        <w:rPr>
          <w:rFonts w:hint="eastAsia" w:ascii="黑体" w:hAnsi="黑体" w:eastAsia="黑体" w:cs="黑体"/>
        </w:rPr>
      </w:pPr>
    </w:p>
    <w:p>
      <w:pPr>
        <w:spacing w:line="360" w:lineRule="auto"/>
        <w:rPr>
          <w:rFonts w:hint="eastAsia" w:ascii="黑体" w:hAnsi="黑体" w:eastAsia="黑体" w:cs="黑体"/>
        </w:rPr>
      </w:pPr>
    </w:p>
    <w:p>
      <w:pPr>
        <w:spacing w:line="360" w:lineRule="auto"/>
        <w:rPr>
          <w:rFonts w:hint="eastAsia" w:ascii="黑体" w:hAnsi="黑体" w:eastAsia="黑体" w:cs="黑体"/>
        </w:rPr>
      </w:pPr>
    </w:p>
    <w:p>
      <w:pPr>
        <w:spacing w:line="360" w:lineRule="auto"/>
        <w:rPr>
          <w:rFonts w:hint="eastAsia" w:ascii="黑体" w:hAnsi="黑体" w:eastAsia="黑体" w:cs="黑体"/>
        </w:rPr>
      </w:pPr>
    </w:p>
    <w:p>
      <w:pPr>
        <w:spacing w:line="360" w:lineRule="auto"/>
        <w:rPr>
          <w:rFonts w:hint="eastAsia" w:ascii="黑体" w:hAnsi="黑体" w:eastAsia="黑体" w:cs="黑体"/>
        </w:rPr>
      </w:pPr>
    </w:p>
    <w:p>
      <w:pPr>
        <w:pStyle w:val="2"/>
        <w:spacing w:line="360" w:lineRule="auto"/>
        <w:rPr>
          <w:rFonts w:hint="eastAsia" w:ascii="黑体" w:hAnsi="黑体" w:eastAsia="黑体" w:cs="黑体"/>
        </w:rPr>
      </w:pPr>
      <w:bookmarkStart w:id="10" w:name="_Toc343525805"/>
      <w:r>
        <w:rPr>
          <w:rFonts w:hint="eastAsia" w:ascii="黑体" w:hAnsi="黑体" w:eastAsia="黑体" w:cs="黑体"/>
        </w:rPr>
        <w:t>监管报送报表需求</w:t>
      </w:r>
      <w:bookmarkEnd w:id="10"/>
    </w:p>
    <w:p>
      <w:pPr>
        <w:pStyle w:val="3"/>
        <w:spacing w:line="360" w:lineRule="auto"/>
        <w:rPr>
          <w:rFonts w:hint="eastAsia" w:ascii="黑体" w:hAnsi="黑体" w:eastAsia="黑体" w:cs="黑体"/>
        </w:rPr>
      </w:pPr>
      <w:bookmarkStart w:id="11" w:name="_Toc343525806"/>
      <w:r>
        <w:rPr>
          <w:rFonts w:hint="eastAsia" w:ascii="黑体" w:hAnsi="黑体" w:eastAsia="黑体" w:cs="黑体"/>
        </w:rPr>
        <w:t>项目描述</w:t>
      </w:r>
      <w:bookmarkEnd w:id="11"/>
    </w:p>
    <w:p>
      <w:pPr>
        <w:pStyle w:val="4"/>
        <w:spacing w:line="360" w:lineRule="auto"/>
        <w:rPr>
          <w:rFonts w:hint="eastAsia" w:ascii="黑体" w:hAnsi="黑体" w:eastAsia="黑体" w:cs="黑体"/>
        </w:rPr>
      </w:pPr>
      <w:bookmarkStart w:id="12" w:name="_Toc343525807"/>
      <w:bookmarkStart w:id="13" w:name="_Toc119760103"/>
      <w:bookmarkStart w:id="14" w:name="_Toc106417296"/>
      <w:bookmarkStart w:id="15" w:name="_Toc66070423"/>
      <w:r>
        <w:rPr>
          <w:rFonts w:hint="eastAsia" w:ascii="黑体" w:hAnsi="黑体" w:eastAsia="黑体" w:cs="黑体"/>
        </w:rPr>
        <w:t>背景</w:t>
      </w:r>
      <w:bookmarkEnd w:id="12"/>
    </w:p>
    <w:p>
      <w:pPr>
        <w:spacing w:line="360" w:lineRule="auto"/>
        <w:ind w:firstLine="420" w:firstLineChars="200"/>
        <w:rPr>
          <w:rFonts w:hint="eastAsia" w:ascii="黑体" w:hAnsi="黑体" w:eastAsia="黑体" w:cs="黑体"/>
        </w:rPr>
      </w:pPr>
      <w:r>
        <w:rPr>
          <w:rFonts w:hint="eastAsia" w:ascii="黑体" w:hAnsi="黑体" w:eastAsia="黑体" w:cs="黑体"/>
        </w:rPr>
        <w:t>银监会为了</w:t>
      </w:r>
      <w:r>
        <w:rPr>
          <w:rFonts w:hint="eastAsia" w:ascii="黑体" w:hAnsi="黑体" w:eastAsia="黑体" w:cs="黑体"/>
          <w:lang w:val="zh-CN"/>
        </w:rPr>
        <w:t>加强</w:t>
      </w:r>
      <w:r>
        <w:rPr>
          <w:rFonts w:hint="eastAsia" w:ascii="黑体" w:hAnsi="黑体" w:eastAsia="黑体" w:cs="黑体"/>
        </w:rPr>
        <w:t>对银行业的持续监管，提出了新监管报表体系，并要求在2006年起开始上报，华兴银行在2012年的ODS项目目标中，明确提出了ODS项目要与明年一月初监管报表报送工作进行衔接。鉴于此，数据信息中心提出对外监管报表的需求梳理工作。</w:t>
      </w:r>
    </w:p>
    <w:p>
      <w:pPr>
        <w:spacing w:line="360" w:lineRule="auto"/>
        <w:rPr>
          <w:rFonts w:hint="eastAsia" w:ascii="黑体" w:hAnsi="黑体" w:eastAsia="黑体" w:cs="黑体"/>
        </w:rPr>
      </w:pPr>
    </w:p>
    <w:p>
      <w:pPr>
        <w:pStyle w:val="4"/>
        <w:spacing w:line="360" w:lineRule="auto"/>
        <w:rPr>
          <w:rFonts w:hint="eastAsia" w:ascii="黑体" w:hAnsi="黑体" w:eastAsia="黑体" w:cs="黑体"/>
        </w:rPr>
      </w:pPr>
      <w:bookmarkStart w:id="16" w:name="_Toc343525808"/>
      <w:r>
        <w:rPr>
          <w:rFonts w:hint="eastAsia" w:ascii="黑体" w:hAnsi="黑体" w:eastAsia="黑体" w:cs="黑体"/>
        </w:rPr>
        <w:t>任务目标</w:t>
      </w:r>
      <w:bookmarkEnd w:id="16"/>
    </w:p>
    <w:p>
      <w:pPr>
        <w:spacing w:line="360" w:lineRule="auto"/>
        <w:ind w:firstLine="420" w:firstLineChars="200"/>
        <w:rPr>
          <w:rFonts w:hint="eastAsia" w:ascii="黑体" w:hAnsi="黑体" w:eastAsia="黑体" w:cs="黑体"/>
        </w:rPr>
      </w:pPr>
      <w:r>
        <w:rPr>
          <w:rFonts w:hint="eastAsia" w:ascii="黑体" w:hAnsi="黑体" w:eastAsia="黑体" w:cs="黑体"/>
        </w:rPr>
        <w:t>对新监管报表体系、我行内部管理报表体系以及信息披露报表体系进行梳理，明确报告项目的口径定义，</w:t>
      </w:r>
      <w:r>
        <w:rPr>
          <w:rFonts w:hint="eastAsia" w:ascii="黑体" w:hAnsi="黑体" w:eastAsia="黑体" w:cs="黑体"/>
          <w:lang w:val="zh-CN"/>
        </w:rPr>
        <w:t>整理</w:t>
      </w:r>
      <w:r>
        <w:rPr>
          <w:rFonts w:hint="eastAsia" w:ascii="黑体" w:hAnsi="黑体" w:eastAsia="黑体" w:cs="黑体"/>
        </w:rPr>
        <w:t>我行统一使用的监管指标并分析信息采集的困难点，为今后工作打下基础。</w:t>
      </w:r>
    </w:p>
    <w:p>
      <w:pPr>
        <w:spacing w:line="360" w:lineRule="auto"/>
        <w:ind w:firstLine="420" w:firstLineChars="200"/>
        <w:rPr>
          <w:rFonts w:hint="eastAsia" w:ascii="黑体" w:hAnsi="黑体" w:eastAsia="黑体" w:cs="黑体"/>
        </w:rPr>
      </w:pPr>
      <w:r>
        <w:rPr>
          <w:rFonts w:hint="eastAsia" w:ascii="黑体" w:hAnsi="黑体" w:eastAsia="黑体" w:cs="黑体"/>
        </w:rPr>
        <w:t>熟悉掌握和</w:t>
      </w:r>
      <w:r>
        <w:rPr>
          <w:rFonts w:hint="eastAsia" w:ascii="黑体" w:hAnsi="黑体" w:eastAsia="黑体" w:cs="黑体"/>
          <w:lang w:val="zh-CN"/>
        </w:rPr>
        <w:t>理解</w:t>
      </w:r>
      <w:r>
        <w:rPr>
          <w:rFonts w:hint="eastAsia" w:ascii="黑体" w:hAnsi="黑体" w:eastAsia="黑体" w:cs="黑体"/>
        </w:rPr>
        <w:t>各指标的内涵，为今后ODS项目中对外监管报表报送等应用口径报送的一致性，数据定义的完备性奠定基础。</w:t>
      </w:r>
    </w:p>
    <w:p>
      <w:pPr>
        <w:spacing w:line="360" w:lineRule="auto"/>
        <w:ind w:firstLine="420" w:firstLineChars="200"/>
        <w:rPr>
          <w:rFonts w:hint="eastAsia" w:ascii="黑体" w:hAnsi="黑体" w:eastAsia="黑体" w:cs="黑体"/>
        </w:rPr>
      </w:pPr>
      <w:r>
        <w:rPr>
          <w:rFonts w:hint="eastAsia" w:ascii="黑体" w:hAnsi="黑体" w:eastAsia="黑体" w:cs="黑体"/>
        </w:rPr>
        <w:t>梳理23张监管</w:t>
      </w:r>
      <w:r>
        <w:rPr>
          <w:rFonts w:hint="eastAsia" w:ascii="黑体" w:hAnsi="黑体" w:eastAsia="黑体" w:cs="黑体"/>
          <w:lang w:val="zh-CN"/>
        </w:rPr>
        <w:t>报表</w:t>
      </w:r>
      <w:r>
        <w:rPr>
          <w:rFonts w:hint="eastAsia" w:ascii="黑体" w:hAnsi="黑体" w:eastAsia="黑体" w:cs="黑体"/>
        </w:rPr>
        <w:t>模板，解释相应指标口径、定义，编写业务需求书；</w:t>
      </w:r>
    </w:p>
    <w:p>
      <w:pPr>
        <w:spacing w:line="360" w:lineRule="auto"/>
        <w:ind w:firstLine="420" w:firstLineChars="200"/>
        <w:rPr>
          <w:rFonts w:hint="eastAsia" w:ascii="黑体" w:hAnsi="黑体" w:eastAsia="黑体" w:cs="黑体"/>
        </w:rPr>
      </w:pPr>
      <w:r>
        <w:rPr>
          <w:rFonts w:hint="eastAsia" w:ascii="黑体" w:hAnsi="黑体" w:eastAsia="黑体" w:cs="黑体"/>
        </w:rPr>
        <w:t>进行业务</w:t>
      </w:r>
      <w:r>
        <w:rPr>
          <w:rFonts w:hint="eastAsia" w:ascii="黑体" w:hAnsi="黑体" w:eastAsia="黑体" w:cs="黑体"/>
          <w:lang w:val="zh-CN"/>
        </w:rPr>
        <w:t>系统分析</w:t>
      </w:r>
      <w:r>
        <w:rPr>
          <w:rFonts w:hint="eastAsia" w:ascii="黑体" w:hAnsi="黑体" w:eastAsia="黑体" w:cs="黑体"/>
        </w:rPr>
        <w:t>，完成报表的数据定义，并进行业务规则的检查；</w:t>
      </w:r>
    </w:p>
    <w:p>
      <w:pPr>
        <w:spacing w:line="360" w:lineRule="auto"/>
        <w:ind w:firstLine="420" w:firstLineChars="200"/>
        <w:rPr>
          <w:rFonts w:hint="eastAsia" w:ascii="黑体" w:hAnsi="黑体" w:eastAsia="黑体" w:cs="黑体"/>
        </w:rPr>
      </w:pPr>
      <w:r>
        <w:rPr>
          <w:rFonts w:hint="eastAsia" w:ascii="黑体" w:hAnsi="黑体" w:eastAsia="黑体" w:cs="黑体"/>
        </w:rPr>
        <w:t>整理指标体系并编写监管统计指标字典；</w:t>
      </w:r>
    </w:p>
    <w:p>
      <w:pPr>
        <w:spacing w:line="360" w:lineRule="auto"/>
        <w:ind w:firstLine="420" w:firstLineChars="200"/>
        <w:rPr>
          <w:rFonts w:hint="eastAsia" w:ascii="黑体" w:hAnsi="黑体" w:eastAsia="黑体" w:cs="黑体"/>
        </w:rPr>
      </w:pPr>
      <w:r>
        <w:rPr>
          <w:rFonts w:hint="eastAsia" w:ascii="黑体" w:hAnsi="黑体" w:eastAsia="黑体" w:cs="黑体"/>
        </w:rPr>
        <w:t>对部分手工报表提出缺口数据的改进建议；</w:t>
      </w:r>
    </w:p>
    <w:p>
      <w:pPr>
        <w:spacing w:line="360" w:lineRule="auto"/>
        <w:ind w:firstLine="420" w:firstLineChars="200"/>
        <w:rPr>
          <w:rFonts w:hint="eastAsia" w:ascii="黑体" w:hAnsi="黑体" w:eastAsia="黑体" w:cs="黑体"/>
        </w:rPr>
      </w:pPr>
      <w:r>
        <w:rPr>
          <w:rFonts w:hint="eastAsia" w:ascii="黑体" w:hAnsi="黑体" w:eastAsia="黑体" w:cs="黑体"/>
        </w:rPr>
        <w:t>对最终确认的</w:t>
      </w:r>
      <w:r>
        <w:rPr>
          <w:rFonts w:hint="eastAsia" w:ascii="黑体" w:hAnsi="黑体" w:eastAsia="黑体" w:cs="黑体"/>
          <w:lang w:val="zh-CN"/>
        </w:rPr>
        <w:t>手工</w:t>
      </w:r>
      <w:r>
        <w:rPr>
          <w:rFonts w:hint="eastAsia" w:ascii="黑体" w:hAnsi="黑体" w:eastAsia="黑体" w:cs="黑体"/>
        </w:rPr>
        <w:t>报表、需手工补录的数据进行整理。</w:t>
      </w:r>
    </w:p>
    <w:p>
      <w:pPr>
        <w:pStyle w:val="4"/>
        <w:spacing w:line="360" w:lineRule="auto"/>
        <w:rPr>
          <w:rFonts w:hint="eastAsia" w:ascii="黑体" w:hAnsi="黑体" w:eastAsia="黑体" w:cs="黑体"/>
        </w:rPr>
      </w:pPr>
      <w:bookmarkStart w:id="17" w:name="_Toc343525809"/>
      <w:bookmarkStart w:id="18" w:name="_Toc119760127"/>
      <w:bookmarkStart w:id="19" w:name="_Toc105916030"/>
      <w:bookmarkStart w:id="20" w:name="_Toc106417309"/>
      <w:r>
        <w:rPr>
          <w:rFonts w:hint="eastAsia" w:ascii="黑体" w:hAnsi="黑体" w:eastAsia="黑体" w:cs="黑体"/>
        </w:rPr>
        <w:t>监管报表分类</w:t>
      </w:r>
      <w:bookmarkEnd w:id="17"/>
      <w:bookmarkEnd w:id="18"/>
    </w:p>
    <w:bookmarkEnd w:id="19"/>
    <w:bookmarkEnd w:id="20"/>
    <w:p>
      <w:pPr>
        <w:spacing w:line="360" w:lineRule="auto"/>
        <w:ind w:firstLine="420" w:firstLineChars="200"/>
        <w:rPr>
          <w:rFonts w:hint="eastAsia" w:ascii="黑体" w:hAnsi="黑体" w:eastAsia="黑体" w:cs="黑体"/>
        </w:rPr>
      </w:pPr>
      <w:r>
        <w:rPr>
          <w:rFonts w:hint="eastAsia" w:ascii="黑体" w:hAnsi="黑体" w:eastAsia="黑体" w:cs="黑体"/>
        </w:rPr>
        <w:object>
          <v:shape id="_x0000_i1025" o:spt="75" type="#_x0000_t75" style="height:312.75pt;width:390pt;" o:ole="t" filled="f" o:preferrelative="t" stroked="f" coordsize="21600,21600">
            <v:path/>
            <v:fill on="f" focussize="0,0"/>
            <v:stroke on="f" joinstyle="miter"/>
            <v:imagedata r:id="rId8" o:title=""/>
            <o:lock v:ext="edit" aspectratio="t"/>
            <w10:wrap type="none"/>
            <w10:anchorlock/>
          </v:shape>
          <o:OLEObject Type="Embed" ProgID="Visio.Drawing.11" ShapeID="_x0000_i1025" DrawAspect="Content" ObjectID="_1468075725" r:id="rId7">
            <o:LockedField>false</o:LockedField>
          </o:OLEObject>
        </w:object>
      </w:r>
    </w:p>
    <w:p>
      <w:pPr>
        <w:spacing w:line="360" w:lineRule="auto"/>
        <w:ind w:firstLine="420" w:firstLineChars="200"/>
        <w:rPr>
          <w:rFonts w:hint="eastAsia" w:ascii="黑体" w:hAnsi="黑体" w:eastAsia="黑体" w:cs="黑体"/>
        </w:rPr>
      </w:pPr>
      <w:r>
        <w:rPr>
          <w:rFonts w:hint="eastAsia" w:ascii="黑体" w:hAnsi="黑体" w:eastAsia="黑体" w:cs="黑体"/>
        </w:rPr>
        <w:t>银监会遵循</w:t>
      </w:r>
      <w:r>
        <w:rPr>
          <w:rFonts w:hint="eastAsia" w:ascii="黑体" w:hAnsi="黑体" w:eastAsia="黑体" w:cs="黑体"/>
          <w:lang w:val="zh-CN"/>
        </w:rPr>
        <w:t>统一</w:t>
      </w:r>
      <w:r>
        <w:rPr>
          <w:rFonts w:hint="eastAsia" w:ascii="黑体" w:hAnsi="黑体" w:eastAsia="黑体" w:cs="黑体"/>
        </w:rPr>
        <w:t>的监管标准、采用以风险为本的监管方法制定，充分借鉴国际通行的监管标准，同时兼顾银行业的现状，定量采集银行业金融机构的财务和风险信息，设计了报表体系，用于中国银监会对银行业监管机构的持续监管，其报表体系包括基础报表和特色报表两类：</w:t>
      </w:r>
    </w:p>
    <w:p>
      <w:pPr>
        <w:pStyle w:val="3"/>
        <w:spacing w:line="360" w:lineRule="auto"/>
        <w:rPr>
          <w:rFonts w:hint="eastAsia" w:ascii="黑体" w:hAnsi="黑体" w:eastAsia="黑体" w:cs="黑体"/>
        </w:rPr>
      </w:pPr>
      <w:bookmarkStart w:id="21" w:name="_Toc343525810"/>
      <w:r>
        <w:rPr>
          <w:rFonts w:hint="eastAsia" w:ascii="黑体" w:hAnsi="黑体" w:eastAsia="黑体" w:cs="黑体"/>
        </w:rPr>
        <w:t>功能需求</w:t>
      </w:r>
      <w:bookmarkEnd w:id="21"/>
    </w:p>
    <w:p>
      <w:pPr>
        <w:pStyle w:val="4"/>
        <w:spacing w:line="360" w:lineRule="auto"/>
        <w:rPr>
          <w:rFonts w:hint="eastAsia" w:ascii="黑体" w:hAnsi="黑体" w:eastAsia="黑体" w:cs="黑体"/>
        </w:rPr>
      </w:pPr>
      <w:bookmarkStart w:id="22" w:name="_Toc343525811"/>
      <w:r>
        <w:rPr>
          <w:rFonts w:hint="eastAsia" w:ascii="黑体" w:hAnsi="黑体" w:eastAsia="黑体" w:cs="黑体"/>
        </w:rPr>
        <w:t>应用功能说明</w:t>
      </w:r>
      <w:bookmarkEnd w:id="22"/>
    </w:p>
    <w:p>
      <w:pPr>
        <w:spacing w:line="360" w:lineRule="auto"/>
        <w:ind w:firstLine="420" w:firstLineChars="200"/>
        <w:rPr>
          <w:rFonts w:hint="eastAsia" w:ascii="黑体" w:hAnsi="黑体" w:eastAsia="黑体" w:cs="黑体"/>
        </w:rPr>
      </w:pPr>
      <w:r>
        <w:rPr>
          <w:rFonts w:hint="eastAsia" w:ascii="黑体" w:hAnsi="黑体" w:eastAsia="黑体" w:cs="黑体"/>
        </w:rPr>
        <w:t>本应用系统目标为银监会监管报表，应用功能即对应相应的监管报表功能，具体内容如下表所示：</w:t>
      </w:r>
    </w:p>
    <w:tbl>
      <w:tblPr>
        <w:tblStyle w:val="31"/>
        <w:tblW w:w="8548" w:type="dxa"/>
        <w:tblInd w:w="96" w:type="dxa"/>
        <w:tblLayout w:type="fixed"/>
        <w:tblCellMar>
          <w:top w:w="0" w:type="dxa"/>
          <w:left w:w="108" w:type="dxa"/>
          <w:bottom w:w="0" w:type="dxa"/>
          <w:right w:w="108" w:type="dxa"/>
        </w:tblCellMar>
      </w:tblPr>
      <w:tblGrid>
        <w:gridCol w:w="433"/>
        <w:gridCol w:w="426"/>
        <w:gridCol w:w="1084"/>
        <w:gridCol w:w="6024"/>
        <w:gridCol w:w="581"/>
      </w:tblGrid>
      <w:tr>
        <w:tblPrEx>
          <w:tblCellMar>
            <w:top w:w="0" w:type="dxa"/>
            <w:left w:w="108" w:type="dxa"/>
            <w:bottom w:w="0" w:type="dxa"/>
            <w:right w:w="108" w:type="dxa"/>
          </w:tblCellMar>
        </w:tblPrEx>
        <w:trPr>
          <w:trHeight w:val="480" w:hRule="atLeast"/>
        </w:trPr>
        <w:tc>
          <w:tcPr>
            <w:tcW w:w="433" w:type="dxa"/>
            <w:tcBorders>
              <w:top w:val="single" w:color="auto" w:sz="8" w:space="0"/>
              <w:left w:val="single" w:color="auto" w:sz="8" w:space="0"/>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序号</w:t>
            </w:r>
          </w:p>
        </w:tc>
        <w:tc>
          <w:tcPr>
            <w:tcW w:w="426" w:type="dxa"/>
            <w:tcBorders>
              <w:top w:val="single" w:color="auto" w:sz="8" w:space="0"/>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类型</w:t>
            </w:r>
          </w:p>
        </w:tc>
        <w:tc>
          <w:tcPr>
            <w:tcW w:w="1084" w:type="dxa"/>
            <w:tcBorders>
              <w:top w:val="single" w:color="auto" w:sz="8" w:space="0"/>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报表名称</w:t>
            </w:r>
          </w:p>
        </w:tc>
        <w:tc>
          <w:tcPr>
            <w:tcW w:w="6024" w:type="dxa"/>
            <w:tcBorders>
              <w:top w:val="single" w:color="auto" w:sz="8" w:space="0"/>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　</w:t>
            </w:r>
          </w:p>
        </w:tc>
        <w:tc>
          <w:tcPr>
            <w:tcW w:w="581" w:type="dxa"/>
            <w:tcBorders>
              <w:top w:val="single" w:color="auto" w:sz="8" w:space="0"/>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频度</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1</w:t>
            </w:r>
          </w:p>
        </w:tc>
        <w:tc>
          <w:tcPr>
            <w:tcW w:w="426" w:type="dxa"/>
            <w:vMerge w:val="restart"/>
            <w:tcBorders>
              <w:top w:val="nil"/>
              <w:left w:val="single" w:color="auto" w:sz="4" w:space="0"/>
              <w:bottom w:val="single" w:color="auto" w:sz="4" w:space="0"/>
              <w:right w:val="single" w:color="auto" w:sz="4" w:space="0"/>
            </w:tcBorders>
            <w:shd w:val="clear" w:color="000000" w:fill="FFFFFF"/>
            <w:vAlign w:val="center"/>
          </w:tcPr>
          <w:p>
            <w:pPr>
              <w:spacing w:line="360" w:lineRule="auto"/>
              <w:jc w:val="center"/>
              <w:rPr>
                <w:rFonts w:hint="eastAsia" w:ascii="黑体" w:hAnsi="黑体" w:eastAsia="黑体" w:cs="黑体"/>
                <w:b/>
                <w:bCs/>
                <w:color w:val="000000"/>
                <w:sz w:val="20"/>
                <w:szCs w:val="20"/>
              </w:rPr>
            </w:pPr>
            <w:r>
              <w:rPr>
                <w:rFonts w:hint="eastAsia" w:ascii="黑体" w:hAnsi="黑体" w:eastAsia="黑体" w:cs="黑体"/>
                <w:b/>
                <w:bCs/>
                <w:color w:val="000000"/>
                <w:sz w:val="20"/>
                <w:szCs w:val="20"/>
              </w:rPr>
              <w:t>基本</w:t>
            </w:r>
            <w:r>
              <w:rPr>
                <w:rFonts w:hint="eastAsia" w:ascii="黑体" w:hAnsi="黑体" w:eastAsia="黑体" w:cs="黑体"/>
                <w:b/>
                <w:bCs/>
                <w:color w:val="000000"/>
                <w:sz w:val="20"/>
                <w:szCs w:val="20"/>
              </w:rPr>
              <w:br w:type="textWrapping"/>
            </w:r>
            <w:r>
              <w:rPr>
                <w:rFonts w:hint="eastAsia" w:ascii="黑体" w:hAnsi="黑体" w:eastAsia="黑体" w:cs="黑体"/>
                <w:b/>
                <w:bCs/>
                <w:color w:val="000000"/>
                <w:sz w:val="20"/>
                <w:szCs w:val="20"/>
              </w:rPr>
              <w:t>财务</w:t>
            </w:r>
          </w:p>
        </w:tc>
        <w:tc>
          <w:tcPr>
            <w:tcW w:w="1084"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G01</w:t>
            </w: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资产负债项目统计表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月</w:t>
            </w:r>
          </w:p>
        </w:tc>
      </w:tr>
      <w:tr>
        <w:tblPrEx>
          <w:tblCellMar>
            <w:top w:w="0" w:type="dxa"/>
            <w:left w:w="108" w:type="dxa"/>
            <w:bottom w:w="0" w:type="dxa"/>
            <w:right w:w="108" w:type="dxa"/>
          </w:tblCellMar>
        </w:tblPrEx>
        <w:trPr>
          <w:trHeight w:val="720"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2</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vMerge w:val="restart"/>
            <w:tcBorders>
              <w:top w:val="nil"/>
              <w:left w:val="single" w:color="auto" w:sz="4" w:space="0"/>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G01</w:t>
            </w:r>
            <w:r>
              <w:rPr>
                <w:rFonts w:hint="eastAsia" w:ascii="黑体" w:hAnsi="黑体" w:eastAsia="黑体" w:cs="黑体"/>
              </w:rPr>
              <w:br w:type="textWrapping"/>
            </w:r>
            <w:r>
              <w:rPr>
                <w:rFonts w:hint="eastAsia" w:ascii="黑体" w:hAnsi="黑体" w:eastAsia="黑体" w:cs="黑体"/>
              </w:rPr>
              <w:t>附注</w:t>
            </w: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第Ⅰ部分：表外业务情况报表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月</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3</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color w:val="000000"/>
                <w:sz w:val="20"/>
                <w:szCs w:val="20"/>
              </w:rPr>
            </w:pP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第Ⅱ部分：贷款质量五级分类情况简表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月</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4</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color w:val="000000"/>
                <w:sz w:val="20"/>
                <w:szCs w:val="20"/>
              </w:rPr>
            </w:pP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第III部分：存贷款明细报表（一）</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月</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5</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color w:val="000000"/>
                <w:sz w:val="20"/>
                <w:szCs w:val="20"/>
              </w:rPr>
            </w:pP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第Ⅳ部分：存贷款明细报表（二）</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年</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6</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color w:val="000000"/>
                <w:sz w:val="20"/>
                <w:szCs w:val="20"/>
              </w:rPr>
            </w:pP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第Ⅴ部分：人民币备付率报表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月</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7</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color w:val="000000"/>
                <w:sz w:val="20"/>
                <w:szCs w:val="20"/>
              </w:rPr>
            </w:pP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第Ⅵ部分：各项垫款情况表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8</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color w:val="000000"/>
                <w:sz w:val="20"/>
                <w:szCs w:val="20"/>
              </w:rPr>
            </w:pP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第Ⅶ部分：贷款投向分行业情况表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月</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9</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color w:val="000000"/>
                <w:sz w:val="20"/>
                <w:szCs w:val="20"/>
              </w:rPr>
            </w:pP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第Ⅷ部分：金融资产四分类情况表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月</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10</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color w:val="000000"/>
                <w:sz w:val="20"/>
                <w:szCs w:val="20"/>
              </w:rPr>
            </w:pP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第Ⅸ部分：存贷款月日均情况表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月</w:t>
            </w:r>
          </w:p>
        </w:tc>
      </w:tr>
      <w:tr>
        <w:tblPrEx>
          <w:tblCellMar>
            <w:top w:w="0" w:type="dxa"/>
            <w:left w:w="108" w:type="dxa"/>
            <w:bottom w:w="0" w:type="dxa"/>
            <w:right w:w="108" w:type="dxa"/>
          </w:tblCellMar>
        </w:tblPrEx>
        <w:trPr>
          <w:trHeight w:val="960"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11</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G02</w:t>
            </w: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衍生产品交易业务情况表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12</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G03</w:t>
            </w: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各项资产减值损失准备情况表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月</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13</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G04</w:t>
            </w: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利润表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auto" w:fill="auto"/>
            <w:noWrap/>
            <w:vAlign w:val="bottom"/>
          </w:tcPr>
          <w:p>
            <w:pPr>
              <w:spacing w:line="360" w:lineRule="auto"/>
              <w:rPr>
                <w:rFonts w:hint="eastAsia" w:ascii="黑体" w:hAnsi="黑体" w:eastAsia="黑体" w:cs="黑体"/>
              </w:rPr>
            </w:pPr>
            <w:r>
              <w:rPr>
                <w:rFonts w:hint="eastAsia" w:ascii="黑体" w:hAnsi="黑体" w:eastAsia="黑体" w:cs="黑体"/>
              </w:rPr>
              <w:t>14</w:t>
            </w:r>
          </w:p>
        </w:tc>
        <w:tc>
          <w:tcPr>
            <w:tcW w:w="426" w:type="dxa"/>
            <w:vMerge w:val="continue"/>
            <w:tcBorders>
              <w:top w:val="nil"/>
              <w:left w:val="single" w:color="auto" w:sz="4" w:space="0"/>
              <w:bottom w:val="single" w:color="auto" w:sz="4" w:space="0"/>
              <w:right w:val="single" w:color="auto" w:sz="4" w:space="0"/>
            </w:tcBorders>
            <w:shd w:val="clear" w:color="auto" w:fill="auto"/>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G05</w:t>
            </w:r>
          </w:p>
        </w:tc>
        <w:tc>
          <w:tcPr>
            <w:tcW w:w="6024" w:type="dxa"/>
            <w:tcBorders>
              <w:top w:val="nil"/>
              <w:left w:val="nil"/>
              <w:bottom w:val="single" w:color="auto" w:sz="4" w:space="0"/>
              <w:right w:val="single" w:color="auto" w:sz="4" w:space="0"/>
            </w:tcBorders>
            <w:shd w:val="clear" w:color="auto" w:fill="auto"/>
            <w:vAlign w:val="center"/>
          </w:tcPr>
          <w:p>
            <w:pPr>
              <w:spacing w:line="360" w:lineRule="auto"/>
              <w:rPr>
                <w:rFonts w:hint="eastAsia" w:ascii="黑体" w:hAnsi="黑体" w:eastAsia="黑体" w:cs="黑体"/>
              </w:rPr>
            </w:pPr>
            <w:r>
              <w:rPr>
                <w:rFonts w:hint="eastAsia" w:ascii="黑体" w:hAnsi="黑体" w:eastAsia="黑体" w:cs="黑体"/>
              </w:rPr>
              <w:t>所有者权益变动表</w:t>
            </w:r>
          </w:p>
        </w:tc>
        <w:tc>
          <w:tcPr>
            <w:tcW w:w="581"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年</w:t>
            </w:r>
          </w:p>
        </w:tc>
      </w:tr>
      <w:tr>
        <w:tblPrEx>
          <w:tblCellMar>
            <w:top w:w="0" w:type="dxa"/>
            <w:left w:w="108" w:type="dxa"/>
            <w:bottom w:w="0" w:type="dxa"/>
            <w:right w:w="108" w:type="dxa"/>
          </w:tblCellMar>
        </w:tblPrEx>
        <w:trPr>
          <w:trHeight w:val="720"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15</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G06</w:t>
            </w: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理财业务统计表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月</w:t>
            </w:r>
          </w:p>
        </w:tc>
      </w:tr>
      <w:tr>
        <w:tblPrEx>
          <w:tblCellMar>
            <w:top w:w="0" w:type="dxa"/>
            <w:left w:w="108" w:type="dxa"/>
            <w:bottom w:w="0" w:type="dxa"/>
            <w:right w:w="108" w:type="dxa"/>
          </w:tblCellMar>
        </w:tblPrEx>
        <w:trPr>
          <w:trHeight w:val="480"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16</w:t>
            </w:r>
          </w:p>
        </w:tc>
        <w:tc>
          <w:tcPr>
            <w:tcW w:w="426" w:type="dxa"/>
            <w:vMerge w:val="restart"/>
            <w:tcBorders>
              <w:top w:val="nil"/>
              <w:left w:val="single" w:color="auto" w:sz="4" w:space="0"/>
              <w:bottom w:val="single" w:color="auto" w:sz="4" w:space="0"/>
              <w:right w:val="single" w:color="auto" w:sz="4" w:space="0"/>
            </w:tcBorders>
            <w:shd w:val="clear" w:color="000000" w:fill="FFFFFF"/>
            <w:vAlign w:val="center"/>
          </w:tcPr>
          <w:p>
            <w:pPr>
              <w:spacing w:line="360" w:lineRule="auto"/>
              <w:jc w:val="center"/>
              <w:rPr>
                <w:rFonts w:hint="eastAsia" w:ascii="黑体" w:hAnsi="黑体" w:eastAsia="黑体" w:cs="黑体"/>
                <w:b/>
                <w:bCs/>
                <w:color w:val="000000"/>
                <w:sz w:val="20"/>
                <w:szCs w:val="20"/>
              </w:rPr>
            </w:pPr>
            <w:r>
              <w:rPr>
                <w:rFonts w:hint="eastAsia" w:ascii="黑体" w:hAnsi="黑体" w:eastAsia="黑体" w:cs="黑体"/>
                <w:b/>
                <w:bCs/>
                <w:color w:val="000000"/>
                <w:sz w:val="20"/>
                <w:szCs w:val="20"/>
              </w:rPr>
              <w:t>信用</w:t>
            </w:r>
            <w:r>
              <w:rPr>
                <w:rFonts w:hint="eastAsia" w:ascii="黑体" w:hAnsi="黑体" w:eastAsia="黑体" w:cs="黑体"/>
                <w:b/>
                <w:bCs/>
                <w:color w:val="000000"/>
                <w:sz w:val="20"/>
                <w:szCs w:val="20"/>
              </w:rPr>
              <w:br w:type="textWrapping"/>
            </w:r>
            <w:r>
              <w:rPr>
                <w:rFonts w:hint="eastAsia" w:ascii="黑体" w:hAnsi="黑体" w:eastAsia="黑体" w:cs="黑体"/>
                <w:b/>
                <w:bCs/>
                <w:color w:val="000000"/>
                <w:sz w:val="20"/>
                <w:szCs w:val="20"/>
              </w:rPr>
              <w:t>风险</w:t>
            </w:r>
          </w:p>
        </w:tc>
        <w:tc>
          <w:tcPr>
            <w:tcW w:w="1084" w:type="dxa"/>
            <w:vMerge w:val="restart"/>
            <w:tcBorders>
              <w:top w:val="nil"/>
              <w:left w:val="single" w:color="auto" w:sz="4" w:space="0"/>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G11</w:t>
            </w: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资产质量五级分类情况表</w:t>
            </w:r>
            <w:r>
              <w:rPr>
                <w:rFonts w:hint="eastAsia" w:ascii="黑体" w:hAnsi="黑体" w:eastAsia="黑体" w:cs="黑体"/>
              </w:rPr>
              <w:br w:type="textWrapping"/>
            </w:r>
            <w:r>
              <w:rPr>
                <w:rFonts w:hint="eastAsia" w:ascii="黑体" w:hAnsi="黑体" w:eastAsia="黑体" w:cs="黑体"/>
              </w:rPr>
              <w:t>第Ⅰ部分：按行业分类的贷款（按贷款投向）</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17</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color w:val="000000"/>
                <w:sz w:val="20"/>
                <w:szCs w:val="20"/>
              </w:rPr>
            </w:pP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 xml:space="preserve">第Ⅱ部分：资产质量及准备金 </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480"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18</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color w:val="000000"/>
                <w:sz w:val="20"/>
                <w:szCs w:val="20"/>
              </w:rPr>
            </w:pP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第Ⅲ部分：按行业大类分类的贷款（按贷款投向）</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19</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G12</w:t>
            </w: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贷款质量迁徙情况表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半年</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20</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vMerge w:val="restart"/>
            <w:tcBorders>
              <w:top w:val="nil"/>
              <w:left w:val="single" w:color="auto" w:sz="4" w:space="0"/>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G13</w:t>
            </w: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最大十家关注类贷款情况表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21</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color w:val="000000"/>
                <w:sz w:val="20"/>
                <w:szCs w:val="20"/>
              </w:rPr>
            </w:pP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最大十家次级类贷款情况表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22</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color w:val="000000"/>
                <w:sz w:val="20"/>
                <w:szCs w:val="20"/>
              </w:rPr>
            </w:pP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最大十家可疑类贷款情况表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23</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color w:val="000000"/>
                <w:sz w:val="20"/>
                <w:szCs w:val="20"/>
              </w:rPr>
            </w:pP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最大十家损失类贷款情况表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24</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vMerge w:val="restart"/>
            <w:tcBorders>
              <w:top w:val="nil"/>
              <w:left w:val="single" w:color="auto" w:sz="4" w:space="0"/>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G14</w:t>
            </w: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授信集中度情况表（最大十家集团部分）</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25</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color w:val="000000"/>
                <w:sz w:val="20"/>
                <w:szCs w:val="20"/>
              </w:rPr>
            </w:pP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授信集中度情况表（同业授信部分）</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26</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color w:val="000000"/>
                <w:sz w:val="20"/>
                <w:szCs w:val="20"/>
              </w:rPr>
            </w:pP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授信集中度情况表（最大十家客户部分）</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27</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G15</w:t>
            </w: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最大二十家关联方关联交易情况表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28</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G16</w:t>
            </w: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抵债资产账龄情况表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29</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vMerge w:val="restart"/>
            <w:tcBorders>
              <w:top w:val="nil"/>
              <w:left w:val="single" w:color="auto" w:sz="4" w:space="0"/>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G17</w:t>
            </w: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第Ⅰ部分：银行卡业务情况表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30</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color w:val="000000"/>
                <w:sz w:val="20"/>
                <w:szCs w:val="20"/>
              </w:rPr>
            </w:pP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第II部分：银行卡业务情况表(补充情况）</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31</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G18</w:t>
            </w: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债券发行和投资情况表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720"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32</w:t>
            </w:r>
          </w:p>
        </w:tc>
        <w:tc>
          <w:tcPr>
            <w:tcW w:w="426" w:type="dxa"/>
            <w:vMerge w:val="restart"/>
            <w:tcBorders>
              <w:top w:val="nil"/>
              <w:left w:val="single" w:color="auto" w:sz="4" w:space="0"/>
              <w:bottom w:val="single" w:color="auto" w:sz="4" w:space="0"/>
              <w:right w:val="single" w:color="auto" w:sz="4" w:space="0"/>
            </w:tcBorders>
            <w:shd w:val="clear" w:color="000000" w:fill="FFFFFF"/>
            <w:vAlign w:val="center"/>
          </w:tcPr>
          <w:p>
            <w:pPr>
              <w:spacing w:line="360" w:lineRule="auto"/>
              <w:jc w:val="center"/>
              <w:rPr>
                <w:rFonts w:hint="eastAsia" w:ascii="黑体" w:hAnsi="黑体" w:eastAsia="黑体" w:cs="黑体"/>
                <w:b/>
                <w:bCs/>
                <w:color w:val="000000"/>
                <w:sz w:val="20"/>
                <w:szCs w:val="20"/>
              </w:rPr>
            </w:pPr>
            <w:r>
              <w:rPr>
                <w:rFonts w:hint="eastAsia" w:ascii="黑体" w:hAnsi="黑体" w:eastAsia="黑体" w:cs="黑体"/>
                <w:b/>
                <w:bCs/>
                <w:color w:val="000000"/>
                <w:sz w:val="20"/>
                <w:szCs w:val="20"/>
              </w:rPr>
              <w:t>流动性风险</w:t>
            </w:r>
          </w:p>
        </w:tc>
        <w:tc>
          <w:tcPr>
            <w:tcW w:w="1084"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G21</w:t>
            </w: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流动性期限缺口统计表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720"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33</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G22</w:t>
            </w: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流动性比例监测表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月</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34</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G23</w:t>
            </w: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最大十家存款客户情况表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35</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G24</w:t>
            </w: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最大十家金融机构同业拆入(含回购）情况表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1200"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36</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G25</w:t>
            </w: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流动性覆盖率和净稳定融资比例情况表 第Ⅰ部分：流动性覆盖率</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1200"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37</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　</w:t>
            </w: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第II部分：净稳定融资比例</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38</w:t>
            </w:r>
          </w:p>
        </w:tc>
        <w:tc>
          <w:tcPr>
            <w:tcW w:w="426" w:type="dxa"/>
            <w:vMerge w:val="restart"/>
            <w:tcBorders>
              <w:top w:val="nil"/>
              <w:left w:val="single" w:color="auto" w:sz="4" w:space="0"/>
              <w:bottom w:val="single" w:color="auto" w:sz="4" w:space="0"/>
              <w:right w:val="single" w:color="auto" w:sz="4" w:space="0"/>
            </w:tcBorders>
            <w:shd w:val="clear" w:color="000000" w:fill="FFFFFF"/>
            <w:vAlign w:val="center"/>
          </w:tcPr>
          <w:p>
            <w:pPr>
              <w:spacing w:line="360" w:lineRule="auto"/>
              <w:jc w:val="center"/>
              <w:rPr>
                <w:rFonts w:hint="eastAsia" w:ascii="黑体" w:hAnsi="黑体" w:eastAsia="黑体" w:cs="黑体"/>
                <w:b/>
                <w:bCs/>
                <w:color w:val="000000"/>
                <w:sz w:val="20"/>
                <w:szCs w:val="20"/>
              </w:rPr>
            </w:pPr>
            <w:r>
              <w:rPr>
                <w:rFonts w:hint="eastAsia" w:ascii="黑体" w:hAnsi="黑体" w:eastAsia="黑体" w:cs="黑体"/>
                <w:b/>
                <w:bCs/>
                <w:color w:val="000000"/>
                <w:sz w:val="20"/>
                <w:szCs w:val="20"/>
              </w:rPr>
              <w:t>市场</w:t>
            </w:r>
            <w:r>
              <w:rPr>
                <w:rFonts w:hint="eastAsia" w:ascii="黑体" w:hAnsi="黑体" w:eastAsia="黑体" w:cs="黑体"/>
                <w:b/>
                <w:bCs/>
                <w:color w:val="000000"/>
                <w:sz w:val="20"/>
                <w:szCs w:val="20"/>
              </w:rPr>
              <w:br w:type="textWrapping"/>
            </w:r>
            <w:r>
              <w:rPr>
                <w:rFonts w:hint="eastAsia" w:ascii="黑体" w:hAnsi="黑体" w:eastAsia="黑体" w:cs="黑体"/>
                <w:b/>
                <w:bCs/>
                <w:color w:val="000000"/>
                <w:sz w:val="20"/>
                <w:szCs w:val="20"/>
              </w:rPr>
              <w:t>风险</w:t>
            </w:r>
          </w:p>
        </w:tc>
        <w:tc>
          <w:tcPr>
            <w:tcW w:w="1084"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G31</w:t>
            </w: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有价证券及投资情况表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39</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G32</w:t>
            </w: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外汇风险敞口情况表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40</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G33</w:t>
            </w: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利率重新定价风险情况表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半年</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41</w:t>
            </w:r>
          </w:p>
        </w:tc>
        <w:tc>
          <w:tcPr>
            <w:tcW w:w="426" w:type="dxa"/>
            <w:vMerge w:val="restart"/>
            <w:tcBorders>
              <w:top w:val="nil"/>
              <w:left w:val="single" w:color="auto" w:sz="4" w:space="0"/>
              <w:bottom w:val="single" w:color="auto" w:sz="4" w:space="0"/>
              <w:right w:val="single" w:color="auto" w:sz="4" w:space="0"/>
            </w:tcBorders>
            <w:shd w:val="clear" w:color="000000" w:fill="FFFFFF"/>
            <w:vAlign w:val="center"/>
          </w:tcPr>
          <w:p>
            <w:pPr>
              <w:spacing w:line="360" w:lineRule="auto"/>
              <w:jc w:val="center"/>
              <w:rPr>
                <w:rFonts w:hint="eastAsia" w:ascii="黑体" w:hAnsi="黑体" w:eastAsia="黑体" w:cs="黑体"/>
                <w:b/>
                <w:bCs/>
                <w:color w:val="000000"/>
                <w:sz w:val="20"/>
                <w:szCs w:val="20"/>
              </w:rPr>
            </w:pPr>
            <w:r>
              <w:rPr>
                <w:rFonts w:hint="eastAsia" w:ascii="黑体" w:hAnsi="黑体" w:eastAsia="黑体" w:cs="黑体"/>
                <w:b/>
                <w:bCs/>
                <w:color w:val="000000"/>
                <w:sz w:val="20"/>
                <w:szCs w:val="20"/>
              </w:rPr>
              <w:t>资本</w:t>
            </w:r>
            <w:r>
              <w:rPr>
                <w:rFonts w:hint="eastAsia" w:ascii="黑体" w:hAnsi="黑体" w:eastAsia="黑体" w:cs="黑体"/>
                <w:b/>
                <w:bCs/>
                <w:color w:val="000000"/>
                <w:sz w:val="20"/>
                <w:szCs w:val="20"/>
              </w:rPr>
              <w:br w:type="textWrapping"/>
            </w:r>
            <w:r>
              <w:rPr>
                <w:rFonts w:hint="eastAsia" w:ascii="黑体" w:hAnsi="黑体" w:eastAsia="黑体" w:cs="黑体"/>
                <w:b/>
                <w:bCs/>
                <w:color w:val="000000"/>
                <w:sz w:val="20"/>
                <w:szCs w:val="20"/>
              </w:rPr>
              <w:t>充足</w:t>
            </w:r>
          </w:p>
        </w:tc>
        <w:tc>
          <w:tcPr>
            <w:tcW w:w="1084"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G41</w:t>
            </w: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资本充足率汇总表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720"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42</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G42</w:t>
            </w: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表内加权风险资产计算表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43</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G43</w:t>
            </w: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表外加权风险资产计算表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44</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G44</w:t>
            </w: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杠杆率情况表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45</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G40</w:t>
            </w:r>
          </w:p>
        </w:tc>
        <w:tc>
          <w:tcPr>
            <w:tcW w:w="602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资本充足率汇总表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46</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G4A</w:t>
            </w:r>
          </w:p>
        </w:tc>
        <w:tc>
          <w:tcPr>
            <w:tcW w:w="602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合格资本情况表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47</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G4A-1(a)</w:t>
            </w:r>
          </w:p>
        </w:tc>
        <w:tc>
          <w:tcPr>
            <w:tcW w:w="602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贷款损失准备情况表（权重法）</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48</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G4A-2</w:t>
            </w:r>
          </w:p>
        </w:tc>
        <w:tc>
          <w:tcPr>
            <w:tcW w:w="602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少数股东资本情况表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49</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G4A-3</w:t>
            </w:r>
          </w:p>
        </w:tc>
        <w:tc>
          <w:tcPr>
            <w:tcW w:w="602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二级资本工具情况表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50</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G4B-1</w:t>
            </w:r>
          </w:p>
        </w:tc>
        <w:tc>
          <w:tcPr>
            <w:tcW w:w="602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表内信用风险加权资产计算表(权重法）</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51</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G4B-2</w:t>
            </w:r>
          </w:p>
        </w:tc>
        <w:tc>
          <w:tcPr>
            <w:tcW w:w="602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表外信用风险加权资产计算表（权重法）</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52</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G4B-3</w:t>
            </w:r>
          </w:p>
        </w:tc>
        <w:tc>
          <w:tcPr>
            <w:tcW w:w="602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交易对手信用风险暴露风险加权资产汇总表（权重法）</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53</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G4B-3（a）</w:t>
            </w:r>
          </w:p>
        </w:tc>
        <w:tc>
          <w:tcPr>
            <w:tcW w:w="602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场外衍生工具交易对手信用风险计算表(权重法)</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54</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G4B-3（b）</w:t>
            </w:r>
          </w:p>
        </w:tc>
        <w:tc>
          <w:tcPr>
            <w:tcW w:w="602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证券融资交易对手信用风险计算表（权重法）</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55</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 xml:space="preserve">G4B-4 </w:t>
            </w:r>
          </w:p>
        </w:tc>
        <w:tc>
          <w:tcPr>
            <w:tcW w:w="602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资产证券化业务信用风险加权资产汇总表（标准法）</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56</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 xml:space="preserve">G4B-4(a) </w:t>
            </w:r>
          </w:p>
        </w:tc>
        <w:tc>
          <w:tcPr>
            <w:tcW w:w="602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资产证券化业务表内风险加权资产情况表（标准法）</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57</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 xml:space="preserve">G4B-4(b) </w:t>
            </w:r>
          </w:p>
        </w:tc>
        <w:tc>
          <w:tcPr>
            <w:tcW w:w="602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资产证券化业务表外风险加权资产情况表（标准法）</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58</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 xml:space="preserve">G4B-4(b1) </w:t>
            </w:r>
          </w:p>
        </w:tc>
        <w:tc>
          <w:tcPr>
            <w:tcW w:w="602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流动性便利和现金透支便利情况工作报表（标准法）</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59</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 xml:space="preserve">G4B-4(b2) </w:t>
            </w:r>
          </w:p>
        </w:tc>
        <w:tc>
          <w:tcPr>
            <w:tcW w:w="602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提前摊还安排的投资者权益风险情况工作报表（标准法）</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60</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 xml:space="preserve">G4C </w:t>
            </w:r>
          </w:p>
        </w:tc>
        <w:tc>
          <w:tcPr>
            <w:tcW w:w="602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市场风险资本要求情况表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61</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 xml:space="preserve">G4C-1 </w:t>
            </w:r>
          </w:p>
        </w:tc>
        <w:tc>
          <w:tcPr>
            <w:tcW w:w="602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市场风险标准法资本要求汇总表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62</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 xml:space="preserve">G4C-2 </w:t>
            </w:r>
          </w:p>
        </w:tc>
        <w:tc>
          <w:tcPr>
            <w:tcW w:w="602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市场风险内部模型法资本要求情况表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63</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 xml:space="preserve">G4C-2(a) </w:t>
            </w:r>
          </w:p>
        </w:tc>
        <w:tc>
          <w:tcPr>
            <w:tcW w:w="602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季度內最大的单日损失情况表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64</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 xml:space="preserve">G4C-1(a) </w:t>
            </w:r>
          </w:p>
        </w:tc>
        <w:tc>
          <w:tcPr>
            <w:tcW w:w="602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市场风险标准法资本要求情况表（利率特定风险）</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65</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 xml:space="preserve">G4C-1(b) </w:t>
            </w:r>
          </w:p>
        </w:tc>
        <w:tc>
          <w:tcPr>
            <w:tcW w:w="602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市场风险标准法资本要求情况表（一般利率风险-到期日法）</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66</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 xml:space="preserve">G4C-1(c) </w:t>
            </w:r>
          </w:p>
        </w:tc>
        <w:tc>
          <w:tcPr>
            <w:tcW w:w="602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市场风险标准法资本要求情况表（一般利率风险-久期法）</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67</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 xml:space="preserve">G4C-1(d) </w:t>
            </w:r>
          </w:p>
        </w:tc>
        <w:tc>
          <w:tcPr>
            <w:tcW w:w="602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市场风险标准法资本要求情况表（股票风险）</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68</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 xml:space="preserve">G4C-1(e) </w:t>
            </w:r>
          </w:p>
        </w:tc>
        <w:tc>
          <w:tcPr>
            <w:tcW w:w="602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 xml:space="preserve">市场风险标准法资本要求情况表（外汇风险） </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69</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 xml:space="preserve">G4C-1(f) </w:t>
            </w:r>
          </w:p>
        </w:tc>
        <w:tc>
          <w:tcPr>
            <w:tcW w:w="602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市场风险标准法资本要求情况表（商品风险）</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70</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 xml:space="preserve">G4C-1(g) </w:t>
            </w:r>
          </w:p>
        </w:tc>
        <w:tc>
          <w:tcPr>
            <w:tcW w:w="602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市场风险标准法资本要求情况表（期权简易法-存在基础工具对冲）</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71</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 xml:space="preserve">G4C-1(h) </w:t>
            </w:r>
          </w:p>
        </w:tc>
        <w:tc>
          <w:tcPr>
            <w:tcW w:w="602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市场风险标准法资本要求情况表（期权简易法-只存在期权多头）</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72</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 xml:space="preserve">G4C-1(i) </w:t>
            </w:r>
          </w:p>
        </w:tc>
        <w:tc>
          <w:tcPr>
            <w:tcW w:w="602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市场风险标准法资本要求情况表（期权得尔塔+法_利率期权）</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73</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 xml:space="preserve">G4C-1(j) </w:t>
            </w:r>
          </w:p>
        </w:tc>
        <w:tc>
          <w:tcPr>
            <w:tcW w:w="602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市场风险标准法资本要求情况表（期权得尔塔+法_股票期权）</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74</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 xml:space="preserve">G4C-1(k) </w:t>
            </w:r>
          </w:p>
        </w:tc>
        <w:tc>
          <w:tcPr>
            <w:tcW w:w="602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市场风险标准法资本要求情况表（期权得尔塔+法_外汇及黄金期权）</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75</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 xml:space="preserve">G4C-1(l) </w:t>
            </w:r>
          </w:p>
        </w:tc>
        <w:tc>
          <w:tcPr>
            <w:tcW w:w="602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市场风险标准法资本要求情况表（期权得尔塔+法_商品期权）</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76</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 xml:space="preserve">G4D  </w:t>
            </w:r>
          </w:p>
        </w:tc>
        <w:tc>
          <w:tcPr>
            <w:tcW w:w="6024" w:type="dxa"/>
            <w:tcBorders>
              <w:top w:val="nil"/>
              <w:left w:val="nil"/>
              <w:bottom w:val="single" w:color="auto" w:sz="4" w:space="0"/>
              <w:right w:val="single" w:color="auto" w:sz="4" w:space="0"/>
            </w:tcBorders>
            <w:shd w:val="clear" w:color="auto" w:fill="auto"/>
            <w:noWrap/>
            <w:vAlign w:val="center"/>
          </w:tcPr>
          <w:p>
            <w:pPr>
              <w:spacing w:line="360" w:lineRule="auto"/>
              <w:rPr>
                <w:rFonts w:hint="eastAsia" w:ascii="黑体" w:hAnsi="黑体" w:eastAsia="黑体" w:cs="黑体"/>
              </w:rPr>
            </w:pPr>
            <w:r>
              <w:rPr>
                <w:rFonts w:hint="eastAsia" w:ascii="黑体" w:hAnsi="黑体" w:eastAsia="黑体" w:cs="黑体"/>
              </w:rPr>
              <w:t>操作风险加权资产情况表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77</w:t>
            </w:r>
          </w:p>
        </w:tc>
        <w:tc>
          <w:tcPr>
            <w:tcW w:w="426" w:type="dxa"/>
            <w:vMerge w:val="restart"/>
            <w:tcBorders>
              <w:top w:val="nil"/>
              <w:left w:val="single" w:color="auto" w:sz="4" w:space="0"/>
              <w:bottom w:val="single" w:color="auto" w:sz="4" w:space="0"/>
              <w:right w:val="single" w:color="auto" w:sz="4" w:space="0"/>
            </w:tcBorders>
            <w:shd w:val="clear" w:color="000000" w:fill="FFFFFF"/>
            <w:vAlign w:val="center"/>
          </w:tcPr>
          <w:p>
            <w:pPr>
              <w:spacing w:line="360" w:lineRule="auto"/>
              <w:jc w:val="center"/>
              <w:rPr>
                <w:rFonts w:hint="eastAsia" w:ascii="黑体" w:hAnsi="黑体" w:eastAsia="黑体" w:cs="黑体"/>
                <w:b/>
                <w:bCs/>
                <w:color w:val="000000"/>
                <w:sz w:val="20"/>
                <w:szCs w:val="20"/>
              </w:rPr>
            </w:pPr>
            <w:r>
              <w:rPr>
                <w:rFonts w:hint="eastAsia" w:ascii="黑体" w:hAnsi="黑体" w:eastAsia="黑体" w:cs="黑体"/>
                <w:b/>
                <w:bCs/>
                <w:color w:val="000000"/>
                <w:sz w:val="20"/>
                <w:szCs w:val="20"/>
              </w:rPr>
              <w:t>其他</w:t>
            </w:r>
          </w:p>
        </w:tc>
        <w:tc>
          <w:tcPr>
            <w:tcW w:w="1084" w:type="dxa"/>
            <w:vMerge w:val="restart"/>
            <w:tcBorders>
              <w:top w:val="nil"/>
              <w:left w:val="single" w:color="auto" w:sz="4" w:space="0"/>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G53</w:t>
            </w: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分地区情况表第Ⅰ部分：资产负债简表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78</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color w:val="000000"/>
                <w:sz w:val="20"/>
                <w:szCs w:val="20"/>
              </w:rPr>
            </w:pP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第Ⅱ部分：利润简表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79</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color w:val="000000"/>
                <w:sz w:val="20"/>
                <w:szCs w:val="20"/>
              </w:rPr>
            </w:pP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第Ⅲ部分：贷款行业情况简表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80</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color w:val="000000"/>
                <w:sz w:val="20"/>
                <w:szCs w:val="20"/>
              </w:rPr>
            </w:pP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第Ⅳ部分：五级分类情况简表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81</w:t>
            </w:r>
          </w:p>
        </w:tc>
        <w:tc>
          <w:tcPr>
            <w:tcW w:w="426" w:type="dxa"/>
            <w:vMerge w:val="restart"/>
            <w:tcBorders>
              <w:top w:val="nil"/>
              <w:left w:val="single" w:color="auto" w:sz="4" w:space="0"/>
              <w:bottom w:val="single" w:color="auto" w:sz="4" w:space="0"/>
              <w:right w:val="single" w:color="auto" w:sz="4" w:space="0"/>
            </w:tcBorders>
            <w:shd w:val="clear" w:color="000000" w:fill="FFFFFF"/>
            <w:vAlign w:val="center"/>
          </w:tcPr>
          <w:p>
            <w:pPr>
              <w:spacing w:line="360" w:lineRule="auto"/>
              <w:jc w:val="center"/>
              <w:rPr>
                <w:rFonts w:hint="eastAsia" w:ascii="黑体" w:hAnsi="黑体" w:eastAsia="黑体" w:cs="黑体"/>
                <w:b/>
                <w:bCs/>
                <w:color w:val="000000"/>
                <w:sz w:val="20"/>
                <w:szCs w:val="20"/>
              </w:rPr>
            </w:pPr>
            <w:r>
              <w:rPr>
                <w:rFonts w:hint="eastAsia" w:ascii="黑体" w:hAnsi="黑体" w:eastAsia="黑体" w:cs="黑体"/>
                <w:b/>
                <w:bCs/>
                <w:color w:val="000000"/>
                <w:sz w:val="20"/>
                <w:szCs w:val="20"/>
              </w:rPr>
              <w:t>特色报表</w:t>
            </w:r>
          </w:p>
        </w:tc>
        <w:tc>
          <w:tcPr>
            <w:tcW w:w="108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S60</w:t>
            </w: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最大十家衍生产品交易业务情况表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82</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S61</w:t>
            </w: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商业银行个人理财产品明细统计表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季</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83</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S62</w:t>
            </w: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贷款按“三个办法，一个指引”执行情况表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月</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84</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S63</w:t>
            </w: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大中小微型企业贷款情况表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月</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85</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S64</w:t>
            </w: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小微开支企业贷款分行业情况表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月</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86</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S65</w:t>
            </w: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大中小微型企业贷款分地区情况表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月</w:t>
            </w:r>
          </w:p>
        </w:tc>
      </w:tr>
      <w:tr>
        <w:tblPrEx>
          <w:tblCellMar>
            <w:top w:w="0" w:type="dxa"/>
            <w:left w:w="108" w:type="dxa"/>
            <w:bottom w:w="0" w:type="dxa"/>
            <w:right w:w="108" w:type="dxa"/>
          </w:tblCellMar>
        </w:tblPrEx>
        <w:trPr>
          <w:trHeight w:val="285" w:hRule="atLeast"/>
        </w:trPr>
        <w:tc>
          <w:tcPr>
            <w:tcW w:w="433" w:type="dxa"/>
            <w:tcBorders>
              <w:top w:val="nil"/>
              <w:left w:val="single" w:color="auto" w:sz="8" w:space="0"/>
              <w:bottom w:val="single" w:color="auto" w:sz="4" w:space="0"/>
              <w:right w:val="single" w:color="auto" w:sz="4" w:space="0"/>
            </w:tcBorders>
            <w:shd w:val="clear" w:color="000000" w:fill="FFFFFF"/>
            <w:noWrap/>
            <w:vAlign w:val="bottom"/>
          </w:tcPr>
          <w:p>
            <w:pPr>
              <w:spacing w:line="360" w:lineRule="auto"/>
              <w:rPr>
                <w:rFonts w:hint="eastAsia" w:ascii="黑体" w:hAnsi="黑体" w:eastAsia="黑体" w:cs="黑体"/>
              </w:rPr>
            </w:pPr>
            <w:r>
              <w:rPr>
                <w:rFonts w:hint="eastAsia" w:ascii="黑体" w:hAnsi="黑体" w:eastAsia="黑体" w:cs="黑体"/>
              </w:rPr>
              <w:t>87</w:t>
            </w:r>
          </w:p>
        </w:tc>
        <w:tc>
          <w:tcPr>
            <w:tcW w:w="426" w:type="dxa"/>
            <w:vMerge w:val="continue"/>
            <w:tcBorders>
              <w:top w:val="nil"/>
              <w:left w:val="single" w:color="auto" w:sz="4" w:space="0"/>
              <w:bottom w:val="single" w:color="auto" w:sz="4" w:space="0"/>
              <w:right w:val="single" w:color="auto" w:sz="4" w:space="0"/>
            </w:tcBorders>
            <w:vAlign w:val="center"/>
          </w:tcPr>
          <w:p>
            <w:pPr>
              <w:spacing w:line="360" w:lineRule="auto"/>
              <w:rPr>
                <w:rFonts w:hint="eastAsia" w:ascii="黑体" w:hAnsi="黑体" w:eastAsia="黑体" w:cs="黑体"/>
                <w:b/>
                <w:bCs/>
                <w:color w:val="000000"/>
                <w:sz w:val="20"/>
                <w:szCs w:val="20"/>
              </w:rPr>
            </w:pPr>
          </w:p>
        </w:tc>
        <w:tc>
          <w:tcPr>
            <w:tcW w:w="108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S66</w:t>
            </w:r>
          </w:p>
        </w:tc>
        <w:tc>
          <w:tcPr>
            <w:tcW w:w="6024" w:type="dxa"/>
            <w:tcBorders>
              <w:top w:val="nil"/>
              <w:left w:val="nil"/>
              <w:bottom w:val="single" w:color="auto" w:sz="4" w:space="0"/>
              <w:right w:val="single" w:color="auto" w:sz="4" w:space="0"/>
            </w:tcBorders>
            <w:shd w:val="clear" w:color="000000" w:fill="FFFFFF"/>
            <w:vAlign w:val="center"/>
          </w:tcPr>
          <w:p>
            <w:pPr>
              <w:spacing w:line="360" w:lineRule="auto"/>
              <w:rPr>
                <w:rFonts w:hint="eastAsia" w:ascii="黑体" w:hAnsi="黑体" w:eastAsia="黑体" w:cs="黑体"/>
              </w:rPr>
            </w:pPr>
            <w:r>
              <w:rPr>
                <w:rFonts w:hint="eastAsia" w:ascii="黑体" w:hAnsi="黑体" w:eastAsia="黑体" w:cs="黑体"/>
              </w:rPr>
              <w:t>保障性安居工程贷款分地区情况表</w:t>
            </w:r>
          </w:p>
        </w:tc>
        <w:tc>
          <w:tcPr>
            <w:tcW w:w="581" w:type="dxa"/>
            <w:tcBorders>
              <w:top w:val="nil"/>
              <w:left w:val="nil"/>
              <w:bottom w:val="single" w:color="auto" w:sz="4" w:space="0"/>
              <w:right w:val="single" w:color="auto" w:sz="4" w:space="0"/>
            </w:tcBorders>
            <w:shd w:val="clear" w:color="000000" w:fill="FFFFFF"/>
            <w:noWrap/>
            <w:vAlign w:val="center"/>
          </w:tcPr>
          <w:p>
            <w:pPr>
              <w:spacing w:line="360" w:lineRule="auto"/>
              <w:rPr>
                <w:rFonts w:hint="eastAsia" w:ascii="黑体" w:hAnsi="黑体" w:eastAsia="黑体" w:cs="黑体"/>
              </w:rPr>
            </w:pPr>
            <w:r>
              <w:rPr>
                <w:rFonts w:hint="eastAsia" w:ascii="黑体" w:hAnsi="黑体" w:eastAsia="黑体" w:cs="黑体"/>
              </w:rPr>
              <w:t>月</w:t>
            </w:r>
          </w:p>
        </w:tc>
      </w:tr>
    </w:tbl>
    <w:p>
      <w:pPr>
        <w:pStyle w:val="3"/>
        <w:spacing w:line="360" w:lineRule="auto"/>
        <w:rPr>
          <w:rFonts w:hint="eastAsia" w:ascii="黑体" w:hAnsi="黑体" w:eastAsia="黑体" w:cs="黑体"/>
        </w:rPr>
      </w:pPr>
      <w:bookmarkStart w:id="23" w:name="_Toc343525812"/>
      <w:r>
        <w:rPr>
          <w:rFonts w:hint="eastAsia" w:ascii="黑体" w:hAnsi="黑体" w:eastAsia="黑体" w:cs="黑体"/>
        </w:rPr>
        <w:t>报表需求</w:t>
      </w:r>
      <w:bookmarkEnd w:id="23"/>
    </w:p>
    <w:p>
      <w:pPr>
        <w:spacing w:line="360" w:lineRule="auto"/>
        <w:ind w:firstLine="420" w:firstLineChars="200"/>
        <w:rPr>
          <w:rFonts w:hint="eastAsia" w:ascii="黑体" w:hAnsi="黑体" w:eastAsia="黑体" w:cs="黑体"/>
        </w:rPr>
      </w:pPr>
      <w:r>
        <w:rPr>
          <w:rFonts w:hint="eastAsia" w:ascii="黑体" w:hAnsi="黑体" w:eastAsia="黑体" w:cs="黑体"/>
        </w:rPr>
        <w:t>报表上报并查询相关的表，报表表样需求详见附件</w:t>
      </w:r>
    </w:p>
    <w:bookmarkEnd w:id="13"/>
    <w:bookmarkEnd w:id="14"/>
    <w:bookmarkEnd w:id="15"/>
    <w:p>
      <w:pPr>
        <w:pStyle w:val="4"/>
        <w:spacing w:line="360" w:lineRule="auto"/>
        <w:rPr>
          <w:rFonts w:hint="eastAsia" w:ascii="黑体" w:hAnsi="黑体" w:eastAsia="黑体" w:cs="黑体"/>
        </w:rPr>
      </w:pPr>
      <w:bookmarkStart w:id="24" w:name="_Toc343525813"/>
      <w:bookmarkStart w:id="25" w:name="_Toc119760122"/>
      <w:bookmarkStart w:id="26" w:name="_Toc106417306"/>
      <w:r>
        <w:rPr>
          <w:rFonts w:hint="eastAsia" w:ascii="黑体" w:hAnsi="黑体" w:eastAsia="黑体" w:cs="黑体"/>
        </w:rPr>
        <w:t>报表处理</w:t>
      </w:r>
      <w:bookmarkEnd w:id="24"/>
      <w:bookmarkEnd w:id="25"/>
      <w:bookmarkEnd w:id="26"/>
    </w:p>
    <w:p>
      <w:pPr>
        <w:spacing w:line="360" w:lineRule="auto"/>
        <w:ind w:firstLine="420" w:firstLineChars="200"/>
        <w:rPr>
          <w:rFonts w:hint="eastAsia" w:ascii="黑体" w:hAnsi="黑体" w:eastAsia="黑体" w:cs="黑体"/>
        </w:rPr>
      </w:pPr>
      <w:r>
        <w:rPr>
          <w:rFonts w:hint="eastAsia" w:ascii="黑体" w:hAnsi="黑体" w:eastAsia="黑体" w:cs="黑体"/>
        </w:rPr>
        <w:t>监管报表统一</w:t>
      </w:r>
      <w:r>
        <w:rPr>
          <w:rFonts w:hint="eastAsia" w:ascii="黑体" w:hAnsi="黑体" w:eastAsia="黑体" w:cs="黑体"/>
          <w:lang w:val="zh-CN"/>
        </w:rPr>
        <w:t>按照</w:t>
      </w:r>
      <w:r>
        <w:rPr>
          <w:rFonts w:hint="eastAsia" w:ascii="黑体" w:hAnsi="黑体" w:eastAsia="黑体" w:cs="黑体"/>
        </w:rPr>
        <w:t>如下处理流程：</w:t>
      </w:r>
    </w:p>
    <w:p>
      <w:pPr>
        <w:spacing w:line="360" w:lineRule="auto"/>
        <w:ind w:firstLine="420" w:firstLineChars="200"/>
        <w:rPr>
          <w:rFonts w:hint="eastAsia" w:ascii="黑体" w:hAnsi="黑体" w:eastAsia="黑体" w:cs="黑体"/>
        </w:rPr>
      </w:pPr>
      <w:r>
        <w:rPr>
          <w:rFonts w:hint="eastAsia" w:ascii="黑体" w:hAnsi="黑体" w:eastAsia="黑体" w:cs="黑体"/>
        </w:rPr>
        <w:t>首先进行数据缺口处理：分析系统间的数据缺口和数据质量问题导致各维度汇总值与总帐数据的缺口，按照业务部门确认的方式进行缺口处理；</w:t>
      </w:r>
    </w:p>
    <w:p>
      <w:pPr>
        <w:spacing w:line="360" w:lineRule="auto"/>
        <w:ind w:firstLine="420" w:firstLineChars="200"/>
        <w:rPr>
          <w:rFonts w:hint="eastAsia" w:ascii="黑体" w:hAnsi="黑体" w:eastAsia="黑体" w:cs="黑体"/>
        </w:rPr>
      </w:pPr>
      <w:r>
        <w:rPr>
          <w:rFonts w:hint="eastAsia" w:ascii="黑体" w:hAnsi="黑体" w:eastAsia="黑体" w:cs="黑体"/>
        </w:rPr>
        <w:t>统一进行币种折算：缺口数据处理完毕后，按照币种折算及方法描述的要求，对数据进行币种折算，并进行折算调平；</w:t>
      </w:r>
    </w:p>
    <w:p>
      <w:pPr>
        <w:spacing w:line="360" w:lineRule="auto"/>
        <w:ind w:firstLine="420" w:firstLineChars="200"/>
        <w:rPr>
          <w:rFonts w:hint="eastAsia" w:ascii="黑体" w:hAnsi="黑体" w:eastAsia="黑体" w:cs="黑体"/>
        </w:rPr>
      </w:pPr>
      <w:r>
        <w:rPr>
          <w:rFonts w:hint="eastAsia" w:ascii="黑体" w:hAnsi="黑体" w:eastAsia="黑体" w:cs="黑体"/>
        </w:rPr>
        <w:t>最后进行</w:t>
      </w:r>
      <w:r>
        <w:rPr>
          <w:rFonts w:hint="eastAsia" w:ascii="黑体" w:hAnsi="黑体" w:eastAsia="黑体" w:cs="黑体"/>
          <w:lang w:val="zh-CN"/>
        </w:rPr>
        <w:t>数据</w:t>
      </w:r>
      <w:r>
        <w:rPr>
          <w:rFonts w:hint="eastAsia" w:ascii="黑体" w:hAnsi="黑体" w:eastAsia="黑体" w:cs="黑体"/>
        </w:rPr>
        <w:t>进位调平：在折算调平数据基础上，根据派生公式，计算派生值后，进行数据进位，并进位调平，以保证报表数据的最终平衡。</w:t>
      </w:r>
    </w:p>
    <w:p>
      <w:pPr>
        <w:pStyle w:val="4"/>
        <w:spacing w:line="360" w:lineRule="auto"/>
        <w:rPr>
          <w:rFonts w:hint="eastAsia" w:ascii="黑体" w:hAnsi="黑体" w:eastAsia="黑体" w:cs="黑体"/>
        </w:rPr>
      </w:pPr>
      <w:bookmarkStart w:id="27" w:name="_Toc105916005"/>
      <w:bookmarkStart w:id="28" w:name="_Toc105313476"/>
      <w:bookmarkStart w:id="29" w:name="_Toc119760123"/>
      <w:bookmarkStart w:id="30" w:name="_Toc343525814"/>
      <w:r>
        <w:rPr>
          <w:rFonts w:hint="eastAsia" w:ascii="黑体" w:hAnsi="黑体" w:eastAsia="黑体" w:cs="黑体"/>
        </w:rPr>
        <w:t>数据缺口</w:t>
      </w:r>
      <w:bookmarkEnd w:id="27"/>
      <w:bookmarkEnd w:id="28"/>
      <w:r>
        <w:rPr>
          <w:rFonts w:hint="eastAsia" w:ascii="黑体" w:hAnsi="黑体" w:eastAsia="黑体" w:cs="黑体"/>
        </w:rPr>
        <w:t>处理</w:t>
      </w:r>
      <w:bookmarkEnd w:id="29"/>
      <w:bookmarkEnd w:id="30"/>
    </w:p>
    <w:p>
      <w:pPr>
        <w:pStyle w:val="4"/>
        <w:spacing w:line="360" w:lineRule="auto"/>
        <w:rPr>
          <w:rFonts w:hint="eastAsia" w:ascii="黑体" w:hAnsi="黑体" w:eastAsia="黑体" w:cs="黑体"/>
        </w:rPr>
      </w:pPr>
      <w:bookmarkStart w:id="31" w:name="_Toc343525815"/>
      <w:bookmarkStart w:id="32" w:name="_Toc119760124"/>
      <w:bookmarkStart w:id="33" w:name="_Toc105916008"/>
      <w:bookmarkStart w:id="34" w:name="_Toc105313477"/>
      <w:r>
        <w:rPr>
          <w:rFonts w:hint="eastAsia" w:ascii="黑体" w:hAnsi="黑体" w:eastAsia="黑体" w:cs="黑体"/>
        </w:rPr>
        <w:t>币种折算</w:t>
      </w:r>
      <w:bookmarkEnd w:id="31"/>
      <w:bookmarkEnd w:id="32"/>
    </w:p>
    <w:p>
      <w:pPr>
        <w:spacing w:line="360" w:lineRule="auto"/>
        <w:ind w:firstLine="420" w:firstLineChars="200"/>
        <w:rPr>
          <w:rFonts w:hint="eastAsia" w:ascii="黑体" w:hAnsi="黑体" w:eastAsia="黑体" w:cs="黑体"/>
        </w:rPr>
      </w:pPr>
      <w:r>
        <w:rPr>
          <w:rFonts w:hint="eastAsia" w:ascii="黑体" w:hAnsi="黑体" w:eastAsia="黑体" w:cs="黑体"/>
        </w:rPr>
        <w:t>我行的业务数据资源中除了人民币的业务数据之外，还存在外汇业务数据。在报表中不仅要展示各原始币种的业务数据，还要将各原始币种数据折算为某种单一币种的数据予以展示。</w:t>
      </w:r>
    </w:p>
    <w:p>
      <w:pPr>
        <w:spacing w:line="360" w:lineRule="auto"/>
        <w:rPr>
          <w:rFonts w:hint="eastAsia" w:ascii="黑体" w:hAnsi="黑体" w:eastAsia="黑体" w:cs="黑体"/>
        </w:rPr>
      </w:pPr>
      <w:r>
        <w:rPr>
          <w:rFonts w:hint="eastAsia" w:ascii="黑体" w:hAnsi="黑体" w:eastAsia="黑体" w:cs="黑体"/>
        </w:rPr>
        <w:t>币种之间的折算方法</w:t>
      </w:r>
    </w:p>
    <w:p>
      <w:pPr>
        <w:spacing w:line="360" w:lineRule="auto"/>
        <w:ind w:firstLine="420" w:firstLineChars="200"/>
        <w:rPr>
          <w:rFonts w:hint="eastAsia" w:ascii="黑体" w:hAnsi="黑体" w:eastAsia="黑体" w:cs="黑体"/>
        </w:rPr>
      </w:pPr>
      <w:r>
        <w:rPr>
          <w:rFonts w:hint="eastAsia" w:ascii="黑体" w:hAnsi="黑体" w:eastAsia="黑体" w:cs="黑体"/>
        </w:rPr>
        <w:t>本报表体系应当提供两种不同的折算途径：</w:t>
      </w:r>
    </w:p>
    <w:p>
      <w:pPr>
        <w:numPr>
          <w:ilvl w:val="0"/>
          <w:numId w:val="3"/>
        </w:numPr>
        <w:spacing w:line="360" w:lineRule="auto"/>
        <w:rPr>
          <w:rFonts w:hint="eastAsia" w:ascii="黑体" w:hAnsi="黑体" w:eastAsia="黑体" w:cs="黑体"/>
          <w:sz w:val="24"/>
          <w:szCs w:val="24"/>
        </w:rPr>
      </w:pPr>
      <w:r>
        <w:rPr>
          <w:rFonts w:hint="eastAsia" w:ascii="黑体" w:hAnsi="黑体" w:eastAsia="黑体" w:cs="黑体"/>
        </w:rPr>
        <w:t>先美元再人民币折算法。先将各币种（除人民币外）按各原币种对美元的折算汇率折算成美元，形成折算美元的数据，再将折算成美元的数据按美元对人民币的汇率折算成人民币数据，形成单一的人民币数据。</w:t>
      </w:r>
    </w:p>
    <w:p>
      <w:pPr>
        <w:numPr>
          <w:ilvl w:val="0"/>
          <w:numId w:val="3"/>
        </w:numPr>
        <w:spacing w:line="360" w:lineRule="auto"/>
        <w:rPr>
          <w:rFonts w:hint="eastAsia" w:ascii="黑体" w:hAnsi="黑体" w:eastAsia="黑体" w:cs="黑体"/>
          <w:sz w:val="24"/>
          <w:szCs w:val="24"/>
        </w:rPr>
      </w:pPr>
      <w:r>
        <w:rPr>
          <w:rFonts w:hint="eastAsia" w:ascii="黑体" w:hAnsi="黑体" w:eastAsia="黑体" w:cs="黑体"/>
        </w:rPr>
        <w:t>折美元和折人民币分开折算法（以总行发布的全行外汇牌价中的各币种折美元的中间价为基础，制作各币种与美元的折算汇率（1外币对应美元汇率，保留10位小数）；以折美元的折算汇率为基础，按照人民币对美元的折算汇率，计算得到各币种对应人民币的折算汇率（1外币对应人民币汇率，保留10位小数）。在上述基础上，折美元数据是将各币种按各原币种对美圆的汇率折算成美圆，形成折算美圆的数据；折人民币数据是将各币种按各原币种对人民币的汇率折算成人民币，形成折算人民币的数据。该方法本质上与方法1相同。</w:t>
      </w:r>
    </w:p>
    <w:p>
      <w:pPr>
        <w:spacing w:line="360" w:lineRule="auto"/>
        <w:rPr>
          <w:rFonts w:hint="eastAsia" w:ascii="黑体" w:hAnsi="黑体" w:eastAsia="黑体" w:cs="黑体"/>
        </w:rPr>
      </w:pPr>
      <w:r>
        <w:rPr>
          <w:rFonts w:hint="eastAsia" w:ascii="黑体" w:hAnsi="黑体" w:eastAsia="黑体" w:cs="黑体"/>
        </w:rPr>
        <w:t>币种数据间的折算应当作成独立的标准模块或函数，提供应用程序或过程调用；</w:t>
      </w:r>
    </w:p>
    <w:p>
      <w:pPr>
        <w:spacing w:line="360" w:lineRule="auto"/>
        <w:ind w:firstLine="420" w:firstLineChars="200"/>
        <w:rPr>
          <w:rFonts w:hint="eastAsia" w:ascii="黑体" w:hAnsi="黑体" w:eastAsia="黑体" w:cs="黑体"/>
        </w:rPr>
      </w:pPr>
      <w:r>
        <w:rPr>
          <w:rFonts w:hint="eastAsia" w:ascii="黑体" w:hAnsi="黑体" w:eastAsia="黑体" w:cs="黑体"/>
        </w:rPr>
        <w:t>外汇牌价表的要素为：日期（8），币种（3），百一外币对应人民币汇率（6）（不包括浮动的10位小数点），一外币对应美元汇率（6）（不包括浮动的10位小数点）；</w:t>
      </w:r>
    </w:p>
    <w:p>
      <w:pPr>
        <w:spacing w:line="360" w:lineRule="auto"/>
        <w:rPr>
          <w:rFonts w:hint="eastAsia" w:ascii="黑体" w:hAnsi="黑体" w:eastAsia="黑体" w:cs="黑体"/>
        </w:rPr>
      </w:pPr>
      <w:r>
        <w:rPr>
          <w:rFonts w:hint="eastAsia" w:ascii="黑体" w:hAnsi="黑体" w:eastAsia="黑体" w:cs="黑体"/>
        </w:rPr>
        <w:t>折算时采用四舍五入法；</w:t>
      </w:r>
    </w:p>
    <w:p>
      <w:pPr>
        <w:spacing w:line="360" w:lineRule="auto"/>
        <w:ind w:firstLine="420" w:firstLineChars="200"/>
        <w:rPr>
          <w:rFonts w:hint="eastAsia" w:ascii="黑体" w:hAnsi="黑体" w:eastAsia="黑体" w:cs="黑体"/>
        </w:rPr>
      </w:pPr>
      <w:r>
        <w:rPr>
          <w:rFonts w:hint="eastAsia" w:ascii="黑体" w:hAnsi="黑体" w:eastAsia="黑体" w:cs="黑体"/>
        </w:rPr>
        <w:t>本报表体系应当提供三种不同的折算率，分别是：总行资金部发布的全行外汇牌价中的各币种折美元的中间价、年终决算牌价、外汇买卖交易牌价。究竟选择哪种折算率进行换算，由系统操作界面或者上层调用参数决定；</w:t>
      </w:r>
    </w:p>
    <w:p>
      <w:pPr>
        <w:spacing w:line="360" w:lineRule="auto"/>
        <w:rPr>
          <w:rFonts w:hint="eastAsia" w:ascii="黑体" w:hAnsi="黑体" w:eastAsia="黑体" w:cs="黑体"/>
        </w:rPr>
      </w:pPr>
      <w:r>
        <w:rPr>
          <w:rFonts w:hint="eastAsia" w:ascii="黑体" w:hAnsi="黑体" w:eastAsia="黑体" w:cs="黑体"/>
        </w:rPr>
        <w:t>每张报表的具体折算方法在数据需求分析阶段中进行确认。</w:t>
      </w:r>
    </w:p>
    <w:p>
      <w:pPr>
        <w:spacing w:line="360" w:lineRule="auto"/>
        <w:rPr>
          <w:rFonts w:hint="eastAsia" w:ascii="黑体" w:hAnsi="黑体" w:eastAsia="黑体" w:cs="黑体"/>
        </w:rPr>
      </w:pPr>
      <w:r>
        <w:rPr>
          <w:rFonts w:hint="eastAsia" w:ascii="黑体" w:hAnsi="黑体" w:eastAsia="黑体" w:cs="黑体"/>
        </w:rPr>
        <w:t>折算方法流程-先折算后合计</w:t>
      </w:r>
    </w:p>
    <w:p>
      <w:pPr>
        <w:spacing w:line="360" w:lineRule="auto"/>
        <w:ind w:firstLine="420" w:firstLineChars="200"/>
        <w:rPr>
          <w:rFonts w:hint="eastAsia" w:ascii="黑体" w:hAnsi="黑体" w:eastAsia="黑体" w:cs="黑体"/>
        </w:rPr>
      </w:pPr>
      <w:r>
        <w:rPr>
          <w:rFonts w:hint="eastAsia" w:ascii="黑体" w:hAnsi="黑体" w:eastAsia="黑体" w:cs="黑体"/>
        </w:rPr>
        <w:t>读取该数据报表数据→读取折算表→进行数据折算计算→折算调平→将数据合计记入（目标）数据表→读取汇总管理表（如果需要的话，寻找下一个数据）→结束时返回处理结果。</w:t>
      </w:r>
    </w:p>
    <w:p>
      <w:pPr>
        <w:spacing w:line="360" w:lineRule="auto"/>
        <w:rPr>
          <w:rFonts w:hint="eastAsia" w:ascii="黑体" w:hAnsi="黑体" w:eastAsia="黑体" w:cs="黑体"/>
        </w:rPr>
      </w:pPr>
      <w:r>
        <w:rPr>
          <w:rFonts w:hint="eastAsia" w:ascii="黑体" w:hAnsi="黑体" w:eastAsia="黑体" w:cs="黑体"/>
        </w:rPr>
        <w:t>折算调平原则</w:t>
      </w:r>
    </w:p>
    <w:p>
      <w:pPr>
        <w:spacing w:line="360" w:lineRule="auto"/>
        <w:ind w:firstLine="420" w:firstLineChars="200"/>
        <w:rPr>
          <w:rFonts w:hint="eastAsia" w:ascii="黑体" w:hAnsi="黑体" w:eastAsia="黑体" w:cs="黑体"/>
        </w:rPr>
      </w:pPr>
      <w:r>
        <w:rPr>
          <w:rFonts w:hint="eastAsia" w:ascii="黑体" w:hAnsi="黑体" w:eastAsia="黑体" w:cs="黑体"/>
        </w:rPr>
        <w:t>因分行上报的人民币数据和外币折美圆数据科目横向检查及试算平衡表纵向检查均为平衡，故无须对人民币和外币折美圆进行折算调平。</w:t>
      </w:r>
    </w:p>
    <w:p>
      <w:pPr>
        <w:spacing w:line="360" w:lineRule="auto"/>
        <w:ind w:firstLine="420" w:firstLineChars="200"/>
        <w:rPr>
          <w:rFonts w:hint="eastAsia" w:ascii="黑体" w:hAnsi="黑体" w:eastAsia="黑体" w:cs="黑体"/>
        </w:rPr>
      </w:pPr>
      <w:r>
        <w:rPr>
          <w:rFonts w:hint="eastAsia" w:ascii="黑体" w:hAnsi="黑体" w:eastAsia="黑体" w:cs="黑体"/>
        </w:rPr>
        <w:t>由总行统一做外币折人民币操作，需要对外币折人民币进行折算调平。</w:t>
      </w:r>
    </w:p>
    <w:p>
      <w:pPr>
        <w:pStyle w:val="4"/>
        <w:spacing w:line="360" w:lineRule="auto"/>
        <w:rPr>
          <w:rFonts w:hint="eastAsia" w:ascii="黑体" w:hAnsi="黑体" w:eastAsia="黑体" w:cs="黑体"/>
        </w:rPr>
      </w:pPr>
      <w:bookmarkStart w:id="35" w:name="_Toc119760125"/>
      <w:bookmarkStart w:id="36" w:name="_Toc343525816"/>
      <w:r>
        <w:rPr>
          <w:rFonts w:hint="eastAsia" w:ascii="黑体" w:hAnsi="黑体" w:eastAsia="黑体" w:cs="黑体"/>
        </w:rPr>
        <w:t>尾数调平</w:t>
      </w:r>
      <w:bookmarkEnd w:id="33"/>
      <w:bookmarkEnd w:id="34"/>
      <w:bookmarkEnd w:id="35"/>
      <w:bookmarkEnd w:id="36"/>
    </w:p>
    <w:p>
      <w:pPr>
        <w:pStyle w:val="5"/>
        <w:spacing w:line="360" w:lineRule="auto"/>
        <w:rPr>
          <w:rFonts w:hint="eastAsia" w:ascii="黑体" w:hAnsi="黑体" w:eastAsia="黑体" w:cs="黑体"/>
        </w:rPr>
      </w:pPr>
      <w:bookmarkStart w:id="37" w:name="_Toc105916018"/>
      <w:bookmarkStart w:id="38" w:name="_Toc105313480"/>
      <w:r>
        <w:rPr>
          <w:rFonts w:hint="eastAsia" w:ascii="黑体" w:hAnsi="黑体" w:eastAsia="黑体" w:cs="黑体"/>
        </w:rPr>
        <w:t>概要说明</w:t>
      </w:r>
    </w:p>
    <w:p>
      <w:pPr>
        <w:spacing w:line="360" w:lineRule="auto"/>
        <w:ind w:firstLine="420" w:firstLineChars="200"/>
        <w:rPr>
          <w:rFonts w:hint="eastAsia" w:ascii="黑体" w:hAnsi="黑体" w:eastAsia="黑体" w:cs="黑体"/>
        </w:rPr>
      </w:pPr>
      <w:r>
        <w:rPr>
          <w:rFonts w:hint="eastAsia" w:ascii="黑体" w:hAnsi="黑体" w:eastAsia="黑体" w:cs="黑体"/>
        </w:rPr>
        <w:t>本报表体系原始数据源的货币单位为角分（如果手工上报的数据为万元，先统一补零到角分单位），但统计报表需要以万元、亿元或其他任意有效的货币单位来展示数据。由于进位采用的是四舍五入的方式，进位后的数据会有小额的误差，造成报表不平衡，因此，在数据处理时必须提供数据进位及其调平功能。</w:t>
      </w:r>
    </w:p>
    <w:p>
      <w:pPr>
        <w:pStyle w:val="5"/>
        <w:spacing w:line="360" w:lineRule="auto"/>
        <w:rPr>
          <w:rFonts w:hint="eastAsia" w:ascii="黑体" w:hAnsi="黑体" w:eastAsia="黑体" w:cs="黑体"/>
        </w:rPr>
      </w:pPr>
      <w:bookmarkStart w:id="39" w:name="_Toc105916054"/>
      <w:r>
        <w:rPr>
          <w:rFonts w:hint="eastAsia" w:ascii="黑体" w:hAnsi="黑体" w:eastAsia="黑体" w:cs="黑体"/>
        </w:rPr>
        <w:t>数据进位</w:t>
      </w:r>
      <w:bookmarkEnd w:id="39"/>
    </w:p>
    <w:p>
      <w:pPr>
        <w:spacing w:line="360" w:lineRule="auto"/>
        <w:ind w:firstLine="420" w:firstLineChars="200"/>
        <w:rPr>
          <w:rFonts w:hint="eastAsia" w:ascii="黑体" w:hAnsi="黑体" w:eastAsia="黑体" w:cs="黑体"/>
        </w:rPr>
      </w:pPr>
      <w:r>
        <w:rPr>
          <w:rFonts w:hint="eastAsia" w:ascii="黑体" w:hAnsi="黑体" w:eastAsia="黑体" w:cs="黑体"/>
        </w:rPr>
        <w:t>进位操作由用户选择进位参数，参数值在0——8的范围之内，进位计算公式为：目标数值=原数值/10（n次方）（n=0…8，即从元至亿元）。采用四舍五入法，而保留小数点位数则可以进行参数设置。</w:t>
      </w:r>
    </w:p>
    <w:p>
      <w:pPr>
        <w:pStyle w:val="5"/>
        <w:spacing w:line="360" w:lineRule="auto"/>
        <w:rPr>
          <w:rFonts w:hint="eastAsia" w:ascii="黑体" w:hAnsi="黑体" w:eastAsia="黑体" w:cs="黑体"/>
        </w:rPr>
      </w:pPr>
      <w:bookmarkStart w:id="40" w:name="_Toc105916055"/>
      <w:r>
        <w:rPr>
          <w:rFonts w:hint="eastAsia" w:ascii="黑体" w:hAnsi="黑体" w:eastAsia="黑体" w:cs="黑体"/>
        </w:rPr>
        <w:t>进位后的调平策略</w:t>
      </w:r>
      <w:bookmarkEnd w:id="40"/>
    </w:p>
    <w:p>
      <w:pPr>
        <w:spacing w:line="360" w:lineRule="auto"/>
        <w:ind w:firstLine="420" w:firstLineChars="200"/>
        <w:rPr>
          <w:rFonts w:hint="eastAsia" w:ascii="黑体" w:hAnsi="黑体" w:eastAsia="黑体" w:cs="黑体"/>
        </w:rPr>
      </w:pPr>
      <w:r>
        <w:rPr>
          <w:rFonts w:hint="eastAsia" w:ascii="黑体" w:hAnsi="黑体" w:eastAsia="黑体" w:cs="黑体"/>
        </w:rPr>
        <w:t>数据进位后，货币的单位发生变化，产生进位尾差，必定会造成平衡关系的问题。为了消除因进位或其他因素形成的影响，必须进行尾差调平处理。建议将此功能作成标准模块，提供全系统共享。由于不同形式的报表，具有不同平衡关系，因此必须按照具体的报表形式进行调平处理。</w:t>
      </w:r>
    </w:p>
    <w:p>
      <w:pPr>
        <w:spacing w:line="360" w:lineRule="auto"/>
        <w:ind w:firstLine="420" w:firstLineChars="200"/>
        <w:rPr>
          <w:rFonts w:hint="eastAsia" w:ascii="黑体" w:hAnsi="黑体" w:eastAsia="黑体" w:cs="黑体"/>
        </w:rPr>
      </w:pPr>
      <w:r>
        <w:rPr>
          <w:rFonts w:hint="eastAsia" w:ascii="黑体" w:hAnsi="黑体" w:eastAsia="黑体" w:cs="黑体"/>
        </w:rPr>
        <w:t>长期以来统计工作者在统计工作的实践进行了不断研究，取得了丰富的经验，在统计工作中，数据调平的应用占有很重要的地位，因此本报表体系提供两种调平方法，供用户选择，至于采用何种算法，则根据报表具体要求决定：</w:t>
      </w:r>
    </w:p>
    <w:p>
      <w:pPr>
        <w:spacing w:line="360" w:lineRule="auto"/>
        <w:ind w:firstLine="420" w:firstLineChars="200"/>
        <w:rPr>
          <w:rFonts w:hint="eastAsia" w:ascii="黑体" w:hAnsi="黑体" w:eastAsia="黑体" w:cs="黑体"/>
        </w:rPr>
      </w:pPr>
      <w:r>
        <w:rPr>
          <w:rFonts w:hint="eastAsia" w:ascii="黑体" w:hAnsi="黑体" w:eastAsia="黑体" w:cs="黑体"/>
        </w:rPr>
        <w:t>单向带有合计关系的报表处理方式。大多数报表数据都带有纵向或横向合计关系，对于这种报表的调平方式是“自顶向下”调平法。即：先外后内，逐层调整。</w:t>
      </w:r>
    </w:p>
    <w:p>
      <w:pPr>
        <w:numPr>
          <w:ilvl w:val="0"/>
          <w:numId w:val="4"/>
        </w:numPr>
        <w:spacing w:line="360" w:lineRule="auto"/>
        <w:rPr>
          <w:rFonts w:hint="eastAsia" w:ascii="黑体" w:hAnsi="黑体" w:eastAsia="黑体" w:cs="黑体"/>
          <w:sz w:val="24"/>
          <w:szCs w:val="24"/>
        </w:rPr>
      </w:pPr>
      <w:r>
        <w:rPr>
          <w:rFonts w:hint="eastAsia" w:ascii="黑体" w:hAnsi="黑体" w:eastAsia="黑体" w:cs="黑体"/>
        </w:rPr>
        <w:t>调整第一层次汇总关系：如某个报表具有如下合计关系：A=B+C+D。数据经过加工后，可能会产生下列二种情况</w:t>
      </w:r>
      <w:r>
        <w:rPr>
          <w:rFonts w:hint="eastAsia" w:ascii="黑体" w:hAnsi="黑体" w:eastAsia="黑体" w:cs="黑体"/>
          <w:sz w:val="24"/>
          <w:szCs w:val="24"/>
        </w:rPr>
        <w:t>：</w:t>
      </w:r>
    </w:p>
    <w:p>
      <w:pPr>
        <w:numPr>
          <w:ilvl w:val="0"/>
          <w:numId w:val="5"/>
        </w:numPr>
        <w:spacing w:line="360" w:lineRule="auto"/>
        <w:rPr>
          <w:rFonts w:hint="eastAsia" w:ascii="黑体" w:hAnsi="黑体" w:eastAsia="黑体" w:cs="黑体"/>
          <w:sz w:val="24"/>
          <w:szCs w:val="24"/>
        </w:rPr>
      </w:pPr>
      <w:r>
        <w:rPr>
          <w:rFonts w:hint="eastAsia" w:ascii="黑体" w:hAnsi="黑体" w:eastAsia="黑体" w:cs="黑体"/>
        </w:rPr>
        <w:t>A&gt;B+C+D，这时我们需要对B、C、D中某一个进行调增，直至相等为止</w:t>
      </w:r>
      <w:r>
        <w:rPr>
          <w:rFonts w:hint="eastAsia" w:ascii="黑体" w:hAnsi="黑体" w:eastAsia="黑体" w:cs="黑体"/>
          <w:sz w:val="24"/>
          <w:szCs w:val="24"/>
        </w:rPr>
        <w:t>。</w:t>
      </w:r>
    </w:p>
    <w:p>
      <w:pPr>
        <w:numPr>
          <w:ilvl w:val="0"/>
          <w:numId w:val="5"/>
        </w:numPr>
        <w:spacing w:line="360" w:lineRule="auto"/>
        <w:rPr>
          <w:rFonts w:hint="eastAsia" w:ascii="黑体" w:hAnsi="黑体" w:eastAsia="黑体" w:cs="黑体"/>
          <w:sz w:val="24"/>
          <w:szCs w:val="24"/>
        </w:rPr>
      </w:pPr>
      <w:r>
        <w:rPr>
          <w:rFonts w:hint="eastAsia" w:ascii="黑体" w:hAnsi="黑体" w:eastAsia="黑体" w:cs="黑体"/>
        </w:rPr>
        <w:t>A&lt;B+C+D，这时我们需要对B、C、D中某一个进行调减，直至相等为止</w:t>
      </w:r>
      <w:r>
        <w:rPr>
          <w:rFonts w:hint="eastAsia" w:ascii="黑体" w:hAnsi="黑体" w:eastAsia="黑体" w:cs="黑体"/>
          <w:sz w:val="24"/>
          <w:szCs w:val="24"/>
        </w:rPr>
        <w:t>。</w:t>
      </w:r>
    </w:p>
    <w:p>
      <w:pPr>
        <w:numPr>
          <w:ilvl w:val="0"/>
          <w:numId w:val="4"/>
        </w:numPr>
        <w:spacing w:line="360" w:lineRule="auto"/>
        <w:rPr>
          <w:rFonts w:hint="eastAsia" w:ascii="黑体" w:hAnsi="黑体" w:eastAsia="黑体" w:cs="黑体"/>
          <w:sz w:val="24"/>
          <w:szCs w:val="24"/>
        </w:rPr>
      </w:pPr>
      <w:r>
        <w:rPr>
          <w:rFonts w:hint="eastAsia" w:ascii="黑体" w:hAnsi="黑体" w:eastAsia="黑体" w:cs="黑体"/>
        </w:rPr>
        <w:t>再逐层调整汇总关系：如果在B、C、D中有下一层的合计关系，则再进行下一层次的逐个调平。如：B&gt;B1+B2+B3，需要对B1、B2、B3中某一个进行调增，直至相等为止。反之，则进行调减处理</w:t>
      </w:r>
      <w:r>
        <w:rPr>
          <w:rFonts w:hint="eastAsia" w:ascii="黑体" w:hAnsi="黑体" w:eastAsia="黑体" w:cs="黑体"/>
          <w:sz w:val="24"/>
          <w:szCs w:val="24"/>
        </w:rPr>
        <w:t>。</w:t>
      </w:r>
    </w:p>
    <w:p>
      <w:pPr>
        <w:spacing w:line="360" w:lineRule="auto"/>
        <w:rPr>
          <w:rFonts w:hint="eastAsia" w:ascii="黑体" w:hAnsi="黑体" w:eastAsia="黑体" w:cs="黑体"/>
        </w:rPr>
      </w:pPr>
      <w:r>
        <w:rPr>
          <w:rFonts w:hint="eastAsia" w:ascii="黑体" w:hAnsi="黑体" w:eastAsia="黑体" w:cs="黑体"/>
        </w:rPr>
        <w:t>纵横向都带有合计关系的报表处理方式。有些报表数据的纵向和横向都带有合计关系：</w:t>
      </w:r>
    </w:p>
    <w:p>
      <w:pPr>
        <w:numPr>
          <w:ilvl w:val="0"/>
          <w:numId w:val="6"/>
        </w:numPr>
        <w:spacing w:line="360" w:lineRule="auto"/>
        <w:rPr>
          <w:rFonts w:hint="eastAsia" w:ascii="黑体" w:hAnsi="黑体" w:eastAsia="黑体" w:cs="黑体"/>
          <w:sz w:val="24"/>
          <w:szCs w:val="24"/>
        </w:rPr>
      </w:pPr>
      <w:r>
        <w:rPr>
          <w:rFonts w:hint="eastAsia" w:ascii="黑体" w:hAnsi="黑体" w:eastAsia="黑体" w:cs="黑体"/>
        </w:rPr>
        <w:t>先横后纵法</w:t>
      </w:r>
    </w:p>
    <w:p>
      <w:pPr>
        <w:spacing w:line="360" w:lineRule="auto"/>
        <w:ind w:firstLine="420" w:firstLineChars="200"/>
        <w:rPr>
          <w:rFonts w:hint="eastAsia" w:ascii="黑体" w:hAnsi="黑体" w:eastAsia="黑体" w:cs="黑体"/>
        </w:rPr>
      </w:pPr>
      <w:r>
        <w:rPr>
          <w:rFonts w:hint="eastAsia" w:ascii="黑体" w:hAnsi="黑体" w:eastAsia="黑体" w:cs="黑体"/>
        </w:rPr>
        <w:t>对于这种报表的调平方式是采用横向“自顶向下”调平法，然后在横向调平的基础上，重新加计纵向合计数。</w:t>
      </w:r>
    </w:p>
    <w:p>
      <w:pPr>
        <w:spacing w:line="360" w:lineRule="auto"/>
        <w:ind w:firstLine="420" w:firstLineChars="200"/>
        <w:rPr>
          <w:rFonts w:hint="eastAsia" w:ascii="黑体" w:hAnsi="黑体" w:eastAsia="黑体" w:cs="黑体"/>
        </w:rPr>
      </w:pPr>
      <w:r>
        <w:rPr>
          <w:rFonts w:hint="eastAsia" w:ascii="黑体" w:hAnsi="黑体" w:eastAsia="黑体" w:cs="黑体"/>
        </w:rPr>
        <w:t>该方法适用于需要首先确定主栏数值的报表。即以主栏合计数为基准，对宾栏数据按照调平策略中“单向带有合计关系的报表处理方式”进行调整。采用这种算法时，无论数据调增、调减，均约定调整宾栏项目中的“其他”项指标数据，若报表中无“其他”项，则调整宾栏中数据比重最大值。横向调整完成后，纵向只做简单合计运算。</w:t>
      </w:r>
    </w:p>
    <w:p>
      <w:pPr>
        <w:numPr>
          <w:ilvl w:val="0"/>
          <w:numId w:val="6"/>
        </w:numPr>
        <w:spacing w:line="360" w:lineRule="auto"/>
        <w:rPr>
          <w:rFonts w:hint="eastAsia" w:ascii="黑体" w:hAnsi="黑体" w:eastAsia="黑体" w:cs="黑体"/>
          <w:sz w:val="24"/>
          <w:szCs w:val="24"/>
        </w:rPr>
      </w:pPr>
      <w:r>
        <w:rPr>
          <w:rFonts w:hint="eastAsia" w:ascii="黑体" w:hAnsi="黑体" w:eastAsia="黑体" w:cs="黑体"/>
        </w:rPr>
        <w:t>先纵后横法</w:t>
      </w:r>
    </w:p>
    <w:p>
      <w:pPr>
        <w:spacing w:line="360" w:lineRule="auto"/>
        <w:ind w:firstLine="420" w:firstLineChars="200"/>
        <w:rPr>
          <w:rFonts w:hint="eastAsia" w:ascii="黑体" w:hAnsi="黑体" w:eastAsia="黑体" w:cs="黑体"/>
        </w:rPr>
      </w:pPr>
      <w:r>
        <w:rPr>
          <w:rFonts w:hint="eastAsia" w:ascii="黑体" w:hAnsi="黑体" w:eastAsia="黑体" w:cs="黑体"/>
        </w:rPr>
        <w:t>该方法适用于需要首先确定宾栏数值的报表。即以宾栏合计数为基准，对主栏数据按照调平策略中“单向带有合计关系的报表处理方式”进行调整。采用这种算法时，无论数据调增、调减，均约定调整主栏项目中的“其他”项指标数据，若报表中无“其他”项，则调整主栏中数据比重最大值。纵向调整完成后，横向只做简单合计运算。</w:t>
      </w:r>
    </w:p>
    <w:bookmarkEnd w:id="37"/>
    <w:bookmarkEnd w:id="38"/>
    <w:p>
      <w:pPr>
        <w:spacing w:line="360" w:lineRule="auto"/>
        <w:rPr>
          <w:rFonts w:hint="eastAsia" w:ascii="黑体" w:hAnsi="黑体" w:eastAsia="黑体" w:cs="黑体"/>
        </w:rPr>
      </w:pPr>
    </w:p>
    <w:p>
      <w:pPr>
        <w:pStyle w:val="2"/>
        <w:spacing w:line="360" w:lineRule="auto"/>
        <w:rPr>
          <w:rFonts w:hint="eastAsia" w:ascii="黑体" w:hAnsi="黑体" w:eastAsia="黑体" w:cs="黑体"/>
        </w:rPr>
      </w:pPr>
      <w:bookmarkStart w:id="41" w:name="_Toc343525817"/>
      <w:r>
        <w:rPr>
          <w:rFonts w:hint="eastAsia" w:ascii="黑体" w:hAnsi="黑体" w:eastAsia="黑体" w:cs="黑体"/>
        </w:rPr>
        <w:t>系统的非功能性需求</w:t>
      </w:r>
      <w:bookmarkEnd w:id="41"/>
      <w:bookmarkStart w:id="42" w:name="_Toc205800793"/>
      <w:bookmarkEnd w:id="42"/>
      <w:bookmarkStart w:id="43" w:name="_Toc205803547"/>
      <w:bookmarkEnd w:id="43"/>
      <w:bookmarkStart w:id="44" w:name="_Toc205802330"/>
      <w:bookmarkEnd w:id="44"/>
      <w:bookmarkStart w:id="45" w:name="_Toc205866299"/>
      <w:bookmarkEnd w:id="45"/>
      <w:bookmarkStart w:id="46" w:name="_Toc205881867"/>
      <w:bookmarkEnd w:id="46"/>
      <w:bookmarkStart w:id="47" w:name="_Toc206471134"/>
      <w:bookmarkEnd w:id="47"/>
      <w:bookmarkStart w:id="48" w:name="_Toc206471016"/>
      <w:bookmarkEnd w:id="48"/>
      <w:bookmarkStart w:id="49" w:name="_Toc205800679"/>
      <w:bookmarkEnd w:id="49"/>
      <w:bookmarkStart w:id="50" w:name="_Toc205866415"/>
      <w:bookmarkEnd w:id="50"/>
      <w:bookmarkStart w:id="51" w:name="_Toc205881983"/>
      <w:bookmarkEnd w:id="51"/>
      <w:bookmarkStart w:id="52" w:name="_Toc205803859"/>
      <w:bookmarkEnd w:id="52"/>
      <w:bookmarkStart w:id="53" w:name="_Toc342928950"/>
      <w:bookmarkEnd w:id="53"/>
      <w:bookmarkStart w:id="54" w:name="_Toc206658269"/>
      <w:bookmarkEnd w:id="54"/>
      <w:bookmarkStart w:id="55" w:name="_Toc206836813"/>
      <w:bookmarkEnd w:id="55"/>
      <w:bookmarkStart w:id="56" w:name="_Toc211335180"/>
      <w:bookmarkEnd w:id="56"/>
      <w:bookmarkStart w:id="57" w:name="_Toc291508518"/>
      <w:bookmarkEnd w:id="57"/>
      <w:bookmarkStart w:id="58" w:name="_Toc217184751"/>
      <w:bookmarkEnd w:id="58"/>
      <w:bookmarkStart w:id="59" w:name="_Toc206658144"/>
      <w:bookmarkEnd w:id="59"/>
      <w:bookmarkStart w:id="60" w:name="_Toc342929425"/>
      <w:bookmarkEnd w:id="60"/>
      <w:bookmarkStart w:id="61" w:name="_Toc342929361"/>
      <w:bookmarkEnd w:id="61"/>
      <w:bookmarkStart w:id="62" w:name="_Toc206836692"/>
      <w:bookmarkEnd w:id="62"/>
      <w:bookmarkStart w:id="63" w:name="_Toc211335063"/>
      <w:bookmarkEnd w:id="63"/>
      <w:bookmarkStart w:id="64" w:name="_Toc342929514"/>
      <w:bookmarkEnd w:id="64"/>
      <w:bookmarkStart w:id="65" w:name="_Toc342929022"/>
      <w:bookmarkEnd w:id="65"/>
      <w:bookmarkStart w:id="66" w:name="_Toc203900716"/>
    </w:p>
    <w:bookmarkEnd w:id="66"/>
    <w:p>
      <w:pPr>
        <w:pStyle w:val="3"/>
        <w:spacing w:line="360" w:lineRule="auto"/>
        <w:rPr>
          <w:rFonts w:hint="eastAsia" w:ascii="黑体" w:hAnsi="黑体" w:eastAsia="黑体" w:cs="黑体"/>
        </w:rPr>
      </w:pPr>
      <w:bookmarkStart w:id="67" w:name="_Toc343525818"/>
      <w:bookmarkStart w:id="68" w:name="_Toc342997571"/>
      <w:r>
        <w:rPr>
          <w:rFonts w:hint="eastAsia" w:ascii="黑体" w:hAnsi="黑体" w:eastAsia="黑体" w:cs="黑体"/>
        </w:rPr>
        <w:t>用户界面需求</w:t>
      </w:r>
      <w:bookmarkEnd w:id="67"/>
      <w:bookmarkEnd w:id="68"/>
    </w:p>
    <w:p>
      <w:pPr>
        <w:spacing w:line="360" w:lineRule="auto"/>
        <w:ind w:firstLine="420" w:firstLineChars="200"/>
        <w:rPr>
          <w:rFonts w:hint="eastAsia" w:ascii="黑体" w:hAnsi="黑体" w:eastAsia="黑体" w:cs="黑体"/>
        </w:rPr>
      </w:pPr>
      <w:r>
        <w:rPr>
          <w:rFonts w:hint="eastAsia" w:ascii="黑体" w:hAnsi="黑体" w:eastAsia="黑体" w:cs="黑体"/>
        </w:rPr>
        <w:t>用户界面以银监会提供的标准界面为准，并根据客户要求，修改相关样式</w:t>
      </w:r>
    </w:p>
    <w:p>
      <w:pPr>
        <w:pStyle w:val="3"/>
        <w:spacing w:line="360" w:lineRule="auto"/>
        <w:rPr>
          <w:rFonts w:hint="eastAsia" w:ascii="黑体" w:hAnsi="黑体" w:eastAsia="黑体" w:cs="黑体"/>
          <w:sz w:val="24"/>
        </w:rPr>
      </w:pPr>
      <w:bookmarkStart w:id="69" w:name="_Toc471343640"/>
      <w:bookmarkStart w:id="70" w:name="_Toc210117930"/>
      <w:bookmarkStart w:id="71" w:name="_Toc291508520"/>
      <w:bookmarkStart w:id="72" w:name="_Toc343525819"/>
      <w:r>
        <w:rPr>
          <w:rFonts w:hint="eastAsia" w:ascii="黑体" w:hAnsi="黑体" w:eastAsia="黑体" w:cs="黑体"/>
          <w:sz w:val="24"/>
        </w:rPr>
        <w:t>安全保密需求说明</w:t>
      </w:r>
      <w:bookmarkEnd w:id="69"/>
      <w:bookmarkEnd w:id="70"/>
      <w:bookmarkEnd w:id="71"/>
      <w:bookmarkEnd w:id="72"/>
    </w:p>
    <w:p>
      <w:pPr>
        <w:numPr>
          <w:ilvl w:val="0"/>
          <w:numId w:val="7"/>
        </w:numPr>
        <w:tabs>
          <w:tab w:val="left" w:pos="851"/>
          <w:tab w:val="clear" w:pos="1400"/>
        </w:tabs>
        <w:spacing w:before="20" w:after="20" w:line="360" w:lineRule="auto"/>
        <w:ind w:hanging="974"/>
        <w:rPr>
          <w:rFonts w:hint="eastAsia" w:ascii="黑体" w:hAnsi="黑体" w:eastAsia="黑体" w:cs="黑体"/>
          <w:spacing w:val="10"/>
          <w:sz w:val="24"/>
        </w:rPr>
      </w:pPr>
      <w:r>
        <w:rPr>
          <w:rFonts w:hint="eastAsia" w:ascii="黑体" w:hAnsi="黑体" w:eastAsia="黑体" w:cs="黑体"/>
        </w:rPr>
        <w:t>全面的用户口令管理</w:t>
      </w:r>
    </w:p>
    <w:p>
      <w:pPr>
        <w:spacing w:line="360" w:lineRule="auto"/>
        <w:ind w:firstLine="420" w:firstLineChars="200"/>
        <w:rPr>
          <w:rFonts w:hint="eastAsia" w:ascii="黑体" w:hAnsi="黑体" w:eastAsia="黑体" w:cs="黑体"/>
        </w:rPr>
      </w:pPr>
      <w:r>
        <w:rPr>
          <w:rFonts w:hint="eastAsia" w:ascii="黑体" w:hAnsi="黑体" w:eastAsia="黑体" w:cs="黑体"/>
        </w:rPr>
        <w:t>要求系统内的数据严格按照用户、角色的分配进行查看，避免泄漏到系统外或没有数据查看权限的用户对数据进行浏览、打印和导出操作。</w:t>
      </w:r>
    </w:p>
    <w:p>
      <w:pPr>
        <w:numPr>
          <w:ilvl w:val="0"/>
          <w:numId w:val="7"/>
        </w:numPr>
        <w:tabs>
          <w:tab w:val="left" w:pos="851"/>
          <w:tab w:val="clear" w:pos="1400"/>
        </w:tabs>
        <w:spacing w:before="20" w:after="20" w:line="360" w:lineRule="auto"/>
        <w:ind w:hanging="974"/>
        <w:rPr>
          <w:rFonts w:hint="eastAsia" w:ascii="黑体" w:hAnsi="黑体" w:eastAsia="黑体" w:cs="黑体"/>
          <w:spacing w:val="10"/>
          <w:sz w:val="24"/>
        </w:rPr>
      </w:pPr>
      <w:r>
        <w:rPr>
          <w:rFonts w:hint="eastAsia" w:ascii="黑体" w:hAnsi="黑体" w:eastAsia="黑体" w:cs="黑体"/>
        </w:rPr>
        <w:t>灾难恢复策略</w:t>
      </w:r>
    </w:p>
    <w:p>
      <w:pPr>
        <w:spacing w:line="360" w:lineRule="auto"/>
        <w:ind w:firstLine="420" w:firstLineChars="200"/>
        <w:rPr>
          <w:rFonts w:hint="eastAsia" w:ascii="黑体" w:hAnsi="黑体" w:eastAsia="黑体" w:cs="黑体"/>
        </w:rPr>
      </w:pPr>
      <w:r>
        <w:rPr>
          <w:rFonts w:hint="eastAsia" w:ascii="黑体" w:hAnsi="黑体" w:eastAsia="黑体" w:cs="黑体"/>
        </w:rPr>
        <w:t>1.系统做集群配置。</w:t>
      </w:r>
    </w:p>
    <w:p>
      <w:pPr>
        <w:spacing w:line="360" w:lineRule="auto"/>
        <w:ind w:firstLine="420" w:firstLineChars="200"/>
        <w:rPr>
          <w:rFonts w:hint="eastAsia" w:ascii="黑体" w:hAnsi="黑体" w:eastAsia="黑体" w:cs="黑体"/>
        </w:rPr>
      </w:pPr>
      <w:r>
        <w:rPr>
          <w:rFonts w:hint="eastAsia" w:ascii="黑体" w:hAnsi="黑体" w:eastAsia="黑体" w:cs="黑体"/>
        </w:rPr>
        <w:t>2.系统运行期间应每日对数据库进行备份，备份策略可参考数据量及运行要求制定，保证在数据失效后迅速、准确地恢复数据。</w:t>
      </w:r>
    </w:p>
    <w:p>
      <w:pPr>
        <w:numPr>
          <w:ilvl w:val="0"/>
          <w:numId w:val="7"/>
        </w:numPr>
        <w:tabs>
          <w:tab w:val="left" w:pos="851"/>
          <w:tab w:val="clear" w:pos="1400"/>
        </w:tabs>
        <w:spacing w:before="20" w:after="20" w:line="360" w:lineRule="auto"/>
        <w:ind w:hanging="974"/>
        <w:rPr>
          <w:rFonts w:hint="eastAsia" w:ascii="黑体" w:hAnsi="黑体" w:eastAsia="黑体" w:cs="黑体"/>
          <w:spacing w:val="10"/>
          <w:sz w:val="24"/>
        </w:rPr>
      </w:pPr>
      <w:r>
        <w:rPr>
          <w:rFonts w:hint="eastAsia" w:ascii="黑体" w:hAnsi="黑体" w:eastAsia="黑体" w:cs="黑体"/>
        </w:rPr>
        <w:t>接口文件安全</w:t>
      </w:r>
    </w:p>
    <w:p>
      <w:pPr>
        <w:pStyle w:val="3"/>
        <w:spacing w:line="360" w:lineRule="auto"/>
        <w:rPr>
          <w:rFonts w:hint="eastAsia" w:ascii="黑体" w:hAnsi="黑体" w:eastAsia="黑体" w:cs="黑体"/>
          <w:sz w:val="24"/>
        </w:rPr>
      </w:pPr>
      <w:bookmarkStart w:id="73" w:name="_Toc343525820"/>
      <w:bookmarkStart w:id="74" w:name="_Toc210117933"/>
      <w:bookmarkStart w:id="75" w:name="_Toc471343641"/>
      <w:bookmarkStart w:id="76" w:name="_Toc291508523"/>
      <w:r>
        <w:rPr>
          <w:rFonts w:hint="eastAsia" w:ascii="黑体" w:hAnsi="黑体" w:eastAsia="黑体" w:cs="黑体"/>
          <w:sz w:val="24"/>
        </w:rPr>
        <w:t>处理能力需求说明</w:t>
      </w:r>
      <w:bookmarkEnd w:id="73"/>
      <w:bookmarkEnd w:id="74"/>
      <w:bookmarkEnd w:id="75"/>
      <w:bookmarkEnd w:id="76"/>
    </w:p>
    <w:p>
      <w:pPr>
        <w:pStyle w:val="4"/>
        <w:spacing w:line="360" w:lineRule="auto"/>
        <w:rPr>
          <w:rFonts w:hint="eastAsia" w:ascii="黑体" w:hAnsi="黑体" w:eastAsia="黑体" w:cs="黑体"/>
          <w:sz w:val="24"/>
        </w:rPr>
      </w:pPr>
      <w:bookmarkStart w:id="77" w:name="_Toc343525821"/>
      <w:bookmarkStart w:id="78" w:name="_Toc291508524"/>
      <w:bookmarkStart w:id="79" w:name="_Toc210117934"/>
      <w:r>
        <w:rPr>
          <w:rFonts w:hint="eastAsia" w:ascii="黑体" w:hAnsi="黑体" w:eastAsia="黑体" w:cs="黑体"/>
          <w:sz w:val="24"/>
        </w:rPr>
        <w:t>精度</w:t>
      </w:r>
      <w:bookmarkEnd w:id="77"/>
      <w:bookmarkEnd w:id="78"/>
      <w:bookmarkEnd w:id="79"/>
    </w:p>
    <w:p>
      <w:pPr>
        <w:spacing w:line="360" w:lineRule="auto"/>
        <w:ind w:firstLine="420" w:firstLineChars="200"/>
        <w:rPr>
          <w:rFonts w:hint="eastAsia" w:ascii="黑体" w:hAnsi="黑体" w:eastAsia="黑体" w:cs="黑体"/>
        </w:rPr>
      </w:pPr>
      <w:r>
        <w:rPr>
          <w:rFonts w:hint="eastAsia" w:ascii="黑体" w:hAnsi="黑体" w:eastAsia="黑体" w:cs="黑体"/>
        </w:rPr>
        <w:t>指标数据的精度要求为2位小数，汇率的精度要求为4位小数。</w:t>
      </w:r>
    </w:p>
    <w:p>
      <w:pPr>
        <w:pStyle w:val="4"/>
        <w:spacing w:line="360" w:lineRule="auto"/>
        <w:rPr>
          <w:rFonts w:hint="eastAsia" w:ascii="黑体" w:hAnsi="黑体" w:eastAsia="黑体" w:cs="黑体"/>
          <w:sz w:val="24"/>
        </w:rPr>
      </w:pPr>
      <w:bookmarkStart w:id="80" w:name="_Toc343525822"/>
      <w:r>
        <w:rPr>
          <w:rFonts w:hint="eastAsia" w:ascii="黑体" w:hAnsi="黑体" w:eastAsia="黑体" w:cs="黑体"/>
          <w:sz w:val="24"/>
        </w:rPr>
        <w:t>每页最大显示行数</w:t>
      </w:r>
      <w:bookmarkEnd w:id="80"/>
    </w:p>
    <w:p>
      <w:pPr>
        <w:spacing w:line="360" w:lineRule="auto"/>
        <w:ind w:firstLine="420" w:firstLineChars="200"/>
        <w:rPr>
          <w:rFonts w:hint="eastAsia" w:ascii="黑体" w:hAnsi="黑体" w:eastAsia="黑体" w:cs="黑体"/>
        </w:rPr>
      </w:pPr>
      <w:r>
        <w:rPr>
          <w:rFonts w:hint="eastAsia" w:ascii="黑体" w:hAnsi="黑体" w:eastAsia="黑体" w:cs="黑体"/>
        </w:rPr>
        <w:t>由于有些报表数据量较大，同时为了操作方便和美观，需要分页显示全部内容，每页最大显示的行数为50行。</w:t>
      </w:r>
    </w:p>
    <w:p>
      <w:pPr>
        <w:spacing w:line="360" w:lineRule="auto"/>
        <w:ind w:firstLine="420" w:firstLineChars="200"/>
        <w:rPr>
          <w:rFonts w:hint="eastAsia" w:ascii="黑体" w:hAnsi="黑体" w:eastAsia="黑体" w:cs="黑体"/>
        </w:rPr>
      </w:pPr>
      <w:r>
        <w:rPr>
          <w:rFonts w:hint="eastAsia" w:ascii="黑体" w:hAnsi="黑体" w:eastAsia="黑体" w:cs="黑体"/>
        </w:rPr>
        <w:t>如果报表下载之后，用A3纸打印，需要根据实际情况设置报表单元格的宽度。</w:t>
      </w:r>
    </w:p>
    <w:p>
      <w:pPr>
        <w:pStyle w:val="4"/>
        <w:spacing w:line="360" w:lineRule="auto"/>
        <w:rPr>
          <w:rFonts w:hint="eastAsia" w:ascii="黑体" w:hAnsi="黑体" w:eastAsia="黑体" w:cs="黑体"/>
          <w:sz w:val="24"/>
        </w:rPr>
      </w:pPr>
      <w:bookmarkStart w:id="81" w:name="_Toc210117935"/>
      <w:bookmarkStart w:id="82" w:name="_Toc291508525"/>
      <w:bookmarkStart w:id="83" w:name="_Toc343525823"/>
      <w:r>
        <w:rPr>
          <w:rFonts w:hint="eastAsia" w:ascii="黑体" w:hAnsi="黑体" w:eastAsia="黑体" w:cs="黑体"/>
          <w:sz w:val="24"/>
        </w:rPr>
        <w:t>性能要求</w:t>
      </w:r>
      <w:bookmarkEnd w:id="81"/>
      <w:bookmarkEnd w:id="82"/>
      <w:bookmarkStart w:id="84" w:name="_Toc210117936"/>
      <w:bookmarkStart w:id="85" w:name="_Toc291508526"/>
      <w:r>
        <w:rPr>
          <w:rFonts w:hint="eastAsia" w:ascii="黑体" w:hAnsi="黑体" w:eastAsia="黑体" w:cs="黑体"/>
          <w:sz w:val="24"/>
        </w:rPr>
        <w:t>（时间特性)</w:t>
      </w:r>
      <w:bookmarkEnd w:id="83"/>
    </w:p>
    <w:p>
      <w:pPr>
        <w:spacing w:line="360" w:lineRule="auto"/>
        <w:ind w:firstLine="420" w:firstLineChars="200"/>
        <w:rPr>
          <w:rFonts w:hint="eastAsia" w:ascii="黑体" w:hAnsi="黑体" w:eastAsia="黑体" w:cs="黑体"/>
        </w:rPr>
      </w:pPr>
      <w:r>
        <w:rPr>
          <w:rFonts w:hint="eastAsia" w:ascii="黑体" w:hAnsi="黑体" w:eastAsia="黑体" w:cs="黑体"/>
        </w:rPr>
        <w:t>性能需求描述系统性能方面的静态数值和动态数值方面定量的需求，包括： 用户量、交易吞吐量、系统响应时间等。</w:t>
      </w:r>
    </w:p>
    <w:p>
      <w:pPr>
        <w:numPr>
          <w:ilvl w:val="0"/>
          <w:numId w:val="8"/>
        </w:numPr>
        <w:spacing w:line="360" w:lineRule="auto"/>
        <w:rPr>
          <w:rFonts w:hint="eastAsia" w:ascii="黑体" w:hAnsi="黑体" w:eastAsia="黑体" w:cs="黑体"/>
        </w:rPr>
      </w:pPr>
      <w:r>
        <w:rPr>
          <w:rFonts w:hint="eastAsia" w:ascii="黑体" w:hAnsi="黑体" w:eastAsia="黑体" w:cs="黑体"/>
        </w:rPr>
        <w:t>系统支持同时在线用户数量是300。</w:t>
      </w:r>
    </w:p>
    <w:p>
      <w:pPr>
        <w:numPr>
          <w:ilvl w:val="0"/>
          <w:numId w:val="8"/>
        </w:numPr>
        <w:spacing w:line="360" w:lineRule="auto"/>
        <w:rPr>
          <w:rFonts w:hint="eastAsia" w:ascii="黑体" w:hAnsi="黑体" w:eastAsia="黑体" w:cs="黑体"/>
        </w:rPr>
      </w:pPr>
      <w:r>
        <w:rPr>
          <w:rFonts w:hint="eastAsia" w:ascii="黑体" w:hAnsi="黑体" w:eastAsia="黑体" w:cs="黑体"/>
        </w:rPr>
        <w:t>系统支持并发用户数量是300。</w:t>
      </w:r>
    </w:p>
    <w:p>
      <w:pPr>
        <w:numPr>
          <w:ilvl w:val="0"/>
          <w:numId w:val="8"/>
        </w:numPr>
        <w:spacing w:line="360" w:lineRule="auto"/>
        <w:rPr>
          <w:rFonts w:hint="eastAsia" w:ascii="黑体" w:hAnsi="黑体" w:eastAsia="黑体" w:cs="黑体"/>
        </w:rPr>
      </w:pPr>
      <w:r>
        <w:rPr>
          <w:rFonts w:hint="eastAsia" w:ascii="黑体" w:hAnsi="黑体" w:eastAsia="黑体" w:cs="黑体"/>
        </w:rPr>
        <w:t>所有的目标响应时间需求都是基于用户浏览器提交请求开始到接收到全部重要输出信息的端到端的响应时间。</w:t>
      </w:r>
    </w:p>
    <w:p>
      <w:pPr>
        <w:numPr>
          <w:ilvl w:val="0"/>
          <w:numId w:val="8"/>
        </w:numPr>
        <w:spacing w:line="360" w:lineRule="auto"/>
        <w:rPr>
          <w:rFonts w:hint="eastAsia" w:ascii="黑体" w:hAnsi="黑体" w:eastAsia="黑体" w:cs="黑体"/>
        </w:rPr>
      </w:pPr>
      <w:r>
        <w:rPr>
          <w:rFonts w:hint="eastAsia" w:ascii="黑体" w:hAnsi="黑体" w:eastAsia="黑体" w:cs="黑体"/>
        </w:rPr>
        <w:t>终端用户交互式访问系统的登陆界面的响应时间目标是小于2秒。</w:t>
      </w:r>
    </w:p>
    <w:p>
      <w:pPr>
        <w:numPr>
          <w:ilvl w:val="0"/>
          <w:numId w:val="8"/>
        </w:numPr>
        <w:spacing w:line="360" w:lineRule="auto"/>
        <w:rPr>
          <w:rFonts w:hint="eastAsia" w:ascii="黑体" w:hAnsi="黑体" w:eastAsia="黑体" w:cs="黑体"/>
        </w:rPr>
      </w:pPr>
      <w:r>
        <w:rPr>
          <w:rFonts w:hint="eastAsia" w:ascii="黑体" w:hAnsi="黑体" w:eastAsia="黑体" w:cs="黑体"/>
        </w:rPr>
        <w:t>终端用户98%的简单查询访问的响应时间目标是小于3秒。</w:t>
      </w:r>
    </w:p>
    <w:p>
      <w:pPr>
        <w:numPr>
          <w:ilvl w:val="0"/>
          <w:numId w:val="8"/>
        </w:numPr>
        <w:spacing w:line="360" w:lineRule="auto"/>
        <w:rPr>
          <w:rFonts w:hint="eastAsia" w:ascii="黑体" w:hAnsi="黑体" w:eastAsia="黑体" w:cs="黑体"/>
        </w:rPr>
      </w:pPr>
      <w:r>
        <w:rPr>
          <w:rFonts w:hint="eastAsia" w:ascii="黑体" w:hAnsi="黑体" w:eastAsia="黑体" w:cs="黑体"/>
        </w:rPr>
        <w:t>终端用户98%的简单增删改事务处理访问的响应时间目标是小于3秒。</w:t>
      </w:r>
    </w:p>
    <w:p>
      <w:pPr>
        <w:numPr>
          <w:ilvl w:val="0"/>
          <w:numId w:val="8"/>
        </w:numPr>
        <w:spacing w:line="360" w:lineRule="auto"/>
        <w:rPr>
          <w:rFonts w:hint="eastAsia" w:ascii="黑体" w:hAnsi="黑体" w:eastAsia="黑体" w:cs="黑体"/>
        </w:rPr>
      </w:pPr>
      <w:r>
        <w:rPr>
          <w:rFonts w:hint="eastAsia" w:ascii="黑体" w:hAnsi="黑体" w:eastAsia="黑体" w:cs="黑体"/>
        </w:rPr>
        <w:t>终端用户98%的复杂查询访问的响应时间目标是小于5秒，视查询的复杂程度。</w:t>
      </w:r>
    </w:p>
    <w:p>
      <w:pPr>
        <w:spacing w:line="360" w:lineRule="auto"/>
        <w:rPr>
          <w:rFonts w:hint="eastAsia" w:ascii="黑体" w:hAnsi="黑体" w:eastAsia="黑体" w:cs="黑体"/>
        </w:rPr>
      </w:pPr>
    </w:p>
    <w:p>
      <w:pPr>
        <w:pStyle w:val="4"/>
        <w:spacing w:line="360" w:lineRule="auto"/>
        <w:rPr>
          <w:rFonts w:hint="eastAsia" w:ascii="黑体" w:hAnsi="黑体" w:eastAsia="黑体" w:cs="黑体"/>
          <w:sz w:val="24"/>
        </w:rPr>
      </w:pPr>
      <w:bookmarkStart w:id="86" w:name="_Toc343525824"/>
      <w:r>
        <w:rPr>
          <w:rFonts w:hint="eastAsia" w:ascii="黑体" w:hAnsi="黑体" w:eastAsia="黑体" w:cs="黑体"/>
          <w:sz w:val="24"/>
        </w:rPr>
        <w:t>灵活性</w:t>
      </w:r>
      <w:bookmarkEnd w:id="84"/>
      <w:bookmarkEnd w:id="85"/>
      <w:bookmarkEnd w:id="86"/>
    </w:p>
    <w:p>
      <w:pPr>
        <w:spacing w:line="360" w:lineRule="auto"/>
        <w:rPr>
          <w:rFonts w:hint="eastAsia" w:ascii="黑体" w:hAnsi="黑体" w:eastAsia="黑体" w:cs="黑体"/>
        </w:rPr>
      </w:pPr>
      <w:r>
        <w:rPr>
          <w:rFonts w:hint="eastAsia" w:ascii="黑体" w:hAnsi="黑体" w:eastAsia="黑体" w:cs="黑体"/>
        </w:rPr>
        <w:t>无特殊需求。</w:t>
      </w:r>
    </w:p>
    <w:p>
      <w:pPr>
        <w:pStyle w:val="4"/>
        <w:spacing w:line="360" w:lineRule="auto"/>
        <w:rPr>
          <w:rFonts w:hint="eastAsia" w:ascii="黑体" w:hAnsi="黑体" w:eastAsia="黑体" w:cs="黑体"/>
          <w:sz w:val="24"/>
        </w:rPr>
      </w:pPr>
      <w:bookmarkStart w:id="87" w:name="_Toc343525825"/>
      <w:r>
        <w:rPr>
          <w:rFonts w:hint="eastAsia" w:ascii="黑体" w:hAnsi="黑体" w:eastAsia="黑体" w:cs="黑体"/>
          <w:sz w:val="24"/>
        </w:rPr>
        <w:t>容错性要求</w:t>
      </w:r>
      <w:bookmarkEnd w:id="87"/>
    </w:p>
    <w:p>
      <w:pPr>
        <w:spacing w:line="360" w:lineRule="auto"/>
        <w:ind w:firstLine="420" w:firstLineChars="200"/>
        <w:rPr>
          <w:rFonts w:hint="eastAsia" w:ascii="黑体" w:hAnsi="黑体" w:eastAsia="黑体" w:cs="黑体"/>
        </w:rPr>
      </w:pPr>
      <w:r>
        <w:rPr>
          <w:rFonts w:hint="eastAsia" w:ascii="黑体" w:hAnsi="黑体" w:eastAsia="黑体" w:cs="黑体"/>
        </w:rPr>
        <w:t>对于由于参数设置错误、或者部分参数没有设置就进行后台数据计算，系统要给出提示。</w:t>
      </w:r>
    </w:p>
    <w:p>
      <w:pPr>
        <w:pStyle w:val="4"/>
        <w:spacing w:line="360" w:lineRule="auto"/>
        <w:rPr>
          <w:rFonts w:hint="eastAsia" w:ascii="黑体" w:hAnsi="黑体" w:eastAsia="黑体" w:cs="黑体"/>
          <w:sz w:val="24"/>
        </w:rPr>
      </w:pPr>
      <w:bookmarkStart w:id="88" w:name="_Toc343525826"/>
      <w:bookmarkStart w:id="89" w:name="_Toc241995378"/>
      <w:bookmarkStart w:id="90" w:name="_Toc243466081"/>
      <w:r>
        <w:rPr>
          <w:rFonts w:hint="eastAsia" w:ascii="黑体" w:hAnsi="黑体" w:eastAsia="黑体" w:cs="黑体"/>
          <w:sz w:val="24"/>
        </w:rPr>
        <w:t>可维护性</w:t>
      </w:r>
      <w:bookmarkEnd w:id="88"/>
      <w:bookmarkEnd w:id="89"/>
      <w:bookmarkEnd w:id="90"/>
    </w:p>
    <w:p>
      <w:pPr>
        <w:pStyle w:val="60"/>
        <w:numPr>
          <w:ilvl w:val="0"/>
          <w:numId w:val="9"/>
        </w:numPr>
        <w:spacing w:beforeLines="0" w:afterLines="0"/>
        <w:rPr>
          <w:rFonts w:hint="eastAsia" w:ascii="黑体" w:hAnsi="黑体" w:eastAsia="黑体" w:cs="黑体"/>
          <w:sz w:val="24"/>
        </w:rPr>
      </w:pPr>
      <w:r>
        <w:rPr>
          <w:rFonts w:hint="eastAsia" w:ascii="黑体" w:hAnsi="黑体" w:eastAsia="黑体" w:cs="黑体"/>
          <w:szCs w:val="22"/>
        </w:rPr>
        <w:t>单点登录</w:t>
      </w:r>
    </w:p>
    <w:p>
      <w:pPr>
        <w:pStyle w:val="60"/>
        <w:numPr>
          <w:ilvl w:val="0"/>
          <w:numId w:val="9"/>
        </w:numPr>
        <w:spacing w:beforeLines="0" w:afterLines="0"/>
        <w:rPr>
          <w:rFonts w:hint="eastAsia" w:ascii="黑体" w:hAnsi="黑体" w:eastAsia="黑体" w:cs="黑体"/>
          <w:sz w:val="24"/>
        </w:rPr>
      </w:pPr>
      <w:r>
        <w:rPr>
          <w:rFonts w:hint="eastAsia" w:ascii="黑体" w:hAnsi="黑体" w:eastAsia="黑体" w:cs="黑体"/>
          <w:szCs w:val="22"/>
        </w:rPr>
        <w:t>用户信息同步</w:t>
      </w:r>
    </w:p>
    <w:p>
      <w:pPr>
        <w:pStyle w:val="2"/>
        <w:spacing w:line="360" w:lineRule="auto"/>
        <w:rPr>
          <w:rFonts w:hint="eastAsia" w:ascii="黑体" w:hAnsi="黑体" w:eastAsia="黑体" w:cs="黑体"/>
        </w:rPr>
      </w:pPr>
      <w:bookmarkStart w:id="91" w:name="_Toc106417308"/>
      <w:bookmarkStart w:id="92" w:name="_Toc105916029"/>
      <w:bookmarkStart w:id="93" w:name="_Toc119760126"/>
      <w:bookmarkStart w:id="94" w:name="_Toc343525827"/>
      <w:r>
        <w:rPr>
          <w:rFonts w:hint="eastAsia" w:ascii="黑体" w:hAnsi="黑体" w:eastAsia="黑体" w:cs="黑体"/>
        </w:rPr>
        <w:t>一期</w:t>
      </w:r>
      <w:bookmarkEnd w:id="91"/>
      <w:bookmarkEnd w:id="92"/>
      <w:r>
        <w:rPr>
          <w:rFonts w:hint="eastAsia" w:ascii="黑体" w:hAnsi="黑体" w:eastAsia="黑体" w:cs="黑体"/>
        </w:rPr>
        <w:t>监管报表需求</w:t>
      </w:r>
      <w:bookmarkEnd w:id="93"/>
      <w:r>
        <w:rPr>
          <w:rFonts w:hint="eastAsia" w:ascii="黑体" w:hAnsi="黑体" w:eastAsia="黑体" w:cs="黑体"/>
        </w:rPr>
        <w:t>分析</w:t>
      </w:r>
      <w:bookmarkEnd w:id="94"/>
    </w:p>
    <w:p>
      <w:pPr>
        <w:spacing w:line="360" w:lineRule="auto"/>
        <w:rPr>
          <w:rFonts w:hint="eastAsia" w:ascii="黑体" w:hAnsi="黑体" w:eastAsia="黑体" w:cs="黑体"/>
        </w:rPr>
      </w:pPr>
      <w:r>
        <w:rPr>
          <w:rFonts w:hint="eastAsia" w:ascii="黑体" w:hAnsi="黑体" w:eastAsia="黑体" w:cs="黑体"/>
        </w:rPr>
        <w:t xml:space="preserve">  监管报送系统一期报表总共需要开发15张报表，包括。</w:t>
      </w:r>
    </w:p>
    <w:p>
      <w:pPr>
        <w:spacing w:line="360" w:lineRule="auto"/>
        <w:rPr>
          <w:rFonts w:hint="eastAsia" w:ascii="黑体" w:hAnsi="黑体" w:eastAsia="黑体" w:cs="黑体"/>
        </w:rPr>
      </w:pPr>
    </w:p>
    <w:p>
      <w:pPr>
        <w:pStyle w:val="4"/>
        <w:spacing w:before="120" w:after="0" w:line="360" w:lineRule="auto"/>
        <w:rPr>
          <w:rFonts w:hint="eastAsia" w:ascii="黑体" w:hAnsi="黑体" w:eastAsia="黑体" w:cs="黑体"/>
        </w:rPr>
      </w:pPr>
      <w:bookmarkStart w:id="95" w:name="_Toc289333788"/>
      <w:bookmarkStart w:id="96" w:name="_Toc343525828"/>
      <w:bookmarkStart w:id="97" w:name="_Toc289196519"/>
      <w:r>
        <w:rPr>
          <w:rFonts w:hint="eastAsia" w:ascii="黑体" w:hAnsi="黑体" w:eastAsia="黑体" w:cs="黑体"/>
        </w:rPr>
        <w:t>监管报表与原系统映射</w:t>
      </w:r>
      <w:bookmarkEnd w:id="95"/>
      <w:bookmarkEnd w:id="96"/>
      <w:bookmarkEnd w:id="97"/>
    </w:p>
    <w:tbl>
      <w:tblPr>
        <w:tblStyle w:val="31"/>
        <w:tblW w:w="8522" w:type="dxa"/>
        <w:tblInd w:w="0" w:type="dxa"/>
        <w:tblLayout w:type="fixed"/>
        <w:tblCellMar>
          <w:top w:w="0" w:type="dxa"/>
          <w:left w:w="108" w:type="dxa"/>
          <w:bottom w:w="0" w:type="dxa"/>
          <w:right w:w="108" w:type="dxa"/>
        </w:tblCellMar>
      </w:tblPr>
      <w:tblGrid>
        <w:gridCol w:w="822"/>
        <w:gridCol w:w="4331"/>
        <w:gridCol w:w="519"/>
        <w:gridCol w:w="519"/>
        <w:gridCol w:w="1640"/>
        <w:gridCol w:w="691"/>
      </w:tblGrid>
      <w:tr>
        <w:tblPrEx>
          <w:tblCellMar>
            <w:top w:w="0" w:type="dxa"/>
            <w:left w:w="108" w:type="dxa"/>
            <w:bottom w:w="0" w:type="dxa"/>
            <w:right w:w="108" w:type="dxa"/>
          </w:tblCellMar>
        </w:tblPrEx>
        <w:trPr>
          <w:trHeight w:val="270" w:hRule="atLeast"/>
        </w:trPr>
        <w:tc>
          <w:tcPr>
            <w:tcW w:w="822" w:type="dxa"/>
            <w:tcBorders>
              <w:top w:val="single" w:color="auto" w:sz="4" w:space="0"/>
              <w:left w:val="single" w:color="auto" w:sz="4" w:space="0"/>
              <w:bottom w:val="single" w:color="auto" w:sz="4" w:space="0"/>
              <w:right w:val="single" w:color="auto" w:sz="4" w:space="0"/>
            </w:tcBorders>
            <w:shd w:val="clear" w:color="000000" w:fill="00B0F0"/>
            <w:noWrap/>
            <w:vAlign w:val="center"/>
          </w:tcPr>
          <w:p>
            <w:pPr>
              <w:widowControl/>
              <w:spacing w:line="360" w:lineRule="auto"/>
              <w:jc w:val="center"/>
              <w:rPr>
                <w:rFonts w:hint="eastAsia" w:ascii="黑体" w:hAnsi="黑体" w:eastAsia="黑体" w:cs="黑体"/>
                <w:b/>
                <w:bCs/>
                <w:color w:val="000000"/>
                <w:kern w:val="0"/>
                <w:sz w:val="20"/>
                <w:szCs w:val="20"/>
              </w:rPr>
            </w:pPr>
            <w:r>
              <w:rPr>
                <w:rFonts w:hint="eastAsia" w:ascii="黑体" w:hAnsi="黑体" w:eastAsia="黑体" w:cs="黑体"/>
                <w:b/>
                <w:bCs/>
                <w:color w:val="000000"/>
                <w:kern w:val="0"/>
                <w:sz w:val="20"/>
                <w:szCs w:val="20"/>
              </w:rPr>
              <w:t>报表编号</w:t>
            </w:r>
          </w:p>
        </w:tc>
        <w:tc>
          <w:tcPr>
            <w:tcW w:w="4331" w:type="dxa"/>
            <w:tcBorders>
              <w:top w:val="single" w:color="auto" w:sz="4" w:space="0"/>
              <w:left w:val="nil"/>
              <w:bottom w:val="single" w:color="auto" w:sz="4" w:space="0"/>
              <w:right w:val="single" w:color="000000" w:sz="4" w:space="0"/>
            </w:tcBorders>
            <w:shd w:val="clear" w:color="000000" w:fill="00B0F0"/>
            <w:noWrap/>
            <w:vAlign w:val="center"/>
          </w:tcPr>
          <w:p>
            <w:pPr>
              <w:widowControl/>
              <w:spacing w:line="360" w:lineRule="auto"/>
              <w:rPr>
                <w:rFonts w:hint="eastAsia" w:ascii="黑体" w:hAnsi="黑体" w:eastAsia="黑体" w:cs="黑体"/>
                <w:b/>
                <w:bCs/>
                <w:color w:val="000000"/>
                <w:kern w:val="0"/>
                <w:sz w:val="20"/>
                <w:szCs w:val="20"/>
              </w:rPr>
            </w:pPr>
            <w:r>
              <w:rPr>
                <w:rFonts w:hint="eastAsia" w:ascii="黑体" w:hAnsi="黑体" w:eastAsia="黑体" w:cs="黑体"/>
                <w:b/>
                <w:bCs/>
                <w:color w:val="000000"/>
                <w:kern w:val="0"/>
                <w:sz w:val="20"/>
                <w:szCs w:val="20"/>
              </w:rPr>
              <w:t>报表名称</w:t>
            </w:r>
          </w:p>
        </w:tc>
        <w:tc>
          <w:tcPr>
            <w:tcW w:w="519" w:type="dxa"/>
            <w:tcBorders>
              <w:top w:val="single" w:color="auto" w:sz="4" w:space="0"/>
              <w:left w:val="nil"/>
              <w:bottom w:val="single" w:color="auto" w:sz="4" w:space="0"/>
              <w:right w:val="single" w:color="auto" w:sz="4" w:space="0"/>
            </w:tcBorders>
            <w:shd w:val="clear" w:color="000000" w:fill="00B0F0"/>
            <w:noWrap/>
            <w:vAlign w:val="center"/>
          </w:tcPr>
          <w:p>
            <w:pPr>
              <w:widowControl/>
              <w:spacing w:line="360" w:lineRule="auto"/>
              <w:jc w:val="center"/>
              <w:rPr>
                <w:rFonts w:hint="eastAsia" w:ascii="黑体" w:hAnsi="黑体" w:eastAsia="黑体" w:cs="黑体"/>
                <w:b/>
                <w:bCs/>
                <w:color w:val="000000"/>
                <w:kern w:val="0"/>
                <w:sz w:val="20"/>
                <w:szCs w:val="20"/>
              </w:rPr>
            </w:pPr>
            <w:r>
              <w:rPr>
                <w:rFonts w:hint="eastAsia" w:ascii="黑体" w:hAnsi="黑体" w:eastAsia="黑体" w:cs="黑体"/>
                <w:b/>
                <w:bCs/>
                <w:color w:val="000000"/>
                <w:kern w:val="0"/>
                <w:sz w:val="20"/>
                <w:szCs w:val="20"/>
              </w:rPr>
              <w:t>总行</w:t>
            </w:r>
          </w:p>
        </w:tc>
        <w:tc>
          <w:tcPr>
            <w:tcW w:w="519" w:type="dxa"/>
            <w:tcBorders>
              <w:top w:val="single" w:color="auto" w:sz="4" w:space="0"/>
              <w:left w:val="nil"/>
              <w:bottom w:val="single" w:color="auto" w:sz="4" w:space="0"/>
              <w:right w:val="single" w:color="auto" w:sz="4" w:space="0"/>
            </w:tcBorders>
            <w:shd w:val="clear" w:color="000000" w:fill="00B0F0"/>
            <w:noWrap/>
            <w:vAlign w:val="center"/>
          </w:tcPr>
          <w:p>
            <w:pPr>
              <w:widowControl/>
              <w:spacing w:line="360" w:lineRule="auto"/>
              <w:jc w:val="center"/>
              <w:rPr>
                <w:rFonts w:hint="eastAsia" w:ascii="黑体" w:hAnsi="黑体" w:eastAsia="黑体" w:cs="黑体"/>
                <w:b/>
                <w:bCs/>
                <w:color w:val="000000"/>
                <w:kern w:val="0"/>
                <w:sz w:val="20"/>
                <w:szCs w:val="20"/>
              </w:rPr>
            </w:pPr>
            <w:r>
              <w:rPr>
                <w:rFonts w:hint="eastAsia" w:ascii="黑体" w:hAnsi="黑体" w:eastAsia="黑体" w:cs="黑体"/>
                <w:b/>
                <w:bCs/>
                <w:color w:val="000000"/>
                <w:kern w:val="0"/>
                <w:sz w:val="20"/>
                <w:szCs w:val="20"/>
              </w:rPr>
              <w:t>分行</w:t>
            </w:r>
          </w:p>
        </w:tc>
        <w:tc>
          <w:tcPr>
            <w:tcW w:w="1640" w:type="dxa"/>
            <w:tcBorders>
              <w:top w:val="single" w:color="auto" w:sz="4" w:space="0"/>
              <w:left w:val="nil"/>
              <w:bottom w:val="single" w:color="auto" w:sz="4" w:space="0"/>
              <w:right w:val="single" w:color="auto" w:sz="4" w:space="0"/>
            </w:tcBorders>
            <w:shd w:val="clear" w:color="000000" w:fill="00B0F0"/>
            <w:noWrap/>
            <w:vAlign w:val="center"/>
          </w:tcPr>
          <w:p>
            <w:pPr>
              <w:widowControl/>
              <w:spacing w:line="360" w:lineRule="auto"/>
              <w:rPr>
                <w:rFonts w:hint="eastAsia" w:ascii="黑体" w:hAnsi="黑体" w:eastAsia="黑体" w:cs="黑体"/>
                <w:b/>
                <w:bCs/>
                <w:color w:val="000000"/>
                <w:kern w:val="0"/>
                <w:sz w:val="20"/>
                <w:szCs w:val="20"/>
              </w:rPr>
            </w:pPr>
            <w:r>
              <w:rPr>
                <w:rFonts w:hint="eastAsia" w:ascii="黑体" w:hAnsi="黑体" w:eastAsia="黑体" w:cs="黑体"/>
                <w:b/>
                <w:bCs/>
                <w:color w:val="000000"/>
                <w:kern w:val="0"/>
                <w:sz w:val="20"/>
                <w:szCs w:val="20"/>
              </w:rPr>
              <w:t>数据来源</w:t>
            </w:r>
          </w:p>
        </w:tc>
        <w:tc>
          <w:tcPr>
            <w:tcW w:w="691" w:type="dxa"/>
            <w:tcBorders>
              <w:top w:val="single" w:color="auto" w:sz="4" w:space="0"/>
              <w:left w:val="nil"/>
              <w:bottom w:val="single" w:color="auto" w:sz="4" w:space="0"/>
              <w:right w:val="single" w:color="auto" w:sz="4" w:space="0"/>
            </w:tcBorders>
            <w:shd w:val="clear" w:color="000000" w:fill="00B0F0"/>
            <w:noWrap/>
            <w:vAlign w:val="center"/>
          </w:tcPr>
          <w:p>
            <w:pPr>
              <w:widowControl/>
              <w:spacing w:line="360" w:lineRule="auto"/>
              <w:rPr>
                <w:rFonts w:hint="eastAsia" w:ascii="黑体" w:hAnsi="黑体" w:eastAsia="黑体" w:cs="黑体"/>
                <w:b/>
                <w:bCs/>
                <w:color w:val="000000"/>
                <w:kern w:val="0"/>
                <w:sz w:val="20"/>
                <w:szCs w:val="20"/>
              </w:rPr>
            </w:pPr>
            <w:r>
              <w:rPr>
                <w:rFonts w:hint="eastAsia" w:ascii="黑体" w:hAnsi="黑体" w:eastAsia="黑体" w:cs="黑体"/>
                <w:b/>
                <w:bCs/>
                <w:color w:val="000000"/>
                <w:kern w:val="0"/>
                <w:sz w:val="20"/>
                <w:szCs w:val="20"/>
              </w:rPr>
              <w:t>频度</w:t>
            </w:r>
          </w:p>
        </w:tc>
      </w:tr>
      <w:tr>
        <w:tblPrEx>
          <w:tblCellMar>
            <w:top w:w="0" w:type="dxa"/>
            <w:left w:w="108" w:type="dxa"/>
            <w:bottom w:w="0" w:type="dxa"/>
            <w:right w:w="108" w:type="dxa"/>
          </w:tblCellMar>
        </w:tblPrEx>
        <w:trPr>
          <w:trHeight w:val="510" w:hRule="atLeast"/>
        </w:trPr>
        <w:tc>
          <w:tcPr>
            <w:tcW w:w="822" w:type="dxa"/>
            <w:tcBorders>
              <w:top w:val="nil"/>
              <w:left w:val="single" w:color="auto" w:sz="4" w:space="0"/>
              <w:bottom w:val="single" w:color="auto" w:sz="4" w:space="0"/>
              <w:right w:val="single" w:color="auto" w:sz="4" w:space="0"/>
            </w:tcBorders>
            <w:shd w:val="clear" w:color="auto" w:fill="FFC000"/>
            <w:noWrap/>
            <w:vAlign w:val="center"/>
          </w:tcPr>
          <w:p>
            <w:pPr>
              <w:widowControl/>
              <w:spacing w:line="360" w:lineRule="auto"/>
              <w:jc w:val="center"/>
              <w:rPr>
                <w:rFonts w:hint="eastAsia" w:ascii="黑体" w:hAnsi="黑体" w:eastAsia="黑体" w:cs="黑体"/>
                <w:kern w:val="0"/>
                <w:sz w:val="22"/>
              </w:rPr>
            </w:pPr>
            <w:r>
              <w:rPr>
                <w:rFonts w:hint="eastAsia" w:ascii="黑体" w:hAnsi="黑体" w:eastAsia="黑体" w:cs="黑体"/>
              </w:rPr>
              <w:fldChar w:fldCharType="begin"/>
            </w:r>
            <w:r>
              <w:rPr>
                <w:rFonts w:hint="eastAsia" w:ascii="黑体" w:hAnsi="黑体" w:eastAsia="黑体" w:cs="黑体"/>
              </w:rPr>
              <w:instrText xml:space="preserve"> HYPERLINK "file:///C:\\Documents%20and%20Settings\\Administrator\\桌面\\工作-华兴项目文档\\监管报送\\20121210\\1104-报表指标_hl-20121206.xls" \l "'G01'!A1" </w:instrText>
            </w:r>
            <w:r>
              <w:rPr>
                <w:rFonts w:hint="eastAsia" w:ascii="黑体" w:hAnsi="黑体" w:eastAsia="黑体" w:cs="黑体"/>
              </w:rPr>
              <w:fldChar w:fldCharType="separate"/>
            </w:r>
            <w:r>
              <w:rPr>
                <w:rFonts w:hint="eastAsia" w:ascii="黑体" w:hAnsi="黑体" w:eastAsia="黑体" w:cs="黑体"/>
                <w:kern w:val="0"/>
                <w:sz w:val="22"/>
              </w:rPr>
              <w:t>G01</w:t>
            </w:r>
            <w:r>
              <w:rPr>
                <w:rFonts w:hint="eastAsia" w:ascii="黑体" w:hAnsi="黑体" w:eastAsia="黑体" w:cs="黑体"/>
                <w:kern w:val="0"/>
                <w:sz w:val="22"/>
              </w:rPr>
              <w:fldChar w:fldCharType="end"/>
            </w:r>
          </w:p>
        </w:tc>
        <w:tc>
          <w:tcPr>
            <w:tcW w:w="4331" w:type="dxa"/>
            <w:tcBorders>
              <w:top w:val="single" w:color="auto" w:sz="4" w:space="0"/>
              <w:left w:val="nil"/>
              <w:bottom w:val="single" w:color="auto" w:sz="4" w:space="0"/>
              <w:right w:val="single" w:color="auto" w:sz="4" w:space="0"/>
            </w:tcBorders>
            <w:shd w:val="clear" w:color="auto" w:fill="FFC000"/>
            <w:noWrap/>
            <w:vAlign w:val="center"/>
          </w:tcPr>
          <w:p>
            <w:pPr>
              <w:widowControl/>
              <w:spacing w:line="360" w:lineRule="auto"/>
              <w:rPr>
                <w:rFonts w:hint="eastAsia" w:ascii="黑体" w:hAnsi="黑体" w:eastAsia="黑体" w:cs="黑体"/>
              </w:rPr>
            </w:pPr>
            <w:r>
              <w:rPr>
                <w:rFonts w:hint="eastAsia" w:ascii="黑体" w:hAnsi="黑体" w:eastAsia="黑体" w:cs="黑体"/>
              </w:rPr>
              <w:t>资产负债项目统计表</w:t>
            </w:r>
          </w:p>
        </w:tc>
        <w:tc>
          <w:tcPr>
            <w:tcW w:w="519" w:type="dxa"/>
            <w:tcBorders>
              <w:top w:val="nil"/>
              <w:left w:val="nil"/>
              <w:bottom w:val="single" w:color="auto" w:sz="4" w:space="0"/>
              <w:right w:val="single" w:color="auto" w:sz="4" w:space="0"/>
            </w:tcBorders>
            <w:shd w:val="clear" w:color="auto" w:fill="FFC000"/>
            <w:noWrap/>
            <w:vAlign w:val="center"/>
          </w:tcPr>
          <w:p>
            <w:pPr>
              <w:widowControl/>
              <w:spacing w:line="360" w:lineRule="auto"/>
              <w:jc w:val="center"/>
              <w:rPr>
                <w:rFonts w:hint="eastAsia" w:ascii="黑体" w:hAnsi="黑体" w:eastAsia="黑体" w:cs="黑体"/>
              </w:rPr>
            </w:pPr>
            <w:r>
              <w:rPr>
                <w:rFonts w:hint="eastAsia" w:ascii="黑体" w:hAnsi="黑体" w:eastAsia="黑体" w:cs="黑体"/>
              </w:rPr>
              <w:t>√</w:t>
            </w:r>
          </w:p>
        </w:tc>
        <w:tc>
          <w:tcPr>
            <w:tcW w:w="519" w:type="dxa"/>
            <w:tcBorders>
              <w:top w:val="nil"/>
              <w:left w:val="nil"/>
              <w:bottom w:val="single" w:color="auto" w:sz="4" w:space="0"/>
              <w:right w:val="single" w:color="auto" w:sz="4" w:space="0"/>
            </w:tcBorders>
            <w:shd w:val="clear" w:color="auto" w:fill="FFC000"/>
            <w:noWrap/>
            <w:vAlign w:val="center"/>
          </w:tcPr>
          <w:p>
            <w:pPr>
              <w:widowControl/>
              <w:spacing w:line="360" w:lineRule="auto"/>
              <w:jc w:val="center"/>
              <w:rPr>
                <w:rFonts w:hint="eastAsia" w:ascii="黑体" w:hAnsi="黑体" w:eastAsia="黑体" w:cs="黑体"/>
              </w:rPr>
            </w:pPr>
            <w:r>
              <w:rPr>
                <w:rFonts w:hint="eastAsia" w:ascii="黑体" w:hAnsi="黑体" w:eastAsia="黑体" w:cs="黑体"/>
              </w:rPr>
              <w:t>√</w:t>
            </w:r>
          </w:p>
        </w:tc>
        <w:tc>
          <w:tcPr>
            <w:tcW w:w="1640" w:type="dxa"/>
            <w:tcBorders>
              <w:top w:val="nil"/>
              <w:left w:val="nil"/>
              <w:bottom w:val="single" w:color="auto" w:sz="4" w:space="0"/>
              <w:right w:val="single" w:color="auto" w:sz="4" w:space="0"/>
            </w:tcBorders>
            <w:shd w:val="clear" w:color="auto" w:fill="FFC000"/>
            <w:noWrap/>
            <w:vAlign w:val="center"/>
          </w:tcPr>
          <w:p>
            <w:pPr>
              <w:widowControl/>
              <w:spacing w:line="360" w:lineRule="auto"/>
              <w:rPr>
                <w:rFonts w:hint="eastAsia" w:ascii="黑体" w:hAnsi="黑体" w:eastAsia="黑体" w:cs="黑体"/>
              </w:rPr>
            </w:pPr>
            <w:r>
              <w:rPr>
                <w:rFonts w:hint="eastAsia" w:ascii="黑体" w:hAnsi="黑体" w:eastAsia="黑体" w:cs="黑体"/>
              </w:rPr>
              <w:t>总账(业务状况表)</w:t>
            </w:r>
          </w:p>
        </w:tc>
        <w:tc>
          <w:tcPr>
            <w:tcW w:w="691" w:type="dxa"/>
            <w:tcBorders>
              <w:top w:val="nil"/>
              <w:left w:val="nil"/>
              <w:bottom w:val="single" w:color="auto" w:sz="4" w:space="0"/>
              <w:right w:val="single" w:color="auto" w:sz="4" w:space="0"/>
            </w:tcBorders>
            <w:shd w:val="clear" w:color="auto" w:fill="FFC000"/>
            <w:noWrap/>
            <w:vAlign w:val="center"/>
          </w:tcPr>
          <w:p>
            <w:pPr>
              <w:widowControl/>
              <w:spacing w:line="360" w:lineRule="auto"/>
              <w:rPr>
                <w:rFonts w:hint="eastAsia" w:ascii="黑体" w:hAnsi="黑体" w:eastAsia="黑体" w:cs="黑体"/>
              </w:rPr>
            </w:pPr>
            <w:r>
              <w:rPr>
                <w:rFonts w:hint="eastAsia" w:ascii="黑体" w:hAnsi="黑体" w:eastAsia="黑体" w:cs="黑体"/>
              </w:rPr>
              <w:t>月报表</w:t>
            </w:r>
          </w:p>
        </w:tc>
      </w:tr>
      <w:tr>
        <w:tblPrEx>
          <w:tblCellMar>
            <w:top w:w="0" w:type="dxa"/>
            <w:left w:w="108" w:type="dxa"/>
            <w:bottom w:w="0" w:type="dxa"/>
            <w:right w:w="108" w:type="dxa"/>
          </w:tblCellMar>
        </w:tblPrEx>
        <w:trPr>
          <w:trHeight w:val="510" w:hRule="atLeast"/>
        </w:trPr>
        <w:tc>
          <w:tcPr>
            <w:tcW w:w="822" w:type="dxa"/>
            <w:tcBorders>
              <w:top w:val="nil"/>
              <w:left w:val="single" w:color="auto" w:sz="4" w:space="0"/>
              <w:bottom w:val="single" w:color="auto" w:sz="4" w:space="0"/>
              <w:right w:val="single" w:color="auto" w:sz="4" w:space="0"/>
            </w:tcBorders>
            <w:shd w:val="clear" w:color="auto" w:fill="FFC000"/>
            <w:noWrap/>
            <w:vAlign w:val="center"/>
          </w:tcPr>
          <w:p>
            <w:pPr>
              <w:widowControl/>
              <w:spacing w:line="360" w:lineRule="auto"/>
              <w:jc w:val="center"/>
              <w:rPr>
                <w:rFonts w:hint="eastAsia" w:ascii="黑体" w:hAnsi="黑体" w:eastAsia="黑体" w:cs="黑体"/>
                <w:kern w:val="0"/>
                <w:sz w:val="22"/>
              </w:rPr>
            </w:pPr>
            <w:r>
              <w:rPr>
                <w:rFonts w:hint="eastAsia" w:ascii="黑体" w:hAnsi="黑体" w:eastAsia="黑体" w:cs="黑体"/>
              </w:rPr>
              <w:fldChar w:fldCharType="begin"/>
            </w:r>
            <w:r>
              <w:rPr>
                <w:rFonts w:hint="eastAsia" w:ascii="黑体" w:hAnsi="黑体" w:eastAsia="黑体" w:cs="黑体"/>
              </w:rPr>
              <w:instrText xml:space="preserve"> HYPERLINK "file:///C:\\Documents%20and%20Settings\\Administrator\\桌面\\工作-华兴项目文档\\监管报送\\20121210\\1104-报表指标_hl-20121206.xls" \l "'G01-1'!A1" </w:instrText>
            </w:r>
            <w:r>
              <w:rPr>
                <w:rFonts w:hint="eastAsia" w:ascii="黑体" w:hAnsi="黑体" w:eastAsia="黑体" w:cs="黑体"/>
              </w:rPr>
              <w:fldChar w:fldCharType="separate"/>
            </w:r>
            <w:r>
              <w:rPr>
                <w:rFonts w:hint="eastAsia" w:ascii="黑体" w:hAnsi="黑体" w:eastAsia="黑体" w:cs="黑体"/>
                <w:kern w:val="0"/>
                <w:sz w:val="22"/>
              </w:rPr>
              <w:t>G01-1</w:t>
            </w:r>
            <w:r>
              <w:rPr>
                <w:rFonts w:hint="eastAsia" w:ascii="黑体" w:hAnsi="黑体" w:eastAsia="黑体" w:cs="黑体"/>
                <w:kern w:val="0"/>
                <w:sz w:val="22"/>
              </w:rPr>
              <w:fldChar w:fldCharType="end"/>
            </w:r>
          </w:p>
        </w:tc>
        <w:tc>
          <w:tcPr>
            <w:tcW w:w="4331" w:type="dxa"/>
            <w:tcBorders>
              <w:top w:val="single" w:color="auto" w:sz="4" w:space="0"/>
              <w:left w:val="nil"/>
              <w:bottom w:val="single" w:color="auto" w:sz="4" w:space="0"/>
              <w:right w:val="single" w:color="auto" w:sz="4" w:space="0"/>
            </w:tcBorders>
            <w:shd w:val="clear" w:color="auto" w:fill="FFC000"/>
            <w:noWrap/>
            <w:vAlign w:val="center"/>
          </w:tcPr>
          <w:p>
            <w:pPr>
              <w:widowControl/>
              <w:spacing w:line="360" w:lineRule="auto"/>
              <w:rPr>
                <w:rFonts w:hint="eastAsia" w:ascii="黑体" w:hAnsi="黑体" w:eastAsia="黑体" w:cs="黑体"/>
              </w:rPr>
            </w:pPr>
            <w:r>
              <w:rPr>
                <w:rFonts w:hint="eastAsia" w:ascii="黑体" w:hAnsi="黑体" w:eastAsia="黑体" w:cs="黑体"/>
              </w:rPr>
              <w:t>资产负债项目统计表——表外业务情况表</w:t>
            </w:r>
          </w:p>
        </w:tc>
        <w:tc>
          <w:tcPr>
            <w:tcW w:w="519" w:type="dxa"/>
            <w:tcBorders>
              <w:top w:val="nil"/>
              <w:left w:val="nil"/>
              <w:bottom w:val="single" w:color="auto" w:sz="4" w:space="0"/>
              <w:right w:val="single" w:color="auto" w:sz="4" w:space="0"/>
            </w:tcBorders>
            <w:shd w:val="clear" w:color="auto" w:fill="FFC000"/>
            <w:noWrap/>
            <w:vAlign w:val="center"/>
          </w:tcPr>
          <w:p>
            <w:pPr>
              <w:widowControl/>
              <w:spacing w:line="360" w:lineRule="auto"/>
              <w:jc w:val="center"/>
              <w:rPr>
                <w:rFonts w:hint="eastAsia" w:ascii="黑体" w:hAnsi="黑体" w:eastAsia="黑体" w:cs="黑体"/>
              </w:rPr>
            </w:pPr>
            <w:r>
              <w:rPr>
                <w:rFonts w:hint="eastAsia" w:ascii="黑体" w:hAnsi="黑体" w:eastAsia="黑体" w:cs="黑体"/>
              </w:rPr>
              <w:t>√</w:t>
            </w:r>
          </w:p>
        </w:tc>
        <w:tc>
          <w:tcPr>
            <w:tcW w:w="519" w:type="dxa"/>
            <w:tcBorders>
              <w:top w:val="nil"/>
              <w:left w:val="nil"/>
              <w:bottom w:val="single" w:color="auto" w:sz="4" w:space="0"/>
              <w:right w:val="single" w:color="auto" w:sz="4" w:space="0"/>
            </w:tcBorders>
            <w:shd w:val="clear" w:color="auto" w:fill="FFC000"/>
            <w:noWrap/>
            <w:vAlign w:val="center"/>
          </w:tcPr>
          <w:p>
            <w:pPr>
              <w:widowControl/>
              <w:spacing w:line="360" w:lineRule="auto"/>
              <w:jc w:val="center"/>
              <w:rPr>
                <w:rFonts w:hint="eastAsia" w:ascii="黑体" w:hAnsi="黑体" w:eastAsia="黑体" w:cs="黑体"/>
              </w:rPr>
            </w:pPr>
            <w:r>
              <w:rPr>
                <w:rFonts w:hint="eastAsia" w:ascii="黑体" w:hAnsi="黑体" w:eastAsia="黑体" w:cs="黑体"/>
              </w:rPr>
              <w:t>√</w:t>
            </w:r>
          </w:p>
        </w:tc>
        <w:tc>
          <w:tcPr>
            <w:tcW w:w="1640" w:type="dxa"/>
            <w:tcBorders>
              <w:top w:val="nil"/>
              <w:left w:val="nil"/>
              <w:bottom w:val="single" w:color="auto" w:sz="4" w:space="0"/>
              <w:right w:val="single" w:color="auto" w:sz="4" w:space="0"/>
            </w:tcBorders>
            <w:shd w:val="clear" w:color="auto" w:fill="FFC000"/>
            <w:noWrap/>
            <w:vAlign w:val="center"/>
          </w:tcPr>
          <w:p>
            <w:pPr>
              <w:widowControl/>
              <w:spacing w:line="360" w:lineRule="auto"/>
              <w:rPr>
                <w:rFonts w:hint="eastAsia" w:ascii="黑体" w:hAnsi="黑体" w:eastAsia="黑体" w:cs="黑体"/>
              </w:rPr>
            </w:pPr>
            <w:r>
              <w:rPr>
                <w:rFonts w:hint="eastAsia" w:ascii="黑体" w:hAnsi="黑体" w:eastAsia="黑体" w:cs="黑体"/>
              </w:rPr>
              <w:t>总账(业务状况表)</w:t>
            </w:r>
          </w:p>
        </w:tc>
        <w:tc>
          <w:tcPr>
            <w:tcW w:w="691" w:type="dxa"/>
            <w:tcBorders>
              <w:top w:val="nil"/>
              <w:left w:val="nil"/>
              <w:bottom w:val="single" w:color="auto" w:sz="4" w:space="0"/>
              <w:right w:val="single" w:color="auto" w:sz="4" w:space="0"/>
            </w:tcBorders>
            <w:shd w:val="clear" w:color="auto" w:fill="FFC000"/>
            <w:noWrap/>
            <w:vAlign w:val="center"/>
          </w:tcPr>
          <w:p>
            <w:pPr>
              <w:widowControl/>
              <w:spacing w:line="360" w:lineRule="auto"/>
              <w:rPr>
                <w:rFonts w:hint="eastAsia" w:ascii="黑体" w:hAnsi="黑体" w:eastAsia="黑体" w:cs="黑体"/>
              </w:rPr>
            </w:pPr>
            <w:r>
              <w:rPr>
                <w:rFonts w:hint="eastAsia" w:ascii="黑体" w:hAnsi="黑体" w:eastAsia="黑体" w:cs="黑体"/>
              </w:rPr>
              <w:t>月报表</w:t>
            </w:r>
          </w:p>
        </w:tc>
      </w:tr>
      <w:tr>
        <w:tblPrEx>
          <w:tblCellMar>
            <w:top w:w="0" w:type="dxa"/>
            <w:left w:w="108" w:type="dxa"/>
            <w:bottom w:w="0" w:type="dxa"/>
            <w:right w:w="108" w:type="dxa"/>
          </w:tblCellMar>
        </w:tblPrEx>
        <w:trPr>
          <w:trHeight w:val="270" w:hRule="atLeast"/>
        </w:trPr>
        <w:tc>
          <w:tcPr>
            <w:tcW w:w="822" w:type="dxa"/>
            <w:tcBorders>
              <w:top w:val="nil"/>
              <w:left w:val="single" w:color="auto" w:sz="4" w:space="0"/>
              <w:bottom w:val="single" w:color="auto" w:sz="4" w:space="0"/>
              <w:right w:val="single" w:color="auto" w:sz="4" w:space="0"/>
            </w:tcBorders>
            <w:shd w:val="clear" w:color="auto" w:fill="FFC000"/>
            <w:noWrap/>
            <w:vAlign w:val="center"/>
          </w:tcPr>
          <w:p>
            <w:pPr>
              <w:widowControl/>
              <w:spacing w:line="360" w:lineRule="auto"/>
              <w:jc w:val="center"/>
              <w:rPr>
                <w:rFonts w:hint="eastAsia" w:ascii="黑体" w:hAnsi="黑体" w:eastAsia="黑体" w:cs="黑体"/>
                <w:kern w:val="0"/>
                <w:sz w:val="22"/>
              </w:rPr>
            </w:pPr>
            <w:r>
              <w:rPr>
                <w:rFonts w:hint="eastAsia" w:ascii="黑体" w:hAnsi="黑体" w:eastAsia="黑体" w:cs="黑体"/>
              </w:rPr>
              <w:fldChar w:fldCharType="begin"/>
            </w:r>
            <w:r>
              <w:rPr>
                <w:rFonts w:hint="eastAsia" w:ascii="黑体" w:hAnsi="黑体" w:eastAsia="黑体" w:cs="黑体"/>
              </w:rPr>
              <w:instrText xml:space="preserve"> HYPERLINK "file:///C:\\Documents%20and%20Settings\\Administrator\\桌面\\工作-华兴项目文档\\监管报送\\20121210\\1104-报表指标_hl-20121206.xls" \l "'G01-2'!A1" </w:instrText>
            </w:r>
            <w:r>
              <w:rPr>
                <w:rFonts w:hint="eastAsia" w:ascii="黑体" w:hAnsi="黑体" w:eastAsia="黑体" w:cs="黑体"/>
              </w:rPr>
              <w:fldChar w:fldCharType="separate"/>
            </w:r>
            <w:r>
              <w:rPr>
                <w:rFonts w:hint="eastAsia" w:ascii="黑体" w:hAnsi="黑体" w:eastAsia="黑体" w:cs="黑体"/>
                <w:kern w:val="0"/>
                <w:sz w:val="22"/>
              </w:rPr>
              <w:t>G01-2</w:t>
            </w:r>
            <w:r>
              <w:rPr>
                <w:rFonts w:hint="eastAsia" w:ascii="黑体" w:hAnsi="黑体" w:eastAsia="黑体" w:cs="黑体"/>
                <w:kern w:val="0"/>
                <w:sz w:val="22"/>
              </w:rPr>
              <w:fldChar w:fldCharType="end"/>
            </w:r>
          </w:p>
        </w:tc>
        <w:tc>
          <w:tcPr>
            <w:tcW w:w="4331" w:type="dxa"/>
            <w:tcBorders>
              <w:top w:val="single" w:color="auto" w:sz="4" w:space="0"/>
              <w:left w:val="nil"/>
              <w:bottom w:val="single" w:color="auto" w:sz="4" w:space="0"/>
              <w:right w:val="single" w:color="auto" w:sz="4" w:space="0"/>
            </w:tcBorders>
            <w:shd w:val="clear" w:color="auto" w:fill="FFC000"/>
            <w:noWrap/>
            <w:vAlign w:val="center"/>
          </w:tcPr>
          <w:p>
            <w:pPr>
              <w:widowControl/>
              <w:spacing w:line="360" w:lineRule="auto"/>
              <w:rPr>
                <w:rFonts w:hint="eastAsia" w:ascii="黑体" w:hAnsi="黑体" w:eastAsia="黑体" w:cs="黑体"/>
              </w:rPr>
            </w:pPr>
            <w:r>
              <w:rPr>
                <w:rFonts w:hint="eastAsia" w:ascii="黑体" w:hAnsi="黑体" w:eastAsia="黑体" w:cs="黑体"/>
              </w:rPr>
              <w:t>资产负债项目统计表——贷款质量五级分类情况简表</w:t>
            </w:r>
          </w:p>
        </w:tc>
        <w:tc>
          <w:tcPr>
            <w:tcW w:w="519" w:type="dxa"/>
            <w:tcBorders>
              <w:top w:val="nil"/>
              <w:left w:val="nil"/>
              <w:bottom w:val="single" w:color="auto" w:sz="4" w:space="0"/>
              <w:right w:val="single" w:color="auto" w:sz="4" w:space="0"/>
            </w:tcBorders>
            <w:shd w:val="clear" w:color="auto" w:fill="FFC000"/>
            <w:noWrap/>
            <w:vAlign w:val="center"/>
          </w:tcPr>
          <w:p>
            <w:pPr>
              <w:widowControl/>
              <w:spacing w:line="360" w:lineRule="auto"/>
              <w:jc w:val="center"/>
              <w:rPr>
                <w:rFonts w:hint="eastAsia" w:ascii="黑体" w:hAnsi="黑体" w:eastAsia="黑体" w:cs="黑体"/>
              </w:rPr>
            </w:pPr>
            <w:r>
              <w:rPr>
                <w:rFonts w:hint="eastAsia" w:ascii="黑体" w:hAnsi="黑体" w:eastAsia="黑体" w:cs="黑体"/>
              </w:rPr>
              <w:t>√</w:t>
            </w:r>
          </w:p>
        </w:tc>
        <w:tc>
          <w:tcPr>
            <w:tcW w:w="519" w:type="dxa"/>
            <w:tcBorders>
              <w:top w:val="nil"/>
              <w:left w:val="nil"/>
              <w:bottom w:val="single" w:color="auto" w:sz="4" w:space="0"/>
              <w:right w:val="single" w:color="auto" w:sz="4" w:space="0"/>
            </w:tcBorders>
            <w:shd w:val="clear" w:color="auto" w:fill="FFC000"/>
            <w:noWrap/>
            <w:vAlign w:val="center"/>
          </w:tcPr>
          <w:p>
            <w:pPr>
              <w:widowControl/>
              <w:spacing w:line="360" w:lineRule="auto"/>
              <w:jc w:val="center"/>
              <w:rPr>
                <w:rFonts w:hint="eastAsia" w:ascii="黑体" w:hAnsi="黑体" w:eastAsia="黑体" w:cs="黑体"/>
              </w:rPr>
            </w:pPr>
            <w:r>
              <w:rPr>
                <w:rFonts w:hint="eastAsia" w:ascii="黑体" w:hAnsi="黑体" w:eastAsia="黑体" w:cs="黑体"/>
              </w:rPr>
              <w:t>√</w:t>
            </w:r>
          </w:p>
        </w:tc>
        <w:tc>
          <w:tcPr>
            <w:tcW w:w="1640" w:type="dxa"/>
            <w:tcBorders>
              <w:top w:val="nil"/>
              <w:left w:val="nil"/>
              <w:bottom w:val="single" w:color="auto" w:sz="4" w:space="0"/>
              <w:right w:val="single" w:color="auto" w:sz="4" w:space="0"/>
            </w:tcBorders>
            <w:shd w:val="clear" w:color="auto" w:fill="FFC000"/>
            <w:noWrap/>
            <w:vAlign w:val="center"/>
          </w:tcPr>
          <w:p>
            <w:pPr>
              <w:widowControl/>
              <w:spacing w:line="360" w:lineRule="auto"/>
              <w:rPr>
                <w:rFonts w:hint="eastAsia" w:ascii="黑体" w:hAnsi="黑体" w:eastAsia="黑体" w:cs="黑体"/>
              </w:rPr>
            </w:pPr>
            <w:r>
              <w:rPr>
                <w:rFonts w:hint="eastAsia" w:ascii="黑体" w:hAnsi="黑体" w:eastAsia="黑体" w:cs="黑体"/>
              </w:rPr>
              <w:t>信贷系统</w:t>
            </w:r>
          </w:p>
        </w:tc>
        <w:tc>
          <w:tcPr>
            <w:tcW w:w="691" w:type="dxa"/>
            <w:tcBorders>
              <w:top w:val="nil"/>
              <w:left w:val="nil"/>
              <w:bottom w:val="single" w:color="auto" w:sz="4" w:space="0"/>
              <w:right w:val="single" w:color="auto" w:sz="4" w:space="0"/>
            </w:tcBorders>
            <w:shd w:val="clear" w:color="auto" w:fill="FFC000"/>
            <w:noWrap/>
            <w:vAlign w:val="center"/>
          </w:tcPr>
          <w:p>
            <w:pPr>
              <w:widowControl/>
              <w:spacing w:line="360" w:lineRule="auto"/>
              <w:rPr>
                <w:rFonts w:hint="eastAsia" w:ascii="黑体" w:hAnsi="黑体" w:eastAsia="黑体" w:cs="黑体"/>
              </w:rPr>
            </w:pPr>
            <w:r>
              <w:rPr>
                <w:rFonts w:hint="eastAsia" w:ascii="黑体" w:hAnsi="黑体" w:eastAsia="黑体" w:cs="黑体"/>
              </w:rPr>
              <w:t>月报表</w:t>
            </w:r>
          </w:p>
        </w:tc>
      </w:tr>
      <w:tr>
        <w:tblPrEx>
          <w:tblCellMar>
            <w:top w:w="0" w:type="dxa"/>
            <w:left w:w="108" w:type="dxa"/>
            <w:bottom w:w="0" w:type="dxa"/>
            <w:right w:w="108" w:type="dxa"/>
          </w:tblCellMar>
        </w:tblPrEx>
        <w:trPr>
          <w:trHeight w:val="510" w:hRule="atLeast"/>
        </w:trPr>
        <w:tc>
          <w:tcPr>
            <w:tcW w:w="822" w:type="dxa"/>
            <w:tcBorders>
              <w:top w:val="nil"/>
              <w:left w:val="single" w:color="auto" w:sz="4" w:space="0"/>
              <w:bottom w:val="single" w:color="auto" w:sz="4" w:space="0"/>
              <w:right w:val="single" w:color="auto" w:sz="4" w:space="0"/>
            </w:tcBorders>
            <w:shd w:val="clear" w:color="auto" w:fill="FFC000"/>
            <w:noWrap/>
            <w:vAlign w:val="center"/>
          </w:tcPr>
          <w:p>
            <w:pPr>
              <w:widowControl/>
              <w:spacing w:line="360" w:lineRule="auto"/>
              <w:jc w:val="center"/>
              <w:rPr>
                <w:rFonts w:hint="eastAsia" w:ascii="黑体" w:hAnsi="黑体" w:eastAsia="黑体" w:cs="黑体"/>
                <w:kern w:val="0"/>
                <w:sz w:val="22"/>
              </w:rPr>
            </w:pPr>
            <w:r>
              <w:rPr>
                <w:rFonts w:hint="eastAsia" w:ascii="黑体" w:hAnsi="黑体" w:eastAsia="黑体" w:cs="黑体"/>
              </w:rPr>
              <w:fldChar w:fldCharType="begin"/>
            </w:r>
            <w:r>
              <w:rPr>
                <w:rFonts w:hint="eastAsia" w:ascii="黑体" w:hAnsi="黑体" w:eastAsia="黑体" w:cs="黑体"/>
              </w:rPr>
              <w:instrText xml:space="preserve"> HYPERLINK "file:///C:\\Documents%20and%20Settings\\Administrator\\桌面\\工作-华兴项目文档\\监管报送\\20121210\\1104-报表指标_hl-20121206.xls" \l "'G01-3'!A1" </w:instrText>
            </w:r>
            <w:r>
              <w:rPr>
                <w:rFonts w:hint="eastAsia" w:ascii="黑体" w:hAnsi="黑体" w:eastAsia="黑体" w:cs="黑体"/>
              </w:rPr>
              <w:fldChar w:fldCharType="separate"/>
            </w:r>
            <w:r>
              <w:rPr>
                <w:rFonts w:hint="eastAsia" w:ascii="黑体" w:hAnsi="黑体" w:eastAsia="黑体" w:cs="黑体"/>
                <w:kern w:val="0"/>
                <w:sz w:val="22"/>
              </w:rPr>
              <w:t>G01-3</w:t>
            </w:r>
            <w:r>
              <w:rPr>
                <w:rFonts w:hint="eastAsia" w:ascii="黑体" w:hAnsi="黑体" w:eastAsia="黑体" w:cs="黑体"/>
                <w:kern w:val="0"/>
                <w:sz w:val="22"/>
              </w:rPr>
              <w:fldChar w:fldCharType="end"/>
            </w:r>
          </w:p>
        </w:tc>
        <w:tc>
          <w:tcPr>
            <w:tcW w:w="4331" w:type="dxa"/>
            <w:tcBorders>
              <w:top w:val="single" w:color="auto" w:sz="4" w:space="0"/>
              <w:left w:val="nil"/>
              <w:bottom w:val="single" w:color="auto" w:sz="4" w:space="0"/>
              <w:right w:val="single" w:color="auto" w:sz="4" w:space="0"/>
            </w:tcBorders>
            <w:shd w:val="clear" w:color="auto" w:fill="FFC000"/>
            <w:noWrap/>
            <w:vAlign w:val="center"/>
          </w:tcPr>
          <w:p>
            <w:pPr>
              <w:widowControl/>
              <w:spacing w:line="360" w:lineRule="auto"/>
              <w:rPr>
                <w:rFonts w:hint="eastAsia" w:ascii="黑体" w:hAnsi="黑体" w:eastAsia="黑体" w:cs="黑体"/>
              </w:rPr>
            </w:pPr>
            <w:r>
              <w:rPr>
                <w:rFonts w:hint="eastAsia" w:ascii="黑体" w:hAnsi="黑体" w:eastAsia="黑体" w:cs="黑体"/>
              </w:rPr>
              <w:t>资产负债项目统计表——存贷款明细报表(一)</w:t>
            </w:r>
          </w:p>
        </w:tc>
        <w:tc>
          <w:tcPr>
            <w:tcW w:w="519" w:type="dxa"/>
            <w:tcBorders>
              <w:top w:val="nil"/>
              <w:left w:val="nil"/>
              <w:bottom w:val="single" w:color="auto" w:sz="4" w:space="0"/>
              <w:right w:val="single" w:color="auto" w:sz="4" w:space="0"/>
            </w:tcBorders>
            <w:shd w:val="clear" w:color="auto" w:fill="FFC000"/>
            <w:noWrap/>
            <w:vAlign w:val="center"/>
          </w:tcPr>
          <w:p>
            <w:pPr>
              <w:widowControl/>
              <w:spacing w:line="360" w:lineRule="auto"/>
              <w:jc w:val="center"/>
              <w:rPr>
                <w:rFonts w:hint="eastAsia" w:ascii="黑体" w:hAnsi="黑体" w:eastAsia="黑体" w:cs="黑体"/>
              </w:rPr>
            </w:pPr>
            <w:r>
              <w:rPr>
                <w:rFonts w:hint="eastAsia" w:ascii="黑体" w:hAnsi="黑体" w:eastAsia="黑体" w:cs="黑体"/>
              </w:rPr>
              <w:t>√</w:t>
            </w:r>
          </w:p>
        </w:tc>
        <w:tc>
          <w:tcPr>
            <w:tcW w:w="519" w:type="dxa"/>
            <w:tcBorders>
              <w:top w:val="nil"/>
              <w:left w:val="nil"/>
              <w:bottom w:val="single" w:color="auto" w:sz="4" w:space="0"/>
              <w:right w:val="single" w:color="auto" w:sz="4" w:space="0"/>
            </w:tcBorders>
            <w:shd w:val="clear" w:color="auto" w:fill="FFC000"/>
            <w:noWrap/>
            <w:vAlign w:val="center"/>
          </w:tcPr>
          <w:p>
            <w:pPr>
              <w:widowControl/>
              <w:spacing w:line="360" w:lineRule="auto"/>
              <w:jc w:val="center"/>
              <w:rPr>
                <w:rFonts w:hint="eastAsia" w:ascii="黑体" w:hAnsi="黑体" w:eastAsia="黑体" w:cs="黑体"/>
              </w:rPr>
            </w:pPr>
            <w:r>
              <w:rPr>
                <w:rFonts w:hint="eastAsia" w:ascii="黑体" w:hAnsi="黑体" w:eastAsia="黑体" w:cs="黑体"/>
              </w:rPr>
              <w:t>√</w:t>
            </w:r>
          </w:p>
        </w:tc>
        <w:tc>
          <w:tcPr>
            <w:tcW w:w="1640" w:type="dxa"/>
            <w:tcBorders>
              <w:top w:val="nil"/>
              <w:left w:val="nil"/>
              <w:bottom w:val="single" w:color="auto" w:sz="4" w:space="0"/>
              <w:right w:val="single" w:color="auto" w:sz="4" w:space="0"/>
            </w:tcBorders>
            <w:shd w:val="clear" w:color="auto" w:fill="FFC000"/>
            <w:noWrap/>
            <w:vAlign w:val="center"/>
          </w:tcPr>
          <w:p>
            <w:pPr>
              <w:widowControl/>
              <w:spacing w:line="360" w:lineRule="auto"/>
              <w:rPr>
                <w:rFonts w:hint="eastAsia" w:ascii="黑体" w:hAnsi="黑体" w:eastAsia="黑体" w:cs="黑体"/>
              </w:rPr>
            </w:pPr>
            <w:r>
              <w:rPr>
                <w:rFonts w:hint="eastAsia" w:ascii="黑体" w:hAnsi="黑体" w:eastAsia="黑体" w:cs="黑体"/>
              </w:rPr>
              <w:t>总账(业务状况表)</w:t>
            </w:r>
          </w:p>
        </w:tc>
        <w:tc>
          <w:tcPr>
            <w:tcW w:w="691" w:type="dxa"/>
            <w:tcBorders>
              <w:top w:val="nil"/>
              <w:left w:val="nil"/>
              <w:bottom w:val="single" w:color="auto" w:sz="4" w:space="0"/>
              <w:right w:val="single" w:color="auto" w:sz="4" w:space="0"/>
            </w:tcBorders>
            <w:shd w:val="clear" w:color="auto" w:fill="FFC000"/>
            <w:noWrap/>
            <w:vAlign w:val="center"/>
          </w:tcPr>
          <w:p>
            <w:pPr>
              <w:widowControl/>
              <w:spacing w:line="360" w:lineRule="auto"/>
              <w:rPr>
                <w:rFonts w:hint="eastAsia" w:ascii="黑体" w:hAnsi="黑体" w:eastAsia="黑体" w:cs="黑体"/>
              </w:rPr>
            </w:pPr>
            <w:r>
              <w:rPr>
                <w:rFonts w:hint="eastAsia" w:ascii="黑体" w:hAnsi="黑体" w:eastAsia="黑体" w:cs="黑体"/>
              </w:rPr>
              <w:t>月报表</w:t>
            </w:r>
          </w:p>
        </w:tc>
      </w:tr>
      <w:tr>
        <w:tblPrEx>
          <w:tblCellMar>
            <w:top w:w="0" w:type="dxa"/>
            <w:left w:w="108" w:type="dxa"/>
            <w:bottom w:w="0" w:type="dxa"/>
            <w:right w:w="108" w:type="dxa"/>
          </w:tblCellMar>
        </w:tblPrEx>
        <w:trPr>
          <w:trHeight w:val="510" w:hRule="atLeast"/>
        </w:trPr>
        <w:tc>
          <w:tcPr>
            <w:tcW w:w="822" w:type="dxa"/>
            <w:tcBorders>
              <w:top w:val="nil"/>
              <w:left w:val="single" w:color="auto" w:sz="4" w:space="0"/>
              <w:bottom w:val="single" w:color="auto" w:sz="4" w:space="0"/>
              <w:right w:val="single" w:color="auto" w:sz="4" w:space="0"/>
            </w:tcBorders>
            <w:shd w:val="clear" w:color="auto" w:fill="FFC000"/>
            <w:noWrap/>
            <w:vAlign w:val="center"/>
          </w:tcPr>
          <w:p>
            <w:pPr>
              <w:widowControl/>
              <w:spacing w:line="360" w:lineRule="auto"/>
              <w:jc w:val="center"/>
              <w:rPr>
                <w:rFonts w:hint="eastAsia" w:ascii="黑体" w:hAnsi="黑体" w:eastAsia="黑体" w:cs="黑体"/>
                <w:kern w:val="0"/>
                <w:sz w:val="22"/>
              </w:rPr>
            </w:pPr>
            <w:r>
              <w:rPr>
                <w:rFonts w:hint="eastAsia" w:ascii="黑体" w:hAnsi="黑体" w:eastAsia="黑体" w:cs="黑体"/>
              </w:rPr>
              <w:fldChar w:fldCharType="begin"/>
            </w:r>
            <w:r>
              <w:rPr>
                <w:rFonts w:hint="eastAsia" w:ascii="黑体" w:hAnsi="黑体" w:eastAsia="黑体" w:cs="黑体"/>
              </w:rPr>
              <w:instrText xml:space="preserve"> HYPERLINK "file:///C:\\Documents%20and%20Settings\\Administrator\\桌面\\工作-华兴项目文档\\监管报送\\20121210\\1104-报表指标_hl-20121206.xls" \l "'G01-5'!A1" </w:instrText>
            </w:r>
            <w:r>
              <w:rPr>
                <w:rFonts w:hint="eastAsia" w:ascii="黑体" w:hAnsi="黑体" w:eastAsia="黑体" w:cs="黑体"/>
              </w:rPr>
              <w:fldChar w:fldCharType="separate"/>
            </w:r>
            <w:r>
              <w:rPr>
                <w:rFonts w:hint="eastAsia" w:ascii="黑体" w:hAnsi="黑体" w:eastAsia="黑体" w:cs="黑体"/>
                <w:kern w:val="0"/>
                <w:sz w:val="22"/>
              </w:rPr>
              <w:t>G01-5</w:t>
            </w:r>
            <w:r>
              <w:rPr>
                <w:rFonts w:hint="eastAsia" w:ascii="黑体" w:hAnsi="黑体" w:eastAsia="黑体" w:cs="黑体"/>
                <w:kern w:val="0"/>
                <w:sz w:val="22"/>
              </w:rPr>
              <w:fldChar w:fldCharType="end"/>
            </w:r>
          </w:p>
        </w:tc>
        <w:tc>
          <w:tcPr>
            <w:tcW w:w="4331" w:type="dxa"/>
            <w:tcBorders>
              <w:top w:val="single" w:color="auto" w:sz="4" w:space="0"/>
              <w:left w:val="nil"/>
              <w:bottom w:val="single" w:color="auto" w:sz="4" w:space="0"/>
              <w:right w:val="single" w:color="auto" w:sz="4" w:space="0"/>
            </w:tcBorders>
            <w:shd w:val="clear" w:color="auto" w:fill="FFC000"/>
            <w:noWrap/>
            <w:vAlign w:val="center"/>
          </w:tcPr>
          <w:p>
            <w:pPr>
              <w:widowControl/>
              <w:spacing w:line="360" w:lineRule="auto"/>
              <w:rPr>
                <w:rFonts w:hint="eastAsia" w:ascii="黑体" w:hAnsi="黑体" w:eastAsia="黑体" w:cs="黑体"/>
              </w:rPr>
            </w:pPr>
            <w:r>
              <w:rPr>
                <w:rFonts w:hint="eastAsia" w:ascii="黑体" w:hAnsi="黑体" w:eastAsia="黑体" w:cs="黑体"/>
              </w:rPr>
              <w:t>资产负债项目统计表——人民币备付率报表</w:t>
            </w:r>
          </w:p>
        </w:tc>
        <w:tc>
          <w:tcPr>
            <w:tcW w:w="519" w:type="dxa"/>
            <w:tcBorders>
              <w:top w:val="nil"/>
              <w:left w:val="nil"/>
              <w:bottom w:val="single" w:color="auto" w:sz="4" w:space="0"/>
              <w:right w:val="single" w:color="auto" w:sz="4" w:space="0"/>
            </w:tcBorders>
            <w:shd w:val="clear" w:color="auto" w:fill="FFC000"/>
            <w:noWrap/>
            <w:vAlign w:val="center"/>
          </w:tcPr>
          <w:p>
            <w:pPr>
              <w:widowControl/>
              <w:spacing w:line="360" w:lineRule="auto"/>
              <w:jc w:val="center"/>
              <w:rPr>
                <w:rFonts w:hint="eastAsia" w:ascii="黑体" w:hAnsi="黑体" w:eastAsia="黑体" w:cs="黑体"/>
              </w:rPr>
            </w:pPr>
            <w:r>
              <w:rPr>
                <w:rFonts w:hint="eastAsia" w:ascii="黑体" w:hAnsi="黑体" w:eastAsia="黑体" w:cs="黑体"/>
              </w:rPr>
              <w:t>√</w:t>
            </w:r>
          </w:p>
        </w:tc>
        <w:tc>
          <w:tcPr>
            <w:tcW w:w="519" w:type="dxa"/>
            <w:tcBorders>
              <w:top w:val="nil"/>
              <w:left w:val="nil"/>
              <w:bottom w:val="single" w:color="auto" w:sz="4" w:space="0"/>
              <w:right w:val="single" w:color="auto" w:sz="4" w:space="0"/>
            </w:tcBorders>
            <w:shd w:val="clear" w:color="auto" w:fill="FFC000"/>
            <w:noWrap/>
            <w:vAlign w:val="center"/>
          </w:tcPr>
          <w:p>
            <w:pPr>
              <w:widowControl/>
              <w:spacing w:line="360" w:lineRule="auto"/>
              <w:jc w:val="center"/>
              <w:rPr>
                <w:rFonts w:hint="eastAsia" w:ascii="黑体" w:hAnsi="黑体" w:eastAsia="黑体" w:cs="黑体"/>
              </w:rPr>
            </w:pPr>
          </w:p>
        </w:tc>
        <w:tc>
          <w:tcPr>
            <w:tcW w:w="1640" w:type="dxa"/>
            <w:tcBorders>
              <w:top w:val="nil"/>
              <w:left w:val="nil"/>
              <w:bottom w:val="single" w:color="auto" w:sz="4" w:space="0"/>
              <w:right w:val="single" w:color="auto" w:sz="4" w:space="0"/>
            </w:tcBorders>
            <w:shd w:val="clear" w:color="auto" w:fill="FFC000"/>
            <w:noWrap/>
            <w:vAlign w:val="center"/>
          </w:tcPr>
          <w:p>
            <w:pPr>
              <w:widowControl/>
              <w:spacing w:line="360" w:lineRule="auto"/>
              <w:rPr>
                <w:rFonts w:hint="eastAsia" w:ascii="黑体" w:hAnsi="黑体" w:eastAsia="黑体" w:cs="黑体"/>
              </w:rPr>
            </w:pPr>
            <w:r>
              <w:rPr>
                <w:rFonts w:hint="eastAsia" w:ascii="黑体" w:hAnsi="黑体" w:eastAsia="黑体" w:cs="黑体"/>
              </w:rPr>
              <w:t>总账(业务状况表)</w:t>
            </w:r>
          </w:p>
        </w:tc>
        <w:tc>
          <w:tcPr>
            <w:tcW w:w="691" w:type="dxa"/>
            <w:tcBorders>
              <w:top w:val="nil"/>
              <w:left w:val="nil"/>
              <w:bottom w:val="single" w:color="auto" w:sz="4" w:space="0"/>
              <w:right w:val="single" w:color="auto" w:sz="4" w:space="0"/>
            </w:tcBorders>
            <w:shd w:val="clear" w:color="auto" w:fill="FFC000"/>
            <w:noWrap/>
            <w:vAlign w:val="center"/>
          </w:tcPr>
          <w:p>
            <w:pPr>
              <w:widowControl/>
              <w:spacing w:line="360" w:lineRule="auto"/>
              <w:rPr>
                <w:rFonts w:hint="eastAsia" w:ascii="黑体" w:hAnsi="黑体" w:eastAsia="黑体" w:cs="黑体"/>
              </w:rPr>
            </w:pPr>
            <w:r>
              <w:rPr>
                <w:rFonts w:hint="eastAsia" w:ascii="黑体" w:hAnsi="黑体" w:eastAsia="黑体" w:cs="黑体"/>
              </w:rPr>
              <w:t>月报表</w:t>
            </w:r>
          </w:p>
        </w:tc>
      </w:tr>
      <w:tr>
        <w:tblPrEx>
          <w:tblCellMar>
            <w:top w:w="0" w:type="dxa"/>
            <w:left w:w="108" w:type="dxa"/>
            <w:bottom w:w="0" w:type="dxa"/>
            <w:right w:w="108" w:type="dxa"/>
          </w:tblCellMar>
        </w:tblPrEx>
        <w:trPr>
          <w:trHeight w:val="480" w:hRule="atLeast"/>
        </w:trPr>
        <w:tc>
          <w:tcPr>
            <w:tcW w:w="822" w:type="dxa"/>
            <w:tcBorders>
              <w:top w:val="nil"/>
              <w:left w:val="single" w:color="auto" w:sz="4" w:space="0"/>
              <w:bottom w:val="single" w:color="auto" w:sz="4" w:space="0"/>
              <w:right w:val="single" w:color="auto" w:sz="4" w:space="0"/>
            </w:tcBorders>
            <w:shd w:val="clear" w:color="auto" w:fill="FFC000"/>
            <w:noWrap/>
            <w:vAlign w:val="center"/>
          </w:tcPr>
          <w:p>
            <w:pPr>
              <w:widowControl/>
              <w:spacing w:line="360" w:lineRule="auto"/>
              <w:jc w:val="center"/>
              <w:rPr>
                <w:rFonts w:hint="eastAsia" w:ascii="黑体" w:hAnsi="黑体" w:eastAsia="黑体" w:cs="黑体"/>
                <w:kern w:val="0"/>
                <w:sz w:val="22"/>
              </w:rPr>
            </w:pPr>
            <w:r>
              <w:rPr>
                <w:rFonts w:hint="eastAsia" w:ascii="黑体" w:hAnsi="黑体" w:eastAsia="黑体" w:cs="黑体"/>
              </w:rPr>
              <w:fldChar w:fldCharType="begin"/>
            </w:r>
            <w:r>
              <w:rPr>
                <w:rFonts w:hint="eastAsia" w:ascii="黑体" w:hAnsi="黑体" w:eastAsia="黑体" w:cs="黑体"/>
              </w:rPr>
              <w:instrText xml:space="preserve"> HYPERLINK "file:///C:\\Documents%20and%20Settings\\Administrator\\桌面\\工作-华兴项目文档\\监管报送\\20121210\\1104-报表指标_hl-20121206.xls" \l "'G01-7'!A1" </w:instrText>
            </w:r>
            <w:r>
              <w:rPr>
                <w:rFonts w:hint="eastAsia" w:ascii="黑体" w:hAnsi="黑体" w:eastAsia="黑体" w:cs="黑体"/>
              </w:rPr>
              <w:fldChar w:fldCharType="separate"/>
            </w:r>
            <w:r>
              <w:rPr>
                <w:rFonts w:hint="eastAsia" w:ascii="黑体" w:hAnsi="黑体" w:eastAsia="黑体" w:cs="黑体"/>
                <w:kern w:val="0"/>
                <w:sz w:val="22"/>
              </w:rPr>
              <w:t>G01-7</w:t>
            </w:r>
            <w:r>
              <w:rPr>
                <w:rFonts w:hint="eastAsia" w:ascii="黑体" w:hAnsi="黑体" w:eastAsia="黑体" w:cs="黑体"/>
                <w:kern w:val="0"/>
                <w:sz w:val="22"/>
              </w:rPr>
              <w:fldChar w:fldCharType="end"/>
            </w:r>
          </w:p>
        </w:tc>
        <w:tc>
          <w:tcPr>
            <w:tcW w:w="4331" w:type="dxa"/>
            <w:tcBorders>
              <w:top w:val="single" w:color="auto" w:sz="4" w:space="0"/>
              <w:left w:val="nil"/>
              <w:bottom w:val="single" w:color="auto" w:sz="4" w:space="0"/>
              <w:right w:val="single" w:color="auto" w:sz="4" w:space="0"/>
            </w:tcBorders>
            <w:shd w:val="clear" w:color="auto" w:fill="FFC000"/>
            <w:noWrap/>
            <w:vAlign w:val="center"/>
          </w:tcPr>
          <w:p>
            <w:pPr>
              <w:widowControl/>
              <w:spacing w:line="360" w:lineRule="auto"/>
              <w:rPr>
                <w:rFonts w:hint="eastAsia" w:ascii="黑体" w:hAnsi="黑体" w:eastAsia="黑体" w:cs="黑体"/>
              </w:rPr>
            </w:pPr>
            <w:r>
              <w:rPr>
                <w:rFonts w:hint="eastAsia" w:ascii="黑体" w:hAnsi="黑体" w:eastAsia="黑体" w:cs="黑体"/>
              </w:rPr>
              <w:t>资产负债项目统计表——贷款分行业情况表（按贷款投向）</w:t>
            </w:r>
          </w:p>
        </w:tc>
        <w:tc>
          <w:tcPr>
            <w:tcW w:w="519" w:type="dxa"/>
            <w:tcBorders>
              <w:top w:val="nil"/>
              <w:left w:val="nil"/>
              <w:bottom w:val="single" w:color="auto" w:sz="4" w:space="0"/>
              <w:right w:val="single" w:color="auto" w:sz="4" w:space="0"/>
            </w:tcBorders>
            <w:shd w:val="clear" w:color="auto" w:fill="FFC000"/>
            <w:noWrap/>
            <w:vAlign w:val="center"/>
          </w:tcPr>
          <w:p>
            <w:pPr>
              <w:widowControl/>
              <w:spacing w:line="360" w:lineRule="auto"/>
              <w:jc w:val="center"/>
              <w:rPr>
                <w:rFonts w:hint="eastAsia" w:ascii="黑体" w:hAnsi="黑体" w:eastAsia="黑体" w:cs="黑体"/>
              </w:rPr>
            </w:pPr>
            <w:r>
              <w:rPr>
                <w:rFonts w:hint="eastAsia" w:ascii="黑体" w:hAnsi="黑体" w:eastAsia="黑体" w:cs="黑体"/>
              </w:rPr>
              <w:t>√</w:t>
            </w:r>
          </w:p>
        </w:tc>
        <w:tc>
          <w:tcPr>
            <w:tcW w:w="519" w:type="dxa"/>
            <w:tcBorders>
              <w:top w:val="nil"/>
              <w:left w:val="nil"/>
              <w:bottom w:val="single" w:color="auto" w:sz="4" w:space="0"/>
              <w:right w:val="single" w:color="auto" w:sz="4" w:space="0"/>
            </w:tcBorders>
            <w:shd w:val="clear" w:color="auto" w:fill="FFC000"/>
            <w:noWrap/>
            <w:vAlign w:val="center"/>
          </w:tcPr>
          <w:p>
            <w:pPr>
              <w:widowControl/>
              <w:spacing w:line="360" w:lineRule="auto"/>
              <w:jc w:val="center"/>
              <w:rPr>
                <w:rFonts w:hint="eastAsia" w:ascii="黑体" w:hAnsi="黑体" w:eastAsia="黑体" w:cs="黑体"/>
              </w:rPr>
            </w:pPr>
            <w:r>
              <w:rPr>
                <w:rFonts w:hint="eastAsia" w:ascii="黑体" w:hAnsi="黑体" w:eastAsia="黑体" w:cs="黑体"/>
              </w:rPr>
              <w:t>√</w:t>
            </w:r>
          </w:p>
        </w:tc>
        <w:tc>
          <w:tcPr>
            <w:tcW w:w="1640" w:type="dxa"/>
            <w:tcBorders>
              <w:top w:val="nil"/>
              <w:left w:val="nil"/>
              <w:bottom w:val="single" w:color="auto" w:sz="4" w:space="0"/>
              <w:right w:val="single" w:color="auto" w:sz="4" w:space="0"/>
            </w:tcBorders>
            <w:shd w:val="clear" w:color="auto" w:fill="FFC000"/>
            <w:noWrap/>
            <w:vAlign w:val="center"/>
          </w:tcPr>
          <w:p>
            <w:pPr>
              <w:widowControl/>
              <w:spacing w:line="360" w:lineRule="auto"/>
              <w:rPr>
                <w:rFonts w:hint="eastAsia" w:ascii="黑体" w:hAnsi="黑体" w:eastAsia="黑体" w:cs="黑体"/>
              </w:rPr>
            </w:pPr>
            <w:r>
              <w:rPr>
                <w:rFonts w:hint="eastAsia" w:ascii="黑体" w:hAnsi="黑体" w:eastAsia="黑体" w:cs="黑体"/>
              </w:rPr>
              <w:t>信贷系统、票据系统</w:t>
            </w:r>
          </w:p>
        </w:tc>
        <w:tc>
          <w:tcPr>
            <w:tcW w:w="691" w:type="dxa"/>
            <w:tcBorders>
              <w:top w:val="nil"/>
              <w:left w:val="nil"/>
              <w:bottom w:val="single" w:color="auto" w:sz="4" w:space="0"/>
              <w:right w:val="single" w:color="auto" w:sz="4" w:space="0"/>
            </w:tcBorders>
            <w:shd w:val="clear" w:color="auto" w:fill="FFC000"/>
            <w:noWrap/>
            <w:vAlign w:val="center"/>
          </w:tcPr>
          <w:p>
            <w:pPr>
              <w:widowControl/>
              <w:spacing w:line="360" w:lineRule="auto"/>
              <w:rPr>
                <w:rFonts w:hint="eastAsia" w:ascii="黑体" w:hAnsi="黑体" w:eastAsia="黑体" w:cs="黑体"/>
              </w:rPr>
            </w:pPr>
            <w:r>
              <w:rPr>
                <w:rFonts w:hint="eastAsia" w:ascii="黑体" w:hAnsi="黑体" w:eastAsia="黑体" w:cs="黑体"/>
              </w:rPr>
              <w:t>月报表</w:t>
            </w:r>
          </w:p>
        </w:tc>
      </w:tr>
      <w:tr>
        <w:tblPrEx>
          <w:tblCellMar>
            <w:top w:w="0" w:type="dxa"/>
            <w:left w:w="108" w:type="dxa"/>
            <w:bottom w:w="0" w:type="dxa"/>
            <w:right w:w="108" w:type="dxa"/>
          </w:tblCellMar>
        </w:tblPrEx>
        <w:trPr>
          <w:trHeight w:val="510" w:hRule="atLeast"/>
        </w:trPr>
        <w:tc>
          <w:tcPr>
            <w:tcW w:w="822" w:type="dxa"/>
            <w:tcBorders>
              <w:top w:val="nil"/>
              <w:left w:val="single" w:color="auto" w:sz="4" w:space="0"/>
              <w:bottom w:val="single" w:color="auto" w:sz="4" w:space="0"/>
              <w:right w:val="single" w:color="auto" w:sz="4" w:space="0"/>
            </w:tcBorders>
            <w:shd w:val="clear" w:color="auto" w:fill="FFC000"/>
            <w:noWrap/>
            <w:vAlign w:val="center"/>
          </w:tcPr>
          <w:p>
            <w:pPr>
              <w:widowControl/>
              <w:spacing w:line="360" w:lineRule="auto"/>
              <w:jc w:val="center"/>
              <w:rPr>
                <w:rFonts w:hint="eastAsia" w:ascii="黑体" w:hAnsi="黑体" w:eastAsia="黑体" w:cs="黑体"/>
                <w:kern w:val="0"/>
                <w:sz w:val="22"/>
              </w:rPr>
            </w:pPr>
            <w:r>
              <w:rPr>
                <w:rFonts w:hint="eastAsia" w:ascii="黑体" w:hAnsi="黑体" w:eastAsia="黑体" w:cs="黑体"/>
              </w:rPr>
              <w:fldChar w:fldCharType="begin"/>
            </w:r>
            <w:r>
              <w:rPr>
                <w:rFonts w:hint="eastAsia" w:ascii="黑体" w:hAnsi="黑体" w:eastAsia="黑体" w:cs="黑体"/>
              </w:rPr>
              <w:instrText xml:space="preserve"> HYPERLINK "file:///C:\\Documents%20and%20Settings\\Administrator\\桌面\\工作-华兴项目文档\\监管报送\\20121210\\1104-报表指标_hl-20121206.xls" \l "'G01-8'!A1" </w:instrText>
            </w:r>
            <w:r>
              <w:rPr>
                <w:rFonts w:hint="eastAsia" w:ascii="黑体" w:hAnsi="黑体" w:eastAsia="黑体" w:cs="黑体"/>
              </w:rPr>
              <w:fldChar w:fldCharType="separate"/>
            </w:r>
            <w:r>
              <w:rPr>
                <w:rFonts w:hint="eastAsia" w:ascii="黑体" w:hAnsi="黑体" w:eastAsia="黑体" w:cs="黑体"/>
                <w:kern w:val="0"/>
                <w:sz w:val="22"/>
              </w:rPr>
              <w:t>G01-8</w:t>
            </w:r>
            <w:r>
              <w:rPr>
                <w:rFonts w:hint="eastAsia" w:ascii="黑体" w:hAnsi="黑体" w:eastAsia="黑体" w:cs="黑体"/>
                <w:kern w:val="0"/>
                <w:sz w:val="22"/>
              </w:rPr>
              <w:fldChar w:fldCharType="end"/>
            </w:r>
          </w:p>
        </w:tc>
        <w:tc>
          <w:tcPr>
            <w:tcW w:w="4331" w:type="dxa"/>
            <w:tcBorders>
              <w:top w:val="single" w:color="auto" w:sz="4" w:space="0"/>
              <w:left w:val="nil"/>
              <w:bottom w:val="single" w:color="auto" w:sz="4" w:space="0"/>
              <w:right w:val="single" w:color="auto" w:sz="4" w:space="0"/>
            </w:tcBorders>
            <w:shd w:val="clear" w:color="auto" w:fill="FFC000"/>
            <w:noWrap/>
            <w:vAlign w:val="center"/>
          </w:tcPr>
          <w:p>
            <w:pPr>
              <w:widowControl/>
              <w:spacing w:line="360" w:lineRule="auto"/>
              <w:rPr>
                <w:rFonts w:hint="eastAsia" w:ascii="黑体" w:hAnsi="黑体" w:eastAsia="黑体" w:cs="黑体"/>
              </w:rPr>
            </w:pPr>
            <w:r>
              <w:rPr>
                <w:rFonts w:hint="eastAsia" w:ascii="黑体" w:hAnsi="黑体" w:eastAsia="黑体" w:cs="黑体"/>
              </w:rPr>
              <w:t>资产负债项目统计表——金融资产四分类情况表</w:t>
            </w:r>
          </w:p>
        </w:tc>
        <w:tc>
          <w:tcPr>
            <w:tcW w:w="519" w:type="dxa"/>
            <w:tcBorders>
              <w:top w:val="nil"/>
              <w:left w:val="nil"/>
              <w:bottom w:val="single" w:color="auto" w:sz="4" w:space="0"/>
              <w:right w:val="single" w:color="auto" w:sz="4" w:space="0"/>
            </w:tcBorders>
            <w:shd w:val="clear" w:color="auto" w:fill="FFC000"/>
            <w:noWrap/>
            <w:vAlign w:val="center"/>
          </w:tcPr>
          <w:p>
            <w:pPr>
              <w:widowControl/>
              <w:spacing w:line="360" w:lineRule="auto"/>
              <w:jc w:val="center"/>
              <w:rPr>
                <w:rFonts w:hint="eastAsia" w:ascii="黑体" w:hAnsi="黑体" w:eastAsia="黑体" w:cs="黑体"/>
              </w:rPr>
            </w:pPr>
            <w:r>
              <w:rPr>
                <w:rFonts w:hint="eastAsia" w:ascii="黑体" w:hAnsi="黑体" w:eastAsia="黑体" w:cs="黑体"/>
              </w:rPr>
              <w:t>√</w:t>
            </w:r>
          </w:p>
        </w:tc>
        <w:tc>
          <w:tcPr>
            <w:tcW w:w="519" w:type="dxa"/>
            <w:tcBorders>
              <w:top w:val="nil"/>
              <w:left w:val="nil"/>
              <w:bottom w:val="single" w:color="auto" w:sz="4" w:space="0"/>
              <w:right w:val="single" w:color="auto" w:sz="4" w:space="0"/>
            </w:tcBorders>
            <w:shd w:val="clear" w:color="auto" w:fill="FFC000"/>
            <w:noWrap/>
            <w:vAlign w:val="center"/>
          </w:tcPr>
          <w:p>
            <w:pPr>
              <w:widowControl/>
              <w:spacing w:line="360" w:lineRule="auto"/>
              <w:jc w:val="center"/>
              <w:rPr>
                <w:rFonts w:hint="eastAsia" w:ascii="黑体" w:hAnsi="黑体" w:eastAsia="黑体" w:cs="黑体"/>
              </w:rPr>
            </w:pPr>
          </w:p>
        </w:tc>
        <w:tc>
          <w:tcPr>
            <w:tcW w:w="1640" w:type="dxa"/>
            <w:tcBorders>
              <w:top w:val="nil"/>
              <w:left w:val="nil"/>
              <w:bottom w:val="single" w:color="auto" w:sz="4" w:space="0"/>
              <w:right w:val="single" w:color="auto" w:sz="4" w:space="0"/>
            </w:tcBorders>
            <w:shd w:val="clear" w:color="auto" w:fill="FFC000"/>
            <w:noWrap/>
            <w:vAlign w:val="center"/>
          </w:tcPr>
          <w:p>
            <w:pPr>
              <w:widowControl/>
              <w:spacing w:line="360" w:lineRule="auto"/>
              <w:rPr>
                <w:rFonts w:hint="eastAsia" w:ascii="黑体" w:hAnsi="黑体" w:eastAsia="黑体" w:cs="黑体"/>
              </w:rPr>
            </w:pPr>
            <w:r>
              <w:rPr>
                <w:rFonts w:hint="eastAsia" w:ascii="黑体" w:hAnsi="黑体" w:eastAsia="黑体" w:cs="黑体"/>
              </w:rPr>
              <w:t>总账(业务状况表)</w:t>
            </w:r>
          </w:p>
        </w:tc>
        <w:tc>
          <w:tcPr>
            <w:tcW w:w="691" w:type="dxa"/>
            <w:tcBorders>
              <w:top w:val="nil"/>
              <w:left w:val="nil"/>
              <w:bottom w:val="single" w:color="auto" w:sz="4" w:space="0"/>
              <w:right w:val="single" w:color="auto" w:sz="4" w:space="0"/>
            </w:tcBorders>
            <w:shd w:val="clear" w:color="auto" w:fill="FFC000"/>
            <w:noWrap/>
            <w:vAlign w:val="center"/>
          </w:tcPr>
          <w:p>
            <w:pPr>
              <w:widowControl/>
              <w:spacing w:line="360" w:lineRule="auto"/>
              <w:rPr>
                <w:rFonts w:hint="eastAsia" w:ascii="黑体" w:hAnsi="黑体" w:eastAsia="黑体" w:cs="黑体"/>
              </w:rPr>
            </w:pPr>
            <w:r>
              <w:rPr>
                <w:rFonts w:hint="eastAsia" w:ascii="黑体" w:hAnsi="黑体" w:eastAsia="黑体" w:cs="黑体"/>
              </w:rPr>
              <w:t>月报表</w:t>
            </w:r>
          </w:p>
        </w:tc>
      </w:tr>
      <w:tr>
        <w:tblPrEx>
          <w:tblCellMar>
            <w:top w:w="0" w:type="dxa"/>
            <w:left w:w="108" w:type="dxa"/>
            <w:bottom w:w="0" w:type="dxa"/>
            <w:right w:w="108" w:type="dxa"/>
          </w:tblCellMar>
        </w:tblPrEx>
        <w:trPr>
          <w:trHeight w:val="510" w:hRule="atLeast"/>
        </w:trPr>
        <w:tc>
          <w:tcPr>
            <w:tcW w:w="822" w:type="dxa"/>
            <w:tcBorders>
              <w:top w:val="nil"/>
              <w:left w:val="single" w:color="auto" w:sz="4" w:space="0"/>
              <w:bottom w:val="single" w:color="auto" w:sz="4" w:space="0"/>
              <w:right w:val="single" w:color="auto" w:sz="4" w:space="0"/>
            </w:tcBorders>
            <w:shd w:val="clear" w:color="auto" w:fill="FFC000"/>
            <w:noWrap/>
            <w:vAlign w:val="center"/>
          </w:tcPr>
          <w:p>
            <w:pPr>
              <w:widowControl/>
              <w:spacing w:line="360" w:lineRule="auto"/>
              <w:jc w:val="center"/>
              <w:rPr>
                <w:rFonts w:hint="eastAsia" w:ascii="黑体" w:hAnsi="黑体" w:eastAsia="黑体" w:cs="黑体"/>
                <w:kern w:val="0"/>
                <w:sz w:val="22"/>
              </w:rPr>
            </w:pPr>
            <w:r>
              <w:rPr>
                <w:rFonts w:hint="eastAsia" w:ascii="黑体" w:hAnsi="黑体" w:eastAsia="黑体" w:cs="黑体"/>
              </w:rPr>
              <w:fldChar w:fldCharType="begin"/>
            </w:r>
            <w:r>
              <w:rPr>
                <w:rFonts w:hint="eastAsia" w:ascii="黑体" w:hAnsi="黑体" w:eastAsia="黑体" w:cs="黑体"/>
              </w:rPr>
              <w:instrText xml:space="preserve"> HYPERLINK "file:///C:\\Documents%20and%20Settings\\Administrator\\桌面\\工作-华兴项目文档\\监管报送\\20121210\\1104-报表指标_hl-20121206.xls" \l "'G01-9'!A1" </w:instrText>
            </w:r>
            <w:r>
              <w:rPr>
                <w:rFonts w:hint="eastAsia" w:ascii="黑体" w:hAnsi="黑体" w:eastAsia="黑体" w:cs="黑体"/>
              </w:rPr>
              <w:fldChar w:fldCharType="separate"/>
            </w:r>
            <w:r>
              <w:rPr>
                <w:rFonts w:hint="eastAsia" w:ascii="黑体" w:hAnsi="黑体" w:eastAsia="黑体" w:cs="黑体"/>
                <w:kern w:val="0"/>
                <w:sz w:val="22"/>
              </w:rPr>
              <w:t>G01-9</w:t>
            </w:r>
            <w:r>
              <w:rPr>
                <w:rFonts w:hint="eastAsia" w:ascii="黑体" w:hAnsi="黑体" w:eastAsia="黑体" w:cs="黑体"/>
                <w:kern w:val="0"/>
                <w:sz w:val="22"/>
              </w:rPr>
              <w:fldChar w:fldCharType="end"/>
            </w:r>
          </w:p>
        </w:tc>
        <w:tc>
          <w:tcPr>
            <w:tcW w:w="4331" w:type="dxa"/>
            <w:tcBorders>
              <w:top w:val="single" w:color="auto" w:sz="4" w:space="0"/>
              <w:left w:val="nil"/>
              <w:bottom w:val="single" w:color="auto" w:sz="4" w:space="0"/>
              <w:right w:val="single" w:color="auto" w:sz="4" w:space="0"/>
            </w:tcBorders>
            <w:shd w:val="clear" w:color="auto" w:fill="FFC000"/>
            <w:noWrap/>
            <w:vAlign w:val="center"/>
          </w:tcPr>
          <w:p>
            <w:pPr>
              <w:widowControl/>
              <w:spacing w:line="360" w:lineRule="auto"/>
              <w:rPr>
                <w:rFonts w:hint="eastAsia" w:ascii="黑体" w:hAnsi="黑体" w:eastAsia="黑体" w:cs="黑体"/>
              </w:rPr>
            </w:pPr>
            <w:r>
              <w:rPr>
                <w:rFonts w:hint="eastAsia" w:ascii="黑体" w:hAnsi="黑体" w:eastAsia="黑体" w:cs="黑体"/>
              </w:rPr>
              <w:t>资产负债项目统计表——存贷款月日均情况表</w:t>
            </w:r>
          </w:p>
        </w:tc>
        <w:tc>
          <w:tcPr>
            <w:tcW w:w="519" w:type="dxa"/>
            <w:tcBorders>
              <w:top w:val="nil"/>
              <w:left w:val="nil"/>
              <w:bottom w:val="single" w:color="auto" w:sz="4" w:space="0"/>
              <w:right w:val="single" w:color="auto" w:sz="4" w:space="0"/>
            </w:tcBorders>
            <w:shd w:val="clear" w:color="auto" w:fill="FFC000"/>
            <w:noWrap/>
            <w:vAlign w:val="center"/>
          </w:tcPr>
          <w:p>
            <w:pPr>
              <w:widowControl/>
              <w:spacing w:line="360" w:lineRule="auto"/>
              <w:jc w:val="center"/>
              <w:rPr>
                <w:rFonts w:hint="eastAsia" w:ascii="黑体" w:hAnsi="黑体" w:eastAsia="黑体" w:cs="黑体"/>
              </w:rPr>
            </w:pPr>
            <w:r>
              <w:rPr>
                <w:rFonts w:hint="eastAsia" w:ascii="黑体" w:hAnsi="黑体" w:eastAsia="黑体" w:cs="黑体"/>
              </w:rPr>
              <w:t>√</w:t>
            </w:r>
          </w:p>
        </w:tc>
        <w:tc>
          <w:tcPr>
            <w:tcW w:w="519" w:type="dxa"/>
            <w:tcBorders>
              <w:top w:val="nil"/>
              <w:left w:val="nil"/>
              <w:bottom w:val="single" w:color="auto" w:sz="4" w:space="0"/>
              <w:right w:val="single" w:color="auto" w:sz="4" w:space="0"/>
            </w:tcBorders>
            <w:shd w:val="clear" w:color="auto" w:fill="FFC000"/>
            <w:noWrap/>
            <w:vAlign w:val="center"/>
          </w:tcPr>
          <w:p>
            <w:pPr>
              <w:widowControl/>
              <w:spacing w:line="360" w:lineRule="auto"/>
              <w:jc w:val="center"/>
              <w:rPr>
                <w:rFonts w:hint="eastAsia" w:ascii="黑体" w:hAnsi="黑体" w:eastAsia="黑体" w:cs="黑体"/>
              </w:rPr>
            </w:pPr>
            <w:r>
              <w:rPr>
                <w:rFonts w:hint="eastAsia" w:ascii="黑体" w:hAnsi="黑体" w:eastAsia="黑体" w:cs="黑体"/>
              </w:rPr>
              <w:t>√</w:t>
            </w:r>
          </w:p>
        </w:tc>
        <w:tc>
          <w:tcPr>
            <w:tcW w:w="1640" w:type="dxa"/>
            <w:tcBorders>
              <w:top w:val="nil"/>
              <w:left w:val="nil"/>
              <w:bottom w:val="single" w:color="auto" w:sz="4" w:space="0"/>
              <w:right w:val="single" w:color="auto" w:sz="4" w:space="0"/>
            </w:tcBorders>
            <w:shd w:val="clear" w:color="auto" w:fill="FFC000"/>
            <w:noWrap/>
            <w:vAlign w:val="center"/>
          </w:tcPr>
          <w:p>
            <w:pPr>
              <w:widowControl/>
              <w:spacing w:line="360" w:lineRule="auto"/>
              <w:rPr>
                <w:rFonts w:hint="eastAsia" w:ascii="黑体" w:hAnsi="黑体" w:eastAsia="黑体" w:cs="黑体"/>
              </w:rPr>
            </w:pPr>
            <w:r>
              <w:rPr>
                <w:rFonts w:hint="eastAsia" w:ascii="黑体" w:hAnsi="黑体" w:eastAsia="黑体" w:cs="黑体"/>
              </w:rPr>
              <w:t>总账(业务状况表)</w:t>
            </w:r>
          </w:p>
        </w:tc>
        <w:tc>
          <w:tcPr>
            <w:tcW w:w="691" w:type="dxa"/>
            <w:tcBorders>
              <w:top w:val="nil"/>
              <w:left w:val="nil"/>
              <w:bottom w:val="single" w:color="auto" w:sz="4" w:space="0"/>
              <w:right w:val="single" w:color="auto" w:sz="4" w:space="0"/>
            </w:tcBorders>
            <w:shd w:val="clear" w:color="auto" w:fill="FFC000"/>
            <w:noWrap/>
            <w:vAlign w:val="center"/>
          </w:tcPr>
          <w:p>
            <w:pPr>
              <w:widowControl/>
              <w:spacing w:line="360" w:lineRule="auto"/>
              <w:rPr>
                <w:rFonts w:hint="eastAsia" w:ascii="黑体" w:hAnsi="黑体" w:eastAsia="黑体" w:cs="黑体"/>
              </w:rPr>
            </w:pPr>
            <w:r>
              <w:rPr>
                <w:rFonts w:hint="eastAsia" w:ascii="黑体" w:hAnsi="黑体" w:eastAsia="黑体" w:cs="黑体"/>
              </w:rPr>
              <w:t>月报表</w:t>
            </w:r>
          </w:p>
        </w:tc>
      </w:tr>
      <w:tr>
        <w:tblPrEx>
          <w:tblCellMar>
            <w:top w:w="0" w:type="dxa"/>
            <w:left w:w="108" w:type="dxa"/>
            <w:bottom w:w="0" w:type="dxa"/>
            <w:right w:w="108" w:type="dxa"/>
          </w:tblCellMar>
        </w:tblPrEx>
        <w:trPr>
          <w:trHeight w:val="510" w:hRule="atLeast"/>
        </w:trPr>
        <w:tc>
          <w:tcPr>
            <w:tcW w:w="822" w:type="dxa"/>
            <w:tcBorders>
              <w:top w:val="nil"/>
              <w:left w:val="single" w:color="auto" w:sz="4" w:space="0"/>
              <w:bottom w:val="single" w:color="auto" w:sz="4" w:space="0"/>
              <w:right w:val="single" w:color="auto" w:sz="4" w:space="0"/>
            </w:tcBorders>
            <w:shd w:val="clear" w:color="auto" w:fill="FFC000"/>
            <w:noWrap/>
            <w:vAlign w:val="center"/>
          </w:tcPr>
          <w:p>
            <w:pPr>
              <w:widowControl/>
              <w:spacing w:line="360" w:lineRule="auto"/>
              <w:jc w:val="center"/>
              <w:rPr>
                <w:rFonts w:hint="eastAsia" w:ascii="黑体" w:hAnsi="黑体" w:eastAsia="黑体" w:cs="黑体"/>
                <w:kern w:val="0"/>
                <w:sz w:val="22"/>
              </w:rPr>
            </w:pPr>
            <w:r>
              <w:rPr>
                <w:rFonts w:hint="eastAsia" w:ascii="黑体" w:hAnsi="黑体" w:eastAsia="黑体" w:cs="黑体"/>
              </w:rPr>
              <w:fldChar w:fldCharType="begin"/>
            </w:r>
            <w:r>
              <w:rPr>
                <w:rFonts w:hint="eastAsia" w:ascii="黑体" w:hAnsi="黑体" w:eastAsia="黑体" w:cs="黑体"/>
              </w:rPr>
              <w:instrText xml:space="preserve"> HYPERLINK "file:///C:\\Documents%20and%20Settings\\Administrator\\桌面\\工作-华兴项目文档\\监管报送\\20121210\\1104-报表指标_hl-20121206.xls" \l "'G03'!A1" </w:instrText>
            </w:r>
            <w:r>
              <w:rPr>
                <w:rFonts w:hint="eastAsia" w:ascii="黑体" w:hAnsi="黑体" w:eastAsia="黑体" w:cs="黑体"/>
              </w:rPr>
              <w:fldChar w:fldCharType="separate"/>
            </w:r>
            <w:r>
              <w:rPr>
                <w:rFonts w:hint="eastAsia" w:ascii="黑体" w:hAnsi="黑体" w:eastAsia="黑体" w:cs="黑体"/>
                <w:kern w:val="0"/>
                <w:sz w:val="22"/>
              </w:rPr>
              <w:t>G03</w:t>
            </w:r>
            <w:r>
              <w:rPr>
                <w:rFonts w:hint="eastAsia" w:ascii="黑体" w:hAnsi="黑体" w:eastAsia="黑体" w:cs="黑体"/>
                <w:kern w:val="0"/>
                <w:sz w:val="22"/>
              </w:rPr>
              <w:fldChar w:fldCharType="end"/>
            </w:r>
          </w:p>
        </w:tc>
        <w:tc>
          <w:tcPr>
            <w:tcW w:w="4331" w:type="dxa"/>
            <w:tcBorders>
              <w:top w:val="single" w:color="auto" w:sz="4" w:space="0"/>
              <w:left w:val="nil"/>
              <w:bottom w:val="single" w:color="auto" w:sz="4" w:space="0"/>
              <w:right w:val="single" w:color="auto" w:sz="4" w:space="0"/>
            </w:tcBorders>
            <w:shd w:val="clear" w:color="auto" w:fill="FFC000"/>
            <w:noWrap/>
            <w:vAlign w:val="center"/>
          </w:tcPr>
          <w:p>
            <w:pPr>
              <w:widowControl/>
              <w:spacing w:line="360" w:lineRule="auto"/>
              <w:rPr>
                <w:rFonts w:hint="eastAsia" w:ascii="黑体" w:hAnsi="黑体" w:eastAsia="黑体" w:cs="黑体"/>
              </w:rPr>
            </w:pPr>
            <w:r>
              <w:rPr>
                <w:rFonts w:hint="eastAsia" w:ascii="黑体" w:hAnsi="黑体" w:eastAsia="黑体" w:cs="黑体"/>
              </w:rPr>
              <w:t>各项资产减值损失准备情况表</w:t>
            </w:r>
          </w:p>
        </w:tc>
        <w:tc>
          <w:tcPr>
            <w:tcW w:w="519" w:type="dxa"/>
            <w:tcBorders>
              <w:top w:val="nil"/>
              <w:left w:val="nil"/>
              <w:bottom w:val="single" w:color="auto" w:sz="4" w:space="0"/>
              <w:right w:val="single" w:color="auto" w:sz="4" w:space="0"/>
            </w:tcBorders>
            <w:shd w:val="clear" w:color="auto" w:fill="FFC000"/>
            <w:noWrap/>
            <w:vAlign w:val="center"/>
          </w:tcPr>
          <w:p>
            <w:pPr>
              <w:widowControl/>
              <w:spacing w:line="360" w:lineRule="auto"/>
              <w:jc w:val="center"/>
              <w:rPr>
                <w:rFonts w:hint="eastAsia" w:ascii="黑体" w:hAnsi="黑体" w:eastAsia="黑体" w:cs="黑体"/>
              </w:rPr>
            </w:pPr>
            <w:r>
              <w:rPr>
                <w:rFonts w:hint="eastAsia" w:ascii="黑体" w:hAnsi="黑体" w:eastAsia="黑体" w:cs="黑体"/>
              </w:rPr>
              <w:t>√</w:t>
            </w:r>
          </w:p>
        </w:tc>
        <w:tc>
          <w:tcPr>
            <w:tcW w:w="519" w:type="dxa"/>
            <w:tcBorders>
              <w:top w:val="nil"/>
              <w:left w:val="nil"/>
              <w:bottom w:val="single" w:color="auto" w:sz="4" w:space="0"/>
              <w:right w:val="single" w:color="auto" w:sz="4" w:space="0"/>
            </w:tcBorders>
            <w:shd w:val="clear" w:color="auto" w:fill="FFC000"/>
            <w:noWrap/>
            <w:vAlign w:val="center"/>
          </w:tcPr>
          <w:p>
            <w:pPr>
              <w:widowControl/>
              <w:spacing w:line="360" w:lineRule="auto"/>
              <w:jc w:val="center"/>
              <w:rPr>
                <w:rFonts w:hint="eastAsia" w:ascii="黑体" w:hAnsi="黑体" w:eastAsia="黑体" w:cs="黑体"/>
              </w:rPr>
            </w:pPr>
          </w:p>
        </w:tc>
        <w:tc>
          <w:tcPr>
            <w:tcW w:w="1640" w:type="dxa"/>
            <w:tcBorders>
              <w:top w:val="nil"/>
              <w:left w:val="nil"/>
              <w:bottom w:val="single" w:color="auto" w:sz="4" w:space="0"/>
              <w:right w:val="single" w:color="auto" w:sz="4" w:space="0"/>
            </w:tcBorders>
            <w:shd w:val="clear" w:color="auto" w:fill="FFC000"/>
            <w:noWrap/>
            <w:vAlign w:val="center"/>
          </w:tcPr>
          <w:p>
            <w:pPr>
              <w:widowControl/>
              <w:spacing w:line="360" w:lineRule="auto"/>
              <w:rPr>
                <w:rFonts w:hint="eastAsia" w:ascii="黑体" w:hAnsi="黑体" w:eastAsia="黑体" w:cs="黑体"/>
              </w:rPr>
            </w:pPr>
            <w:r>
              <w:rPr>
                <w:rFonts w:hint="eastAsia" w:ascii="黑体" w:hAnsi="黑体" w:eastAsia="黑体" w:cs="黑体"/>
              </w:rPr>
              <w:t>总账(业务状况表)</w:t>
            </w:r>
          </w:p>
        </w:tc>
        <w:tc>
          <w:tcPr>
            <w:tcW w:w="691" w:type="dxa"/>
            <w:tcBorders>
              <w:top w:val="nil"/>
              <w:left w:val="nil"/>
              <w:bottom w:val="single" w:color="auto" w:sz="4" w:space="0"/>
              <w:right w:val="single" w:color="auto" w:sz="4" w:space="0"/>
            </w:tcBorders>
            <w:shd w:val="clear" w:color="auto" w:fill="FFC000"/>
            <w:noWrap/>
            <w:vAlign w:val="center"/>
          </w:tcPr>
          <w:p>
            <w:pPr>
              <w:widowControl/>
              <w:spacing w:line="360" w:lineRule="auto"/>
              <w:rPr>
                <w:rFonts w:hint="eastAsia" w:ascii="黑体" w:hAnsi="黑体" w:eastAsia="黑体" w:cs="黑体"/>
              </w:rPr>
            </w:pPr>
            <w:r>
              <w:rPr>
                <w:rFonts w:hint="eastAsia" w:ascii="黑体" w:hAnsi="黑体" w:eastAsia="黑体" w:cs="黑体"/>
              </w:rPr>
              <w:t>月报表</w:t>
            </w:r>
          </w:p>
        </w:tc>
      </w:tr>
    </w:tbl>
    <w:p>
      <w:pPr>
        <w:pStyle w:val="4"/>
        <w:spacing w:line="360" w:lineRule="auto"/>
        <w:rPr>
          <w:rFonts w:hint="eastAsia" w:ascii="黑体" w:hAnsi="黑体" w:eastAsia="黑体" w:cs="黑体"/>
        </w:rPr>
      </w:pPr>
      <w:bookmarkStart w:id="98" w:name="_Toc343525829"/>
      <w:r>
        <w:rPr>
          <w:rFonts w:hint="eastAsia" w:ascii="黑体" w:hAnsi="黑体" w:eastAsia="黑体" w:cs="黑体"/>
        </w:rPr>
        <w:t>表样格式需求分析</w:t>
      </w:r>
      <w:bookmarkEnd w:id="98"/>
    </w:p>
    <w:p>
      <w:pPr>
        <w:spacing w:line="360" w:lineRule="auto"/>
        <w:rPr>
          <w:rFonts w:hint="eastAsia" w:ascii="黑体" w:hAnsi="黑体" w:eastAsia="黑体" w:cs="黑体"/>
        </w:rPr>
      </w:pPr>
      <w:r>
        <w:rPr>
          <w:rFonts w:hint="eastAsia" w:ascii="黑体" w:hAnsi="黑体" w:eastAsia="黑体" w:cs="黑体"/>
        </w:rPr>
        <w:t>以银监会提供的表样为主，并标准化格式上报，详细附件</w:t>
      </w:r>
    </w:p>
    <w:p>
      <w:pPr>
        <w:spacing w:line="360" w:lineRule="auto"/>
        <w:rPr>
          <w:rFonts w:hint="eastAsia" w:ascii="黑体" w:hAnsi="黑体" w:eastAsia="黑体" w:cs="黑体"/>
        </w:rPr>
      </w:pPr>
    </w:p>
    <w:p>
      <w:pPr>
        <w:spacing w:line="360" w:lineRule="auto"/>
        <w:rPr>
          <w:rFonts w:hint="eastAsia" w:ascii="黑体" w:hAnsi="黑体" w:eastAsia="黑体" w:cs="黑体"/>
        </w:rPr>
      </w:pPr>
      <w:r>
        <w:rPr>
          <w:rFonts w:hint="eastAsia" w:ascii="黑体" w:hAnsi="黑体" w:eastAsia="黑体" w:cs="黑体"/>
        </w:rPr>
        <w:t>附：监管报送数据分析接口</w:t>
      </w:r>
    </w:p>
    <w:p>
      <w:pPr>
        <w:spacing w:line="360" w:lineRule="auto"/>
        <w:rPr>
          <w:rFonts w:hint="eastAsia" w:ascii="黑体" w:hAnsi="黑体" w:eastAsia="黑体" w:cs="黑体"/>
        </w:rPr>
      </w:pPr>
    </w:p>
    <w:p>
      <w:pPr>
        <w:spacing w:line="360" w:lineRule="auto"/>
        <w:rPr>
          <w:rFonts w:hint="eastAsia" w:ascii="黑体" w:hAnsi="黑体" w:eastAsia="黑体" w:cs="黑体"/>
        </w:rPr>
      </w:pPr>
      <w:r>
        <w:rPr>
          <w:rFonts w:hint="eastAsia" w:ascii="黑体" w:hAnsi="黑体" w:eastAsia="黑体" w:cs="黑体"/>
        </w:rPr>
        <w:pict>
          <v:shape id="_x0000_s1028" o:spid="_x0000_s1028" o:spt="75" type="#_x0000_t75" style="position:absolute;left:0pt;margin-left:127.5pt;margin-top:9.4pt;height:48.4pt;width:77.2pt;mso-wrap-distance-bottom:0pt;mso-wrap-distance-left:9pt;mso-wrap-distance-right:9pt;mso-wrap-distance-top:0pt;z-index:251660288;mso-width-relative:page;mso-height-relative:page;" o:ole="t" filled="f" o:preferrelative="t" stroked="f" coordsize="21600,21600">
            <v:path/>
            <v:fill on="f" focussize="0,0"/>
            <v:stroke on="f" joinstyle="miter"/>
            <v:imagedata r:id="rId10" o:title=""/>
            <o:lock v:ext="edit" aspectratio="t"/>
            <w10:wrap type="square"/>
          </v:shape>
          <o:OLEObject Type="Embed" ProgID="Excel.Sheet.8" ShapeID="_x0000_s1028" DrawAspect="Icon" ObjectID="_1468075726" r:id="rId9">
            <o:LockedField>false</o:LockedField>
          </o:OLEObject>
        </w:pict>
      </w:r>
    </w:p>
    <w:p>
      <w:pPr>
        <w:spacing w:line="360" w:lineRule="auto"/>
        <w:rPr>
          <w:rFonts w:hint="eastAsia" w:ascii="黑体" w:hAnsi="黑体" w:eastAsia="黑体" w:cs="黑体"/>
        </w:rPr>
      </w:pPr>
    </w:p>
    <w:p>
      <w:pPr>
        <w:spacing w:line="360" w:lineRule="auto"/>
        <w:rPr>
          <w:rFonts w:hint="eastAsia" w:ascii="黑体" w:hAnsi="黑体" w:eastAsia="黑体" w:cs="黑体"/>
        </w:rPr>
      </w:pPr>
      <w:r>
        <w:rPr>
          <w:rFonts w:hint="eastAsia" w:ascii="黑体" w:hAnsi="黑体" w:eastAsia="黑体" w:cs="黑体"/>
        </w:rPr>
        <w:pict>
          <v:shape id="_x0000_s1027" o:spid="_x0000_s1027" o:spt="75" type="#_x0000_t75" style="position:absolute;left:0pt;margin-left:20.7pt;margin-top:-32.6pt;height:51.95pt;width:82.4pt;mso-wrap-distance-bottom:0pt;mso-wrap-distance-left:9pt;mso-wrap-distance-right:9pt;mso-wrap-distance-top:0pt;z-index:251660288;mso-width-relative:page;mso-height-relative:page;" o:ole="t" filled="f" o:preferrelative="t" stroked="f" coordsize="21600,21600">
            <v:path/>
            <v:fill on="f" focussize="0,0"/>
            <v:stroke on="f" joinstyle="miter"/>
            <v:imagedata r:id="rId12" o:title=""/>
            <o:lock v:ext="edit" aspectratio="t"/>
            <w10:wrap type="square"/>
          </v:shape>
          <o:OLEObject Type="Embed" ProgID="Excel.Sheet.8" ShapeID="_x0000_s1027" DrawAspect="Icon" ObjectID="_1468075727" r:id="rId11">
            <o:LockedField>false</o:LockedField>
          </o:OLEObject>
        </w:pict>
      </w:r>
    </w:p>
    <w:p>
      <w:pPr>
        <w:spacing w:line="360" w:lineRule="auto"/>
        <w:rPr>
          <w:rFonts w:hint="eastAsia" w:ascii="黑体" w:hAnsi="黑体" w:eastAsia="黑体" w:cs="黑体"/>
        </w:rPr>
      </w:pPr>
    </w:p>
    <w:p>
      <w:pPr>
        <w:spacing w:line="360" w:lineRule="auto"/>
        <w:rPr>
          <w:rFonts w:hint="eastAsia" w:ascii="黑体" w:hAnsi="黑体" w:eastAsia="黑体" w:cs="黑体"/>
        </w:rPr>
      </w:pPr>
      <w:r>
        <w:rPr>
          <w:rFonts w:hint="eastAsia" w:ascii="黑体" w:hAnsi="黑体" w:eastAsia="黑体" w:cs="黑体"/>
        </w:rPr>
        <w:t>附：人行统计报送数据分析接口</w:t>
      </w:r>
    </w:p>
    <w:p>
      <w:pPr>
        <w:spacing w:line="360" w:lineRule="auto"/>
        <w:rPr>
          <w:rFonts w:hint="eastAsia" w:ascii="黑体" w:hAnsi="黑体" w:eastAsia="黑体" w:cs="黑体"/>
        </w:rPr>
      </w:pPr>
    </w:p>
    <w:p>
      <w:pPr>
        <w:spacing w:line="360" w:lineRule="auto"/>
        <w:rPr>
          <w:rFonts w:hint="eastAsia" w:ascii="黑体" w:hAnsi="黑体" w:eastAsia="黑体" w:cs="黑体"/>
        </w:rPr>
      </w:pPr>
    </w:p>
    <w:p>
      <w:pPr>
        <w:spacing w:line="360" w:lineRule="auto"/>
        <w:rPr>
          <w:rFonts w:hint="eastAsia" w:ascii="黑体" w:hAnsi="黑体" w:eastAsia="黑体" w:cs="黑体"/>
        </w:rPr>
      </w:pPr>
    </w:p>
    <w:p>
      <w:pPr>
        <w:spacing w:line="360" w:lineRule="auto"/>
        <w:rPr>
          <w:rFonts w:hint="eastAsia" w:ascii="黑体" w:hAnsi="黑体" w:eastAsia="黑体" w:cs="黑体"/>
        </w:rPr>
      </w:pPr>
      <w:bookmarkStart w:id="99" w:name="_GoBack"/>
      <w:bookmarkEnd w:id="99"/>
      <w:r>
        <w:rPr>
          <w:rFonts w:hint="eastAsia" w:ascii="黑体" w:hAnsi="黑体" w:eastAsia="黑体" w:cs="黑体"/>
        </w:rPr>
        <w:pict>
          <v:shape id="_x0000_s1026" o:spid="_x0000_s1026" o:spt="75" type="#_x0000_t75" style="position:absolute;left:0pt;margin-left:20.7pt;margin-top:-32.3pt;height:48.4pt;width:77.2pt;mso-wrap-distance-bottom:0pt;mso-wrap-distance-left:9pt;mso-wrap-distance-right:9pt;mso-wrap-distance-top:0pt;z-index:251659264;mso-width-relative:page;mso-height-relative:page;" o:ole="t" filled="f" o:preferrelative="t" stroked="f" coordsize="21600,21600">
            <v:path/>
            <v:fill on="f" focussize="0,0"/>
            <v:stroke on="f" joinstyle="miter"/>
            <v:imagedata r:id="rId14" o:title=""/>
            <o:lock v:ext="edit" aspectratio="t"/>
            <w10:wrap type="square"/>
          </v:shape>
          <o:OLEObject Type="Embed" ProgID="Excel.Sheet.8" ShapeID="_x0000_s1026" DrawAspect="Icon" ObjectID="_1468075728" r:id="rId13">
            <o:LockedField>false</o:LockedField>
          </o:OLEObject>
        </w:pict>
      </w:r>
    </w:p>
    <w:p>
      <w:pPr>
        <w:spacing w:line="360" w:lineRule="auto"/>
        <w:rPr>
          <w:rFonts w:hint="eastAsia" w:ascii="黑体" w:hAnsi="黑体" w:eastAsia="黑体" w:cs="黑体"/>
        </w:rPr>
      </w:pPr>
    </w:p>
    <w:sectPr>
      <w:headerReference r:id="rId4" w:type="first"/>
      <w:headerReference r:id="rId3" w:type="default"/>
      <w:footerReference r:id="rId5"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楷体_GB2312">
    <w:altName w:val="楷体"/>
    <w:panose1 w:val="00000000000000000000"/>
    <w:charset w:val="86"/>
    <w:family w:val="modern"/>
    <w:pitch w:val="default"/>
    <w:sig w:usb0="00000000" w:usb1="00000000" w:usb2="00000010" w:usb3="00000000" w:csb0="00040000" w:csb1="00000000"/>
  </w:font>
  <w:font w:name="Book Antiqua">
    <w:panose1 w:val="02040602050305030304"/>
    <w:charset w:val="00"/>
    <w:family w:val="roman"/>
    <w:pitch w:val="default"/>
    <w:sig w:usb0="00000287" w:usb1="00000000" w:usb2="00000000" w:usb3="00000000" w:csb0="2000009F" w:csb1="DFD7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rPr>
        <w:rFonts w:hint="eastAsia" w:eastAsia="宋体"/>
        <w:lang w:eastAsia="zh-CN"/>
      </w:rPr>
    </w:pPr>
    <w:r>
      <w:rPr>
        <w:rFonts w:hint="eastAsia"/>
        <w:lang w:eastAsia="zh-CN"/>
      </w:rPr>
      <w:t>文案大全</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rPr>
        <w:rFonts w:hint="eastAsia" w:eastAsia="宋体"/>
        <w:lang w:eastAsia="zh-CN"/>
      </w:rPr>
    </w:pPr>
    <w:r>
      <w:rPr>
        <w:rFonts w:hint="eastAsia"/>
        <w:lang w:eastAsia="zh-CN"/>
      </w:rPr>
      <w:t>实用文档</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ind w:firstLine="3330" w:firstLineChars="1850"/>
      <w:jc w:val="left"/>
    </w:pPr>
    <w:r>
      <w:rPr>
        <w:rFonts w:hint="eastAsia"/>
      </w:rPr>
      <w:t>监管报送系统需求说明书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3"/>
    <w:multiLevelType w:val="singleLevel"/>
    <w:tmpl w:val="00000003"/>
    <w:lvl w:ilvl="0" w:tentative="0">
      <w:start w:val="1"/>
      <w:numFmt w:val="bullet"/>
      <w:lvlText w:val=""/>
      <w:lvlJc w:val="left"/>
      <w:pPr>
        <w:tabs>
          <w:tab w:val="left" w:pos="420"/>
        </w:tabs>
        <w:ind w:left="420" w:hanging="420"/>
      </w:pPr>
      <w:rPr>
        <w:rFonts w:hint="default" w:ascii="Wingdings" w:hAnsi="Wingdings"/>
      </w:rPr>
    </w:lvl>
  </w:abstractNum>
  <w:abstractNum w:abstractNumId="1">
    <w:nsid w:val="00000005"/>
    <w:multiLevelType w:val="multilevel"/>
    <w:tmpl w:val="00000005"/>
    <w:lvl w:ilvl="0" w:tentative="0">
      <w:start w:val="1"/>
      <w:numFmt w:val="decimal"/>
      <w:pStyle w:val="2"/>
      <w:lvlText w:val="%1"/>
      <w:lvlJc w:val="left"/>
      <w:pPr>
        <w:ind w:left="432" w:hanging="432"/>
      </w:pPr>
      <w:rPr>
        <w:rFonts w:hint="eastAsia"/>
      </w:rPr>
    </w:lvl>
    <w:lvl w:ilvl="1" w:tentative="0">
      <w:start w:val="1"/>
      <w:numFmt w:val="decimal"/>
      <w:pStyle w:val="3"/>
      <w:lvlText w:val="%1.%2"/>
      <w:lvlJc w:val="left"/>
      <w:pPr>
        <w:ind w:left="576" w:hanging="576"/>
      </w:pPr>
      <w:rPr>
        <w:rFonts w:hint="eastAsia"/>
      </w:rPr>
    </w:lvl>
    <w:lvl w:ilvl="2" w:tentative="0">
      <w:start w:val="1"/>
      <w:numFmt w:val="decimal"/>
      <w:pStyle w:val="4"/>
      <w:lvlText w:val="%1.%2.%3"/>
      <w:lvlJc w:val="left"/>
      <w:pPr>
        <w:ind w:left="720" w:hanging="720"/>
      </w:pPr>
      <w:rPr>
        <w:rFonts w:hint="eastAsia"/>
        <w:lang w:val="en-US"/>
      </w:rPr>
    </w:lvl>
    <w:lvl w:ilvl="3" w:tentative="0">
      <w:start w:val="1"/>
      <w:numFmt w:val="decimal"/>
      <w:pStyle w:val="5"/>
      <w:lvlText w:val="%1.%2.%3.%4"/>
      <w:lvlJc w:val="left"/>
      <w:pPr>
        <w:ind w:left="1006" w:hanging="864"/>
      </w:pPr>
      <w:rPr>
        <w:rFonts w:hint="eastAsia"/>
      </w:rPr>
    </w:lvl>
    <w:lvl w:ilvl="4" w:tentative="0">
      <w:start w:val="1"/>
      <w:numFmt w:val="decimal"/>
      <w:pStyle w:val="6"/>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2">
    <w:nsid w:val="00000006"/>
    <w:multiLevelType w:val="singleLevel"/>
    <w:tmpl w:val="00000006"/>
    <w:lvl w:ilvl="0" w:tentative="0">
      <w:start w:val="1"/>
      <w:numFmt w:val="bullet"/>
      <w:lvlText w:val=""/>
      <w:lvlJc w:val="left"/>
      <w:pPr>
        <w:tabs>
          <w:tab w:val="left" w:pos="420"/>
        </w:tabs>
        <w:ind w:left="420" w:hanging="420"/>
      </w:pPr>
      <w:rPr>
        <w:rFonts w:hint="default" w:ascii="Wingdings" w:hAnsi="Wingdings"/>
      </w:rPr>
    </w:lvl>
  </w:abstractNum>
  <w:abstractNum w:abstractNumId="3">
    <w:nsid w:val="1EAF5722"/>
    <w:multiLevelType w:val="multilevel"/>
    <w:tmpl w:val="1EAF5722"/>
    <w:lvl w:ilvl="0" w:tentative="0">
      <w:start w:val="1"/>
      <w:numFmt w:val="decimal"/>
      <w:lvlText w:val="%1)"/>
      <w:lvlJc w:val="left"/>
      <w:pPr>
        <w:tabs>
          <w:tab w:val="left" w:pos="840"/>
        </w:tabs>
        <w:ind w:left="954" w:hanging="114"/>
      </w:pPr>
      <w:rPr>
        <w:rFonts w:hint="eastAsia"/>
      </w:rPr>
    </w:lvl>
    <w:lvl w:ilvl="1" w:tentative="0">
      <w:start w:val="1"/>
      <w:numFmt w:val="lowerLetter"/>
      <w:lvlText w:val="%2)"/>
      <w:lvlJc w:val="left"/>
      <w:pPr>
        <w:tabs>
          <w:tab w:val="left" w:pos="1000"/>
        </w:tabs>
        <w:ind w:left="1000" w:hanging="420"/>
      </w:pPr>
    </w:lvl>
    <w:lvl w:ilvl="2" w:tentative="0">
      <w:start w:val="1"/>
      <w:numFmt w:val="lowerRoman"/>
      <w:lvlText w:val="%3."/>
      <w:lvlJc w:val="right"/>
      <w:pPr>
        <w:tabs>
          <w:tab w:val="left" w:pos="1420"/>
        </w:tabs>
        <w:ind w:left="1420" w:hanging="420"/>
      </w:pPr>
    </w:lvl>
    <w:lvl w:ilvl="3" w:tentative="0">
      <w:start w:val="1"/>
      <w:numFmt w:val="decimal"/>
      <w:lvlText w:val="%4."/>
      <w:lvlJc w:val="left"/>
      <w:pPr>
        <w:tabs>
          <w:tab w:val="left" w:pos="1840"/>
        </w:tabs>
        <w:ind w:left="1840" w:hanging="420"/>
      </w:pPr>
    </w:lvl>
    <w:lvl w:ilvl="4" w:tentative="0">
      <w:start w:val="1"/>
      <w:numFmt w:val="lowerLetter"/>
      <w:lvlText w:val="%5)"/>
      <w:lvlJc w:val="left"/>
      <w:pPr>
        <w:tabs>
          <w:tab w:val="left" w:pos="2260"/>
        </w:tabs>
        <w:ind w:left="2260" w:hanging="420"/>
      </w:pPr>
    </w:lvl>
    <w:lvl w:ilvl="5" w:tentative="0">
      <w:start w:val="1"/>
      <w:numFmt w:val="lowerRoman"/>
      <w:lvlText w:val="%6."/>
      <w:lvlJc w:val="right"/>
      <w:pPr>
        <w:tabs>
          <w:tab w:val="left" w:pos="2680"/>
        </w:tabs>
        <w:ind w:left="2680" w:hanging="420"/>
      </w:pPr>
    </w:lvl>
    <w:lvl w:ilvl="6" w:tentative="0">
      <w:start w:val="1"/>
      <w:numFmt w:val="decimal"/>
      <w:lvlText w:val="%7."/>
      <w:lvlJc w:val="left"/>
      <w:pPr>
        <w:tabs>
          <w:tab w:val="left" w:pos="3100"/>
        </w:tabs>
        <w:ind w:left="3100" w:hanging="420"/>
      </w:pPr>
    </w:lvl>
    <w:lvl w:ilvl="7" w:tentative="0">
      <w:start w:val="1"/>
      <w:numFmt w:val="lowerLetter"/>
      <w:lvlText w:val="%8)"/>
      <w:lvlJc w:val="left"/>
      <w:pPr>
        <w:tabs>
          <w:tab w:val="left" w:pos="3520"/>
        </w:tabs>
        <w:ind w:left="3520" w:hanging="420"/>
      </w:pPr>
    </w:lvl>
    <w:lvl w:ilvl="8" w:tentative="0">
      <w:start w:val="1"/>
      <w:numFmt w:val="lowerRoman"/>
      <w:lvlText w:val="%9."/>
      <w:lvlJc w:val="right"/>
      <w:pPr>
        <w:tabs>
          <w:tab w:val="left" w:pos="3940"/>
        </w:tabs>
        <w:ind w:left="3940" w:hanging="420"/>
      </w:pPr>
    </w:lvl>
  </w:abstractNum>
  <w:abstractNum w:abstractNumId="4">
    <w:nsid w:val="29B5415B"/>
    <w:multiLevelType w:val="multilevel"/>
    <w:tmpl w:val="29B5415B"/>
    <w:lvl w:ilvl="0" w:tentative="0">
      <w:start w:val="1"/>
      <w:numFmt w:val="decimalEnclosedCircle"/>
      <w:lvlText w:val="%1"/>
      <w:lvlJc w:val="left"/>
      <w:pPr>
        <w:tabs>
          <w:tab w:val="left" w:pos="2340"/>
        </w:tabs>
        <w:ind w:left="1096" w:firstLine="524"/>
      </w:pPr>
      <w:rPr>
        <w:rFonts w:hint="eastAsia"/>
      </w:rPr>
    </w:lvl>
    <w:lvl w:ilvl="1" w:tentative="0">
      <w:start w:val="1"/>
      <w:numFmt w:val="bullet"/>
      <w:lvlText w:val=""/>
      <w:lvlJc w:val="left"/>
      <w:pPr>
        <w:tabs>
          <w:tab w:val="left" w:pos="2460"/>
        </w:tabs>
        <w:ind w:left="2460" w:hanging="420"/>
      </w:pPr>
      <w:rPr>
        <w:rFonts w:hint="default" w:ascii="Wingdings" w:hAnsi="Wingdings"/>
      </w:rPr>
    </w:lvl>
    <w:lvl w:ilvl="2" w:tentative="0">
      <w:start w:val="1"/>
      <w:numFmt w:val="bullet"/>
      <w:lvlText w:val=""/>
      <w:lvlJc w:val="left"/>
      <w:pPr>
        <w:tabs>
          <w:tab w:val="left" w:pos="2880"/>
        </w:tabs>
        <w:ind w:left="2880" w:hanging="420"/>
      </w:pPr>
      <w:rPr>
        <w:rFonts w:hint="default" w:ascii="Wingdings" w:hAnsi="Wingdings"/>
      </w:rPr>
    </w:lvl>
    <w:lvl w:ilvl="3" w:tentative="0">
      <w:start w:val="1"/>
      <w:numFmt w:val="bullet"/>
      <w:lvlText w:val=""/>
      <w:lvlJc w:val="left"/>
      <w:pPr>
        <w:tabs>
          <w:tab w:val="left" w:pos="3300"/>
        </w:tabs>
        <w:ind w:left="3300" w:hanging="420"/>
      </w:pPr>
      <w:rPr>
        <w:rFonts w:hint="default" w:ascii="Wingdings" w:hAnsi="Wingdings"/>
      </w:rPr>
    </w:lvl>
    <w:lvl w:ilvl="4" w:tentative="0">
      <w:start w:val="1"/>
      <w:numFmt w:val="bullet"/>
      <w:lvlText w:val=""/>
      <w:lvlJc w:val="left"/>
      <w:pPr>
        <w:tabs>
          <w:tab w:val="left" w:pos="3720"/>
        </w:tabs>
        <w:ind w:left="3720" w:hanging="420"/>
      </w:pPr>
      <w:rPr>
        <w:rFonts w:hint="default" w:ascii="Wingdings" w:hAnsi="Wingdings"/>
      </w:rPr>
    </w:lvl>
    <w:lvl w:ilvl="5" w:tentative="0">
      <w:start w:val="1"/>
      <w:numFmt w:val="bullet"/>
      <w:lvlText w:val=""/>
      <w:lvlJc w:val="left"/>
      <w:pPr>
        <w:tabs>
          <w:tab w:val="left" w:pos="4140"/>
        </w:tabs>
        <w:ind w:left="4140" w:hanging="420"/>
      </w:pPr>
      <w:rPr>
        <w:rFonts w:hint="default" w:ascii="Wingdings" w:hAnsi="Wingdings"/>
      </w:rPr>
    </w:lvl>
    <w:lvl w:ilvl="6" w:tentative="0">
      <w:start w:val="1"/>
      <w:numFmt w:val="bullet"/>
      <w:lvlText w:val=""/>
      <w:lvlJc w:val="left"/>
      <w:pPr>
        <w:tabs>
          <w:tab w:val="left" w:pos="4560"/>
        </w:tabs>
        <w:ind w:left="4560" w:hanging="420"/>
      </w:pPr>
      <w:rPr>
        <w:rFonts w:hint="default" w:ascii="Wingdings" w:hAnsi="Wingdings"/>
      </w:rPr>
    </w:lvl>
    <w:lvl w:ilvl="7" w:tentative="0">
      <w:start w:val="1"/>
      <w:numFmt w:val="bullet"/>
      <w:lvlText w:val=""/>
      <w:lvlJc w:val="left"/>
      <w:pPr>
        <w:tabs>
          <w:tab w:val="left" w:pos="4980"/>
        </w:tabs>
        <w:ind w:left="4980" w:hanging="420"/>
      </w:pPr>
      <w:rPr>
        <w:rFonts w:hint="default" w:ascii="Wingdings" w:hAnsi="Wingdings"/>
      </w:rPr>
    </w:lvl>
    <w:lvl w:ilvl="8" w:tentative="0">
      <w:start w:val="1"/>
      <w:numFmt w:val="bullet"/>
      <w:lvlText w:val=""/>
      <w:lvlJc w:val="left"/>
      <w:pPr>
        <w:tabs>
          <w:tab w:val="left" w:pos="5400"/>
        </w:tabs>
        <w:ind w:left="5400" w:hanging="420"/>
      </w:pPr>
      <w:rPr>
        <w:rFonts w:hint="default" w:ascii="Wingdings" w:hAnsi="Wingdings"/>
      </w:rPr>
    </w:lvl>
  </w:abstractNum>
  <w:abstractNum w:abstractNumId="5">
    <w:nsid w:val="2F53395F"/>
    <w:multiLevelType w:val="multilevel"/>
    <w:tmpl w:val="2F53395F"/>
    <w:lvl w:ilvl="0" w:tentative="0">
      <w:start w:val="1"/>
      <w:numFmt w:val="decimal"/>
      <w:lvlText w:val="%1)"/>
      <w:lvlJc w:val="left"/>
      <w:pPr>
        <w:tabs>
          <w:tab w:val="left" w:pos="840"/>
        </w:tabs>
        <w:ind w:left="954" w:hanging="114"/>
      </w:pPr>
      <w:rPr>
        <w:rFonts w:hint="eastAsia"/>
      </w:rPr>
    </w:lvl>
    <w:lvl w:ilvl="1" w:tentative="0">
      <w:start w:val="1"/>
      <w:numFmt w:val="lowerLetter"/>
      <w:lvlText w:val="%2)"/>
      <w:lvlJc w:val="left"/>
      <w:pPr>
        <w:tabs>
          <w:tab w:val="left" w:pos="1000"/>
        </w:tabs>
        <w:ind w:left="1000" w:hanging="420"/>
      </w:pPr>
    </w:lvl>
    <w:lvl w:ilvl="2" w:tentative="0">
      <w:start w:val="1"/>
      <w:numFmt w:val="lowerRoman"/>
      <w:lvlText w:val="%3."/>
      <w:lvlJc w:val="right"/>
      <w:pPr>
        <w:tabs>
          <w:tab w:val="left" w:pos="1420"/>
        </w:tabs>
        <w:ind w:left="1420" w:hanging="420"/>
      </w:pPr>
    </w:lvl>
    <w:lvl w:ilvl="3" w:tentative="0">
      <w:start w:val="1"/>
      <w:numFmt w:val="decimal"/>
      <w:lvlText w:val="%4."/>
      <w:lvlJc w:val="left"/>
      <w:pPr>
        <w:tabs>
          <w:tab w:val="left" w:pos="1840"/>
        </w:tabs>
        <w:ind w:left="1840" w:hanging="420"/>
      </w:pPr>
    </w:lvl>
    <w:lvl w:ilvl="4" w:tentative="0">
      <w:start w:val="1"/>
      <w:numFmt w:val="lowerLetter"/>
      <w:lvlText w:val="%5)"/>
      <w:lvlJc w:val="left"/>
      <w:pPr>
        <w:tabs>
          <w:tab w:val="left" w:pos="2260"/>
        </w:tabs>
        <w:ind w:left="2260" w:hanging="420"/>
      </w:pPr>
    </w:lvl>
    <w:lvl w:ilvl="5" w:tentative="0">
      <w:start w:val="1"/>
      <w:numFmt w:val="lowerRoman"/>
      <w:lvlText w:val="%6."/>
      <w:lvlJc w:val="right"/>
      <w:pPr>
        <w:tabs>
          <w:tab w:val="left" w:pos="2680"/>
        </w:tabs>
        <w:ind w:left="2680" w:hanging="420"/>
      </w:pPr>
    </w:lvl>
    <w:lvl w:ilvl="6" w:tentative="0">
      <w:start w:val="1"/>
      <w:numFmt w:val="decimal"/>
      <w:lvlText w:val="%7."/>
      <w:lvlJc w:val="left"/>
      <w:pPr>
        <w:tabs>
          <w:tab w:val="left" w:pos="3100"/>
        </w:tabs>
        <w:ind w:left="3100" w:hanging="420"/>
      </w:pPr>
    </w:lvl>
    <w:lvl w:ilvl="7" w:tentative="0">
      <w:start w:val="1"/>
      <w:numFmt w:val="lowerLetter"/>
      <w:lvlText w:val="%8)"/>
      <w:lvlJc w:val="left"/>
      <w:pPr>
        <w:tabs>
          <w:tab w:val="left" w:pos="3520"/>
        </w:tabs>
        <w:ind w:left="3520" w:hanging="420"/>
      </w:pPr>
    </w:lvl>
    <w:lvl w:ilvl="8" w:tentative="0">
      <w:start w:val="1"/>
      <w:numFmt w:val="lowerRoman"/>
      <w:lvlText w:val="%9."/>
      <w:lvlJc w:val="right"/>
      <w:pPr>
        <w:tabs>
          <w:tab w:val="left" w:pos="3940"/>
        </w:tabs>
        <w:ind w:left="3940" w:hanging="420"/>
      </w:pPr>
    </w:lvl>
  </w:abstractNum>
  <w:abstractNum w:abstractNumId="6">
    <w:nsid w:val="30A13FE1"/>
    <w:multiLevelType w:val="multilevel"/>
    <w:tmpl w:val="30A13FE1"/>
    <w:lvl w:ilvl="0" w:tentative="0">
      <w:start w:val="1"/>
      <w:numFmt w:val="bullet"/>
      <w:lvlText w:val=""/>
      <w:lvlJc w:val="left"/>
      <w:pPr>
        <w:tabs>
          <w:tab w:val="left" w:pos="1400"/>
        </w:tabs>
        <w:ind w:left="1400" w:hanging="420"/>
      </w:pPr>
      <w:rPr>
        <w:rFonts w:hint="default" w:ascii="Wingdings" w:hAnsi="Wingdings"/>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7">
    <w:nsid w:val="375C7F41"/>
    <w:multiLevelType w:val="multilevel"/>
    <w:tmpl w:val="375C7F41"/>
    <w:lvl w:ilvl="0" w:tentative="0">
      <w:start w:val="1"/>
      <w:numFmt w:val="decimal"/>
      <w:pStyle w:val="71"/>
      <w:lvlText w:val="%1."/>
      <w:lvlJc w:val="left"/>
      <w:pPr>
        <w:tabs>
          <w:tab w:val="left" w:pos="425"/>
        </w:tabs>
        <w:ind w:left="425" w:hanging="425"/>
      </w:pPr>
      <w:rPr>
        <w:rFonts w:hint="eastAsia"/>
      </w:rPr>
    </w:lvl>
    <w:lvl w:ilvl="1" w:tentative="0">
      <w:start w:val="1"/>
      <w:numFmt w:val="decimal"/>
      <w:pStyle w:val="74"/>
      <w:lvlText w:val="%1.%2."/>
      <w:lvlJc w:val="left"/>
      <w:pPr>
        <w:tabs>
          <w:tab w:val="left" w:pos="567"/>
        </w:tabs>
        <w:ind w:left="567" w:hanging="567"/>
      </w:pPr>
      <w:rPr>
        <w:rFonts w:hint="eastAsia"/>
      </w:rPr>
    </w:lvl>
    <w:lvl w:ilvl="2" w:tentative="0">
      <w:start w:val="1"/>
      <w:numFmt w:val="decimal"/>
      <w:pStyle w:val="72"/>
      <w:lvlText w:val="%1.%2.%3."/>
      <w:lvlJc w:val="left"/>
      <w:pPr>
        <w:tabs>
          <w:tab w:val="left" w:pos="709"/>
        </w:tabs>
        <w:ind w:left="709" w:hanging="709"/>
      </w:pPr>
      <w:rPr>
        <w:rFonts w:hint="eastAsia"/>
      </w:rPr>
    </w:lvl>
    <w:lvl w:ilvl="3" w:tentative="0">
      <w:start w:val="1"/>
      <w:numFmt w:val="decimal"/>
      <w:pStyle w:val="75"/>
      <w:lvlText w:val="%1.%2.%3.%4."/>
      <w:lvlJc w:val="left"/>
      <w:pPr>
        <w:tabs>
          <w:tab w:val="left" w:pos="311"/>
        </w:tabs>
        <w:ind w:left="311" w:hanging="851"/>
      </w:pPr>
      <w:rPr>
        <w:rFonts w:hint="eastAsia"/>
      </w:rPr>
    </w:lvl>
    <w:lvl w:ilvl="4" w:tentative="0">
      <w:start w:val="1"/>
      <w:numFmt w:val="decimal"/>
      <w:lvlText w:val="%1.%2.%3.%4.%5."/>
      <w:lvlJc w:val="left"/>
      <w:pPr>
        <w:tabs>
          <w:tab w:val="left" w:pos="452"/>
        </w:tabs>
        <w:ind w:left="452" w:hanging="992"/>
      </w:pPr>
      <w:rPr>
        <w:rFonts w:hint="eastAsia"/>
      </w:rPr>
    </w:lvl>
    <w:lvl w:ilvl="5" w:tentative="0">
      <w:start w:val="1"/>
      <w:numFmt w:val="decimal"/>
      <w:lvlText w:val="%1.%2.%3.%4.%5.%6."/>
      <w:lvlJc w:val="left"/>
      <w:pPr>
        <w:tabs>
          <w:tab w:val="left" w:pos="594"/>
        </w:tabs>
        <w:ind w:left="594" w:hanging="1134"/>
      </w:pPr>
      <w:rPr>
        <w:rFonts w:hint="eastAsia"/>
      </w:rPr>
    </w:lvl>
    <w:lvl w:ilvl="6" w:tentative="0">
      <w:start w:val="1"/>
      <w:numFmt w:val="decimal"/>
      <w:lvlText w:val="%1.%2.%3.%4.%5.%6.%7."/>
      <w:lvlJc w:val="left"/>
      <w:pPr>
        <w:tabs>
          <w:tab w:val="left" w:pos="736"/>
        </w:tabs>
        <w:ind w:left="736" w:hanging="1276"/>
      </w:pPr>
      <w:rPr>
        <w:rFonts w:hint="eastAsia"/>
      </w:rPr>
    </w:lvl>
    <w:lvl w:ilvl="7" w:tentative="0">
      <w:start w:val="1"/>
      <w:numFmt w:val="decimal"/>
      <w:lvlText w:val="%1.%2.%3.%4.%5.%6.%7.%8."/>
      <w:lvlJc w:val="left"/>
      <w:pPr>
        <w:tabs>
          <w:tab w:val="left" w:pos="878"/>
        </w:tabs>
        <w:ind w:left="878" w:hanging="1418"/>
      </w:pPr>
      <w:rPr>
        <w:rFonts w:hint="eastAsia"/>
      </w:rPr>
    </w:lvl>
    <w:lvl w:ilvl="8" w:tentative="0">
      <w:start w:val="1"/>
      <w:numFmt w:val="decimal"/>
      <w:lvlText w:val="%1.%2.%3.%4.%5.%6.%7.%8.%9."/>
      <w:lvlJc w:val="left"/>
      <w:pPr>
        <w:tabs>
          <w:tab w:val="left" w:pos="1019"/>
        </w:tabs>
        <w:ind w:left="1019" w:hanging="1559"/>
      </w:pPr>
      <w:rPr>
        <w:rFonts w:hint="eastAsia"/>
      </w:rPr>
    </w:lvl>
  </w:abstractNum>
  <w:abstractNum w:abstractNumId="8">
    <w:nsid w:val="461F5940"/>
    <w:multiLevelType w:val="multilevel"/>
    <w:tmpl w:val="461F5940"/>
    <w:lvl w:ilvl="0" w:tentative="0">
      <w:start w:val="1"/>
      <w:numFmt w:val="decimal"/>
      <w:lvlText w:val="%1)"/>
      <w:lvlJc w:val="left"/>
      <w:pPr>
        <w:tabs>
          <w:tab w:val="left" w:pos="851"/>
        </w:tabs>
        <w:ind w:left="794" w:firstLine="113"/>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7"/>
  </w:num>
  <w:num w:numId="3">
    <w:abstractNumId w:val="8"/>
  </w:num>
  <w:num w:numId="4">
    <w:abstractNumId w:val="5"/>
  </w:num>
  <w:num w:numId="5">
    <w:abstractNumId w:val="4"/>
  </w:num>
  <w:num w:numId="6">
    <w:abstractNumId w:val="3"/>
  </w:num>
  <w:num w:numId="7">
    <w:abstractNumId w:val="6"/>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I5OTZjNDUyYTNiNmIyZjQ5ZDdhYWViMDg2YzExNWEifQ=="/>
  </w:docVars>
  <w:rsids>
    <w:rsidRoot w:val="00172A27"/>
    <w:rsid w:val="0000730B"/>
    <w:rsid w:val="00022FA9"/>
    <w:rsid w:val="00040A7E"/>
    <w:rsid w:val="000555C0"/>
    <w:rsid w:val="00075430"/>
    <w:rsid w:val="000A37BC"/>
    <w:rsid w:val="000B443B"/>
    <w:rsid w:val="000E35FC"/>
    <w:rsid w:val="000E5407"/>
    <w:rsid w:val="001004A6"/>
    <w:rsid w:val="001145A4"/>
    <w:rsid w:val="001152AB"/>
    <w:rsid w:val="001201D8"/>
    <w:rsid w:val="00136D96"/>
    <w:rsid w:val="00171FB2"/>
    <w:rsid w:val="00172A27"/>
    <w:rsid w:val="00176C38"/>
    <w:rsid w:val="00180673"/>
    <w:rsid w:val="00183899"/>
    <w:rsid w:val="001871FE"/>
    <w:rsid w:val="00192001"/>
    <w:rsid w:val="00197C9E"/>
    <w:rsid w:val="001B42A3"/>
    <w:rsid w:val="001B4E46"/>
    <w:rsid w:val="001D6835"/>
    <w:rsid w:val="001D6926"/>
    <w:rsid w:val="0023566E"/>
    <w:rsid w:val="0024249E"/>
    <w:rsid w:val="00254609"/>
    <w:rsid w:val="002556CD"/>
    <w:rsid w:val="0025763E"/>
    <w:rsid w:val="0026073C"/>
    <w:rsid w:val="0027530C"/>
    <w:rsid w:val="00284E79"/>
    <w:rsid w:val="00293A4D"/>
    <w:rsid w:val="002A6129"/>
    <w:rsid w:val="002C29FD"/>
    <w:rsid w:val="002D731E"/>
    <w:rsid w:val="002E68C3"/>
    <w:rsid w:val="002F4884"/>
    <w:rsid w:val="003174A6"/>
    <w:rsid w:val="0032168C"/>
    <w:rsid w:val="00325DF9"/>
    <w:rsid w:val="003316F9"/>
    <w:rsid w:val="0035314A"/>
    <w:rsid w:val="00361A4C"/>
    <w:rsid w:val="00366B63"/>
    <w:rsid w:val="00375F38"/>
    <w:rsid w:val="003A4D0C"/>
    <w:rsid w:val="003B4A1C"/>
    <w:rsid w:val="003D5DDF"/>
    <w:rsid w:val="003D78DC"/>
    <w:rsid w:val="00402E49"/>
    <w:rsid w:val="0040417B"/>
    <w:rsid w:val="00444D74"/>
    <w:rsid w:val="004454D5"/>
    <w:rsid w:val="00484921"/>
    <w:rsid w:val="004B665F"/>
    <w:rsid w:val="004D58A6"/>
    <w:rsid w:val="004E3C21"/>
    <w:rsid w:val="004E50FE"/>
    <w:rsid w:val="004E7729"/>
    <w:rsid w:val="004F6852"/>
    <w:rsid w:val="00506C73"/>
    <w:rsid w:val="00525282"/>
    <w:rsid w:val="00541222"/>
    <w:rsid w:val="00553151"/>
    <w:rsid w:val="00555F9E"/>
    <w:rsid w:val="005777D3"/>
    <w:rsid w:val="005A662A"/>
    <w:rsid w:val="005B182F"/>
    <w:rsid w:val="005D03D7"/>
    <w:rsid w:val="005D7962"/>
    <w:rsid w:val="005E5AC5"/>
    <w:rsid w:val="005F17A9"/>
    <w:rsid w:val="00602C60"/>
    <w:rsid w:val="00621C4C"/>
    <w:rsid w:val="00624B1E"/>
    <w:rsid w:val="00640039"/>
    <w:rsid w:val="00644DB7"/>
    <w:rsid w:val="00655443"/>
    <w:rsid w:val="0067050E"/>
    <w:rsid w:val="0069008C"/>
    <w:rsid w:val="006A7AD1"/>
    <w:rsid w:val="006B5AA0"/>
    <w:rsid w:val="006E3D2E"/>
    <w:rsid w:val="00704494"/>
    <w:rsid w:val="00712ABC"/>
    <w:rsid w:val="00725870"/>
    <w:rsid w:val="00754C51"/>
    <w:rsid w:val="00773EA7"/>
    <w:rsid w:val="0079771A"/>
    <w:rsid w:val="00797D2F"/>
    <w:rsid w:val="007A6266"/>
    <w:rsid w:val="007B711B"/>
    <w:rsid w:val="007C72D3"/>
    <w:rsid w:val="007D7F31"/>
    <w:rsid w:val="007E47B9"/>
    <w:rsid w:val="007F4780"/>
    <w:rsid w:val="007F5A69"/>
    <w:rsid w:val="00817C58"/>
    <w:rsid w:val="008208C1"/>
    <w:rsid w:val="00826C08"/>
    <w:rsid w:val="008340DD"/>
    <w:rsid w:val="008451BD"/>
    <w:rsid w:val="00854F5E"/>
    <w:rsid w:val="00862354"/>
    <w:rsid w:val="008833A3"/>
    <w:rsid w:val="00884D06"/>
    <w:rsid w:val="00886AB3"/>
    <w:rsid w:val="008A2119"/>
    <w:rsid w:val="008A40A8"/>
    <w:rsid w:val="008A64F8"/>
    <w:rsid w:val="008A7D3C"/>
    <w:rsid w:val="008B4E44"/>
    <w:rsid w:val="008D1FB7"/>
    <w:rsid w:val="008F3A80"/>
    <w:rsid w:val="009052CC"/>
    <w:rsid w:val="009053D4"/>
    <w:rsid w:val="00913C0C"/>
    <w:rsid w:val="00922358"/>
    <w:rsid w:val="009236A4"/>
    <w:rsid w:val="00932D5F"/>
    <w:rsid w:val="00937B52"/>
    <w:rsid w:val="009407F6"/>
    <w:rsid w:val="00965B6D"/>
    <w:rsid w:val="00966FD3"/>
    <w:rsid w:val="00977E91"/>
    <w:rsid w:val="00982110"/>
    <w:rsid w:val="00993B1B"/>
    <w:rsid w:val="009C39C2"/>
    <w:rsid w:val="009D01E7"/>
    <w:rsid w:val="009D2094"/>
    <w:rsid w:val="009E1AF9"/>
    <w:rsid w:val="009F10B4"/>
    <w:rsid w:val="00A070C5"/>
    <w:rsid w:val="00A34776"/>
    <w:rsid w:val="00A34C4C"/>
    <w:rsid w:val="00A536F2"/>
    <w:rsid w:val="00A55242"/>
    <w:rsid w:val="00A70D30"/>
    <w:rsid w:val="00A710B0"/>
    <w:rsid w:val="00A72857"/>
    <w:rsid w:val="00A86A8E"/>
    <w:rsid w:val="00A875C2"/>
    <w:rsid w:val="00AB25F7"/>
    <w:rsid w:val="00AC5586"/>
    <w:rsid w:val="00AC6561"/>
    <w:rsid w:val="00AD7871"/>
    <w:rsid w:val="00AF143A"/>
    <w:rsid w:val="00B12020"/>
    <w:rsid w:val="00B2043C"/>
    <w:rsid w:val="00B24C15"/>
    <w:rsid w:val="00B37E9F"/>
    <w:rsid w:val="00B521EB"/>
    <w:rsid w:val="00B56383"/>
    <w:rsid w:val="00B61767"/>
    <w:rsid w:val="00B65D9E"/>
    <w:rsid w:val="00B87C3D"/>
    <w:rsid w:val="00BB48EE"/>
    <w:rsid w:val="00BE2EBA"/>
    <w:rsid w:val="00BE3D11"/>
    <w:rsid w:val="00C32596"/>
    <w:rsid w:val="00C325C1"/>
    <w:rsid w:val="00C54828"/>
    <w:rsid w:val="00C5723D"/>
    <w:rsid w:val="00C97730"/>
    <w:rsid w:val="00CC74ED"/>
    <w:rsid w:val="00CD2631"/>
    <w:rsid w:val="00D07EF6"/>
    <w:rsid w:val="00D157DC"/>
    <w:rsid w:val="00D360BB"/>
    <w:rsid w:val="00D37948"/>
    <w:rsid w:val="00D42A6E"/>
    <w:rsid w:val="00D6445B"/>
    <w:rsid w:val="00D65930"/>
    <w:rsid w:val="00D71C81"/>
    <w:rsid w:val="00D80B97"/>
    <w:rsid w:val="00DA2D86"/>
    <w:rsid w:val="00DB1CB0"/>
    <w:rsid w:val="00DD2DAE"/>
    <w:rsid w:val="00E141E3"/>
    <w:rsid w:val="00E22F9C"/>
    <w:rsid w:val="00E3587A"/>
    <w:rsid w:val="00E45FFB"/>
    <w:rsid w:val="00E46DD2"/>
    <w:rsid w:val="00E570B1"/>
    <w:rsid w:val="00E6628A"/>
    <w:rsid w:val="00E85745"/>
    <w:rsid w:val="00EA062B"/>
    <w:rsid w:val="00EA0CAC"/>
    <w:rsid w:val="00EA599B"/>
    <w:rsid w:val="00EC4C33"/>
    <w:rsid w:val="00EF37F5"/>
    <w:rsid w:val="00EF7F8D"/>
    <w:rsid w:val="00F15930"/>
    <w:rsid w:val="00F33D42"/>
    <w:rsid w:val="00F45423"/>
    <w:rsid w:val="00F500C7"/>
    <w:rsid w:val="00F52201"/>
    <w:rsid w:val="00F628DB"/>
    <w:rsid w:val="00F67B7C"/>
    <w:rsid w:val="00F741B9"/>
    <w:rsid w:val="00F83585"/>
    <w:rsid w:val="00FB10F5"/>
    <w:rsid w:val="00FB540B"/>
    <w:rsid w:val="00FC11B2"/>
    <w:rsid w:val="00FD48F5"/>
    <w:rsid w:val="00FF0CD5"/>
    <w:rsid w:val="00FF347C"/>
    <w:rsid w:val="00FF4D84"/>
    <w:rsid w:val="00FF5BC7"/>
    <w:rsid w:val="516D38FD"/>
    <w:rsid w:val="58995AFE"/>
    <w:rsid w:val="5E6B1F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semiHidden="0" w:name="toc 4"/>
    <w:lsdException w:qFormat="1" w:uiPriority="39" w:semiHidden="0" w:name="toc 5"/>
    <w:lsdException w:qFormat="1" w:uiPriority="39" w:semiHidden="0" w:name="toc 6"/>
    <w:lsdException w:qFormat="1" w:uiPriority="39" w:semiHidden="0" w:name="toc 7"/>
    <w:lsdException w:uiPriority="39" w:semiHidden="0" w:name="toc 8"/>
    <w:lsdException w:qFormat="1" w:uiPriority="39" w:semiHidden="0" w:name="toc 9"/>
    <w:lsdException w:qFormat="1" w:unhideWhenUsed="0" w:uiPriority="0" w:semiHidden="0" w:name="Normal Indent"/>
    <w:lsdException w:uiPriority="99" w:name="footnote text"/>
    <w:lsdException w:uiPriority="99" w:name="annotation text"/>
    <w:lsdException w:unhideWhenUsed="0" w:uiPriority="0" w:semiHidden="0" w:name="header"/>
    <w:lsdException w:qFormat="1" w:unhideWhenUsed="0" w:uiPriority="99" w:semiHidden="0" w:name="footer"/>
    <w:lsdException w:uiPriority="99"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iPriority="99" w:name="Body Text First Indent"/>
    <w:lsdException w:uiPriority="99" w:name="Body Text First Indent 2"/>
    <w:lsdException w:uiPriority="99" w:name="Note Heading"/>
    <w:lsdException w:uiPriority="99" w:name="Body Text 2"/>
    <w:lsdException w:uiPriority="99" w:name="Body Text 3"/>
    <w:lsdException w:qFormat="1" w:uiPriority="0" w:semiHidden="0" w:name="Body Text Indent 2"/>
    <w:lsdException w:uiPriority="99"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6"/>
    <w:qFormat/>
    <w:uiPriority w:val="9"/>
    <w:pPr>
      <w:keepNext/>
      <w:keepLines/>
      <w:numPr>
        <w:ilvl w:val="0"/>
        <w:numId w:val="1"/>
      </w:numPr>
      <w:spacing w:before="340" w:after="330" w:line="576" w:lineRule="auto"/>
      <w:outlineLvl w:val="0"/>
    </w:pPr>
    <w:rPr>
      <w:b/>
      <w:bCs/>
      <w:kern w:val="44"/>
      <w:sz w:val="44"/>
      <w:szCs w:val="44"/>
    </w:rPr>
  </w:style>
  <w:style w:type="paragraph" w:styleId="3">
    <w:name w:val="heading 2"/>
    <w:basedOn w:val="1"/>
    <w:next w:val="1"/>
    <w:link w:val="37"/>
    <w:qFormat/>
    <w:uiPriority w:val="9"/>
    <w:pPr>
      <w:keepNext/>
      <w:keepLines/>
      <w:numPr>
        <w:ilvl w:val="1"/>
        <w:numId w:val="1"/>
      </w:numPr>
      <w:spacing w:before="260" w:after="260" w:line="413" w:lineRule="auto"/>
      <w:outlineLvl w:val="1"/>
    </w:pPr>
    <w:rPr>
      <w:rFonts w:ascii="Cambria" w:hAnsi="Cambria"/>
      <w:b/>
      <w:bCs/>
      <w:sz w:val="32"/>
      <w:szCs w:val="32"/>
    </w:rPr>
  </w:style>
  <w:style w:type="paragraph" w:styleId="4">
    <w:name w:val="heading 3"/>
    <w:basedOn w:val="1"/>
    <w:next w:val="1"/>
    <w:link w:val="38"/>
    <w:qFormat/>
    <w:uiPriority w:val="9"/>
    <w:pPr>
      <w:keepNext/>
      <w:keepLines/>
      <w:numPr>
        <w:ilvl w:val="2"/>
        <w:numId w:val="1"/>
      </w:numPr>
      <w:spacing w:before="260" w:after="260" w:line="413" w:lineRule="auto"/>
      <w:outlineLvl w:val="2"/>
    </w:pPr>
    <w:rPr>
      <w:b/>
      <w:bCs/>
      <w:sz w:val="32"/>
      <w:szCs w:val="32"/>
    </w:rPr>
  </w:style>
  <w:style w:type="paragraph" w:styleId="5">
    <w:name w:val="heading 4"/>
    <w:basedOn w:val="1"/>
    <w:next w:val="1"/>
    <w:link w:val="39"/>
    <w:qFormat/>
    <w:uiPriority w:val="9"/>
    <w:pPr>
      <w:keepNext/>
      <w:keepLines/>
      <w:numPr>
        <w:ilvl w:val="3"/>
        <w:numId w:val="1"/>
      </w:numPr>
      <w:spacing w:before="280" w:after="290" w:line="372" w:lineRule="auto"/>
      <w:outlineLvl w:val="3"/>
    </w:pPr>
    <w:rPr>
      <w:rFonts w:ascii="Cambria" w:hAnsi="Cambria"/>
      <w:b/>
      <w:bCs/>
      <w:kern w:val="0"/>
      <w:sz w:val="28"/>
      <w:szCs w:val="28"/>
    </w:rPr>
  </w:style>
  <w:style w:type="paragraph" w:styleId="6">
    <w:name w:val="heading 5"/>
    <w:basedOn w:val="1"/>
    <w:next w:val="1"/>
    <w:link w:val="40"/>
    <w:qFormat/>
    <w:uiPriority w:val="0"/>
    <w:pPr>
      <w:keepNext/>
      <w:keepLines/>
      <w:numPr>
        <w:ilvl w:val="4"/>
        <w:numId w:val="1"/>
      </w:numPr>
      <w:spacing w:before="280" w:after="290" w:line="372" w:lineRule="auto"/>
      <w:outlineLvl w:val="4"/>
    </w:pPr>
    <w:rPr>
      <w:b/>
      <w:bCs/>
      <w:sz w:val="28"/>
      <w:szCs w:val="28"/>
    </w:rPr>
  </w:style>
  <w:style w:type="paragraph" w:styleId="7">
    <w:name w:val="heading 6"/>
    <w:basedOn w:val="1"/>
    <w:next w:val="1"/>
    <w:link w:val="41"/>
    <w:qFormat/>
    <w:uiPriority w:val="0"/>
    <w:pPr>
      <w:keepNext/>
      <w:keepLines/>
      <w:spacing w:before="240" w:after="64" w:line="317" w:lineRule="auto"/>
      <w:ind w:left="1152" w:hanging="1152"/>
      <w:outlineLvl w:val="5"/>
    </w:pPr>
    <w:rPr>
      <w:rFonts w:ascii="Cambria" w:hAnsi="Cambria"/>
      <w:b/>
      <w:bCs/>
      <w:sz w:val="24"/>
      <w:szCs w:val="24"/>
    </w:rPr>
  </w:style>
  <w:style w:type="paragraph" w:styleId="8">
    <w:name w:val="heading 7"/>
    <w:basedOn w:val="1"/>
    <w:next w:val="1"/>
    <w:link w:val="42"/>
    <w:qFormat/>
    <w:uiPriority w:val="0"/>
    <w:pPr>
      <w:keepNext/>
      <w:keepLines/>
      <w:spacing w:before="240" w:after="64" w:line="317" w:lineRule="auto"/>
      <w:ind w:left="1296" w:hanging="1296"/>
      <w:outlineLvl w:val="6"/>
    </w:pPr>
    <w:rPr>
      <w:b/>
      <w:bCs/>
      <w:sz w:val="24"/>
      <w:szCs w:val="24"/>
    </w:rPr>
  </w:style>
  <w:style w:type="paragraph" w:styleId="9">
    <w:name w:val="heading 8"/>
    <w:basedOn w:val="1"/>
    <w:next w:val="1"/>
    <w:link w:val="43"/>
    <w:qFormat/>
    <w:uiPriority w:val="0"/>
    <w:pPr>
      <w:keepNext/>
      <w:keepLines/>
      <w:spacing w:before="240" w:after="64" w:line="317" w:lineRule="auto"/>
      <w:ind w:left="1440" w:hanging="1440"/>
      <w:outlineLvl w:val="7"/>
    </w:pPr>
    <w:rPr>
      <w:rFonts w:ascii="Cambria" w:hAnsi="Cambria"/>
      <w:sz w:val="24"/>
      <w:szCs w:val="24"/>
    </w:rPr>
  </w:style>
  <w:style w:type="paragraph" w:styleId="10">
    <w:name w:val="heading 9"/>
    <w:basedOn w:val="1"/>
    <w:next w:val="1"/>
    <w:link w:val="44"/>
    <w:qFormat/>
    <w:uiPriority w:val="0"/>
    <w:pPr>
      <w:keepNext/>
      <w:keepLines/>
      <w:spacing w:before="240" w:after="64" w:line="317" w:lineRule="auto"/>
      <w:ind w:left="1584" w:hanging="1584"/>
      <w:outlineLvl w:val="8"/>
    </w:pPr>
    <w:rPr>
      <w:rFonts w:ascii="Cambria" w:hAnsi="Cambria"/>
      <w:szCs w:val="21"/>
    </w:rPr>
  </w:style>
  <w:style w:type="character" w:default="1" w:styleId="32">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unhideWhenUsed/>
    <w:qFormat/>
    <w:uiPriority w:val="39"/>
    <w:pPr>
      <w:ind w:left="2520" w:leftChars="1200"/>
    </w:pPr>
  </w:style>
  <w:style w:type="paragraph" w:styleId="12">
    <w:name w:val="Normal Indent"/>
    <w:basedOn w:val="1"/>
    <w:qFormat/>
    <w:uiPriority w:val="0"/>
    <w:pPr>
      <w:spacing w:before="20" w:after="20" w:line="400" w:lineRule="exact"/>
      <w:ind w:firstLine="420"/>
    </w:pPr>
    <w:rPr>
      <w:rFonts w:ascii="Times New Roman" w:hAnsi="Times New Roman"/>
      <w:spacing w:val="10"/>
      <w:sz w:val="24"/>
      <w:szCs w:val="20"/>
    </w:rPr>
  </w:style>
  <w:style w:type="paragraph" w:styleId="13">
    <w:name w:val="Document Map"/>
    <w:basedOn w:val="1"/>
    <w:link w:val="46"/>
    <w:qFormat/>
    <w:uiPriority w:val="0"/>
    <w:rPr>
      <w:rFonts w:ascii="宋体"/>
      <w:sz w:val="18"/>
      <w:szCs w:val="18"/>
    </w:rPr>
  </w:style>
  <w:style w:type="paragraph" w:styleId="14">
    <w:name w:val="Body Text"/>
    <w:link w:val="48"/>
    <w:qFormat/>
    <w:uiPriority w:val="0"/>
    <w:pPr>
      <w:spacing w:after="240" w:line="300" w:lineRule="atLeast"/>
    </w:pPr>
    <w:rPr>
      <w:rFonts w:ascii="Verdana" w:hAnsi="Verdana" w:eastAsia="宋体" w:cs="Times New Roman"/>
      <w:szCs w:val="24"/>
      <w:lang w:val="en-GB" w:eastAsia="en-US" w:bidi="ar-SA"/>
    </w:rPr>
  </w:style>
  <w:style w:type="paragraph" w:styleId="15">
    <w:name w:val="Body Text Indent"/>
    <w:basedOn w:val="1"/>
    <w:link w:val="68"/>
    <w:semiHidden/>
    <w:unhideWhenUsed/>
    <w:qFormat/>
    <w:uiPriority w:val="99"/>
    <w:pPr>
      <w:spacing w:after="120"/>
      <w:ind w:left="420" w:leftChars="200"/>
    </w:pPr>
  </w:style>
  <w:style w:type="paragraph" w:styleId="16">
    <w:name w:val="toc 5"/>
    <w:basedOn w:val="1"/>
    <w:next w:val="1"/>
    <w:unhideWhenUsed/>
    <w:qFormat/>
    <w:uiPriority w:val="39"/>
    <w:pPr>
      <w:ind w:left="1680" w:leftChars="800"/>
    </w:pPr>
  </w:style>
  <w:style w:type="paragraph" w:styleId="17">
    <w:name w:val="toc 3"/>
    <w:basedOn w:val="1"/>
    <w:next w:val="1"/>
    <w:qFormat/>
    <w:uiPriority w:val="39"/>
    <w:pPr>
      <w:ind w:left="840" w:leftChars="400"/>
    </w:pPr>
  </w:style>
  <w:style w:type="paragraph" w:styleId="18">
    <w:name w:val="Plain Text"/>
    <w:basedOn w:val="1"/>
    <w:link w:val="47"/>
    <w:qFormat/>
    <w:uiPriority w:val="0"/>
    <w:rPr>
      <w:rFonts w:ascii="宋体" w:hAnsi="Courier New"/>
      <w:szCs w:val="21"/>
    </w:rPr>
  </w:style>
  <w:style w:type="paragraph" w:styleId="19">
    <w:name w:val="toc 8"/>
    <w:basedOn w:val="1"/>
    <w:next w:val="1"/>
    <w:unhideWhenUsed/>
    <w:uiPriority w:val="39"/>
    <w:pPr>
      <w:ind w:left="2940" w:leftChars="1400"/>
    </w:pPr>
  </w:style>
  <w:style w:type="paragraph" w:styleId="20">
    <w:name w:val="Date"/>
    <w:basedOn w:val="1"/>
    <w:next w:val="1"/>
    <w:link w:val="49"/>
    <w:qFormat/>
    <w:uiPriority w:val="0"/>
    <w:pPr>
      <w:ind w:left="100" w:leftChars="2500"/>
    </w:pPr>
  </w:style>
  <w:style w:type="paragraph" w:styleId="21">
    <w:name w:val="Body Text Indent 2"/>
    <w:basedOn w:val="1"/>
    <w:link w:val="69"/>
    <w:unhideWhenUsed/>
    <w:qFormat/>
    <w:uiPriority w:val="0"/>
    <w:pPr>
      <w:spacing w:after="120" w:line="480" w:lineRule="auto"/>
      <w:ind w:left="420" w:leftChars="200"/>
    </w:pPr>
  </w:style>
  <w:style w:type="paragraph" w:styleId="22">
    <w:name w:val="Balloon Text"/>
    <w:basedOn w:val="1"/>
    <w:link w:val="45"/>
    <w:qFormat/>
    <w:uiPriority w:val="0"/>
    <w:rPr>
      <w:kern w:val="0"/>
      <w:sz w:val="18"/>
      <w:szCs w:val="18"/>
    </w:rPr>
  </w:style>
  <w:style w:type="paragraph" w:styleId="23">
    <w:name w:val="footer"/>
    <w:basedOn w:val="1"/>
    <w:link w:val="53"/>
    <w:qFormat/>
    <w:uiPriority w:val="99"/>
    <w:pPr>
      <w:tabs>
        <w:tab w:val="center" w:pos="4153"/>
        <w:tab w:val="right" w:pos="8306"/>
      </w:tabs>
      <w:snapToGrid w:val="0"/>
      <w:jc w:val="left"/>
    </w:pPr>
    <w:rPr>
      <w:kern w:val="0"/>
      <w:sz w:val="18"/>
      <w:szCs w:val="18"/>
    </w:rPr>
  </w:style>
  <w:style w:type="paragraph" w:styleId="24">
    <w:name w:val="header"/>
    <w:basedOn w:val="1"/>
    <w:link w:val="52"/>
    <w:uiPriority w:val="0"/>
    <w:pPr>
      <w:pBdr>
        <w:bottom w:val="single" w:color="auto" w:sz="6" w:space="1"/>
      </w:pBdr>
      <w:tabs>
        <w:tab w:val="center" w:pos="4153"/>
        <w:tab w:val="right" w:pos="8306"/>
      </w:tabs>
      <w:snapToGrid w:val="0"/>
      <w:jc w:val="center"/>
    </w:pPr>
    <w:rPr>
      <w:kern w:val="0"/>
      <w:sz w:val="18"/>
      <w:szCs w:val="18"/>
    </w:rPr>
  </w:style>
  <w:style w:type="paragraph" w:styleId="25">
    <w:name w:val="toc 1"/>
    <w:basedOn w:val="1"/>
    <w:next w:val="1"/>
    <w:qFormat/>
    <w:uiPriority w:val="39"/>
  </w:style>
  <w:style w:type="paragraph" w:styleId="26">
    <w:name w:val="toc 4"/>
    <w:basedOn w:val="1"/>
    <w:next w:val="1"/>
    <w:unhideWhenUsed/>
    <w:uiPriority w:val="39"/>
    <w:pPr>
      <w:ind w:left="1260" w:leftChars="600"/>
    </w:pPr>
  </w:style>
  <w:style w:type="paragraph" w:styleId="27">
    <w:name w:val="toc 6"/>
    <w:basedOn w:val="1"/>
    <w:next w:val="1"/>
    <w:unhideWhenUsed/>
    <w:qFormat/>
    <w:uiPriority w:val="39"/>
    <w:pPr>
      <w:ind w:left="2100" w:leftChars="1000"/>
    </w:pPr>
  </w:style>
  <w:style w:type="paragraph" w:styleId="28">
    <w:name w:val="toc 2"/>
    <w:basedOn w:val="1"/>
    <w:next w:val="1"/>
    <w:qFormat/>
    <w:uiPriority w:val="39"/>
    <w:pPr>
      <w:ind w:left="420" w:leftChars="200"/>
    </w:pPr>
  </w:style>
  <w:style w:type="paragraph" w:styleId="29">
    <w:name w:val="toc 9"/>
    <w:basedOn w:val="1"/>
    <w:next w:val="1"/>
    <w:unhideWhenUsed/>
    <w:qFormat/>
    <w:uiPriority w:val="39"/>
    <w:pPr>
      <w:ind w:left="3360" w:leftChars="1600"/>
    </w:pPr>
  </w:style>
  <w:style w:type="paragraph" w:styleId="30">
    <w:name w:val="Body Text First Indent"/>
    <w:basedOn w:val="14"/>
    <w:link w:val="67"/>
    <w:semiHidden/>
    <w:unhideWhenUsed/>
    <w:qFormat/>
    <w:uiPriority w:val="99"/>
    <w:pPr>
      <w:widowControl w:val="0"/>
      <w:spacing w:after="120" w:line="240" w:lineRule="auto"/>
      <w:ind w:firstLine="420" w:firstLineChars="100"/>
      <w:jc w:val="both"/>
    </w:pPr>
    <w:rPr>
      <w:rFonts w:ascii="Calibri" w:hAnsi="Calibri"/>
      <w:kern w:val="2"/>
      <w:sz w:val="21"/>
      <w:szCs w:val="22"/>
      <w:lang w:val="en-US" w:eastAsia="zh-CN"/>
    </w:rPr>
  </w:style>
  <w:style w:type="character" w:styleId="33">
    <w:name w:val="Strong"/>
    <w:qFormat/>
    <w:uiPriority w:val="22"/>
    <w:rPr>
      <w:b/>
      <w:bCs/>
    </w:rPr>
  </w:style>
  <w:style w:type="character" w:styleId="34">
    <w:name w:val="FollowedHyperlink"/>
    <w:qFormat/>
    <w:uiPriority w:val="0"/>
    <w:rPr>
      <w:color w:val="800080"/>
      <w:u w:val="single"/>
    </w:rPr>
  </w:style>
  <w:style w:type="character" w:styleId="35">
    <w:name w:val="Hyperlink"/>
    <w:qFormat/>
    <w:uiPriority w:val="99"/>
    <w:rPr>
      <w:color w:val="0000FF"/>
      <w:u w:val="single"/>
    </w:rPr>
  </w:style>
  <w:style w:type="character" w:customStyle="1" w:styleId="36">
    <w:name w:val="标题 1 Char"/>
    <w:link w:val="2"/>
    <w:qFormat/>
    <w:uiPriority w:val="9"/>
    <w:rPr>
      <w:b/>
      <w:bCs/>
      <w:kern w:val="44"/>
      <w:sz w:val="44"/>
      <w:szCs w:val="44"/>
    </w:rPr>
  </w:style>
  <w:style w:type="character" w:customStyle="1" w:styleId="37">
    <w:name w:val="标题 2 Char"/>
    <w:link w:val="3"/>
    <w:qFormat/>
    <w:uiPriority w:val="9"/>
    <w:rPr>
      <w:rFonts w:ascii="Cambria" w:hAnsi="Cambria"/>
      <w:b/>
      <w:bCs/>
      <w:kern w:val="2"/>
      <w:sz w:val="32"/>
      <w:szCs w:val="32"/>
    </w:rPr>
  </w:style>
  <w:style w:type="character" w:customStyle="1" w:styleId="38">
    <w:name w:val="标题 3 Char"/>
    <w:link w:val="4"/>
    <w:qFormat/>
    <w:uiPriority w:val="9"/>
    <w:rPr>
      <w:b/>
      <w:bCs/>
      <w:kern w:val="2"/>
      <w:sz w:val="32"/>
      <w:szCs w:val="32"/>
    </w:rPr>
  </w:style>
  <w:style w:type="character" w:customStyle="1" w:styleId="39">
    <w:name w:val="标题 4 Char"/>
    <w:link w:val="5"/>
    <w:qFormat/>
    <w:uiPriority w:val="9"/>
    <w:rPr>
      <w:rFonts w:ascii="Cambria" w:hAnsi="Cambria"/>
      <w:b/>
      <w:bCs/>
      <w:sz w:val="28"/>
      <w:szCs w:val="28"/>
    </w:rPr>
  </w:style>
  <w:style w:type="character" w:customStyle="1" w:styleId="40">
    <w:name w:val="标题 5 Char"/>
    <w:link w:val="6"/>
    <w:qFormat/>
    <w:uiPriority w:val="0"/>
    <w:rPr>
      <w:b/>
      <w:bCs/>
      <w:kern w:val="2"/>
      <w:sz w:val="28"/>
      <w:szCs w:val="28"/>
    </w:rPr>
  </w:style>
  <w:style w:type="character" w:customStyle="1" w:styleId="41">
    <w:name w:val="标题 6 Char"/>
    <w:link w:val="7"/>
    <w:qFormat/>
    <w:uiPriority w:val="0"/>
    <w:rPr>
      <w:rFonts w:ascii="Cambria" w:hAnsi="Cambria"/>
      <w:b/>
      <w:bCs/>
      <w:kern w:val="2"/>
      <w:sz w:val="24"/>
      <w:szCs w:val="24"/>
    </w:rPr>
  </w:style>
  <w:style w:type="character" w:customStyle="1" w:styleId="42">
    <w:name w:val="标题 7 Char"/>
    <w:link w:val="8"/>
    <w:qFormat/>
    <w:uiPriority w:val="0"/>
    <w:rPr>
      <w:b/>
      <w:bCs/>
      <w:kern w:val="2"/>
      <w:sz w:val="24"/>
      <w:szCs w:val="24"/>
    </w:rPr>
  </w:style>
  <w:style w:type="character" w:customStyle="1" w:styleId="43">
    <w:name w:val="标题 8 Char"/>
    <w:link w:val="9"/>
    <w:qFormat/>
    <w:uiPriority w:val="0"/>
    <w:rPr>
      <w:rFonts w:ascii="Cambria" w:hAnsi="Cambria"/>
      <w:kern w:val="2"/>
      <w:sz w:val="24"/>
      <w:szCs w:val="24"/>
    </w:rPr>
  </w:style>
  <w:style w:type="character" w:customStyle="1" w:styleId="44">
    <w:name w:val="标题 9 Char"/>
    <w:link w:val="10"/>
    <w:qFormat/>
    <w:uiPriority w:val="0"/>
    <w:rPr>
      <w:rFonts w:ascii="Cambria" w:hAnsi="Cambria"/>
      <w:kern w:val="2"/>
      <w:sz w:val="21"/>
      <w:szCs w:val="21"/>
    </w:rPr>
  </w:style>
  <w:style w:type="character" w:customStyle="1" w:styleId="45">
    <w:name w:val="批注框文本 Char"/>
    <w:link w:val="22"/>
    <w:qFormat/>
    <w:uiPriority w:val="0"/>
    <w:rPr>
      <w:sz w:val="18"/>
      <w:szCs w:val="18"/>
    </w:rPr>
  </w:style>
  <w:style w:type="character" w:customStyle="1" w:styleId="46">
    <w:name w:val="文档结构图 Char"/>
    <w:link w:val="13"/>
    <w:qFormat/>
    <w:uiPriority w:val="0"/>
    <w:rPr>
      <w:rFonts w:ascii="宋体"/>
      <w:kern w:val="2"/>
      <w:sz w:val="18"/>
      <w:szCs w:val="18"/>
    </w:rPr>
  </w:style>
  <w:style w:type="character" w:customStyle="1" w:styleId="47">
    <w:name w:val="纯文本 Char"/>
    <w:link w:val="18"/>
    <w:qFormat/>
    <w:uiPriority w:val="0"/>
    <w:rPr>
      <w:rFonts w:ascii="宋体" w:hAnsi="Courier New" w:cs="Courier New"/>
      <w:kern w:val="2"/>
      <w:sz w:val="21"/>
      <w:szCs w:val="21"/>
    </w:rPr>
  </w:style>
  <w:style w:type="character" w:customStyle="1" w:styleId="48">
    <w:name w:val="正文文本 Char"/>
    <w:link w:val="14"/>
    <w:qFormat/>
    <w:uiPriority w:val="0"/>
    <w:rPr>
      <w:rFonts w:ascii="Verdana" w:hAnsi="Verdana"/>
      <w:szCs w:val="24"/>
      <w:lang w:val="en-GB" w:eastAsia="en-US" w:bidi="ar-SA"/>
    </w:rPr>
  </w:style>
  <w:style w:type="character" w:customStyle="1" w:styleId="49">
    <w:name w:val="日期 Char"/>
    <w:basedOn w:val="32"/>
    <w:link w:val="20"/>
    <w:qFormat/>
    <w:uiPriority w:val="0"/>
  </w:style>
  <w:style w:type="character" w:customStyle="1" w:styleId="50">
    <w:name w:val="格式正文 Char"/>
    <w:link w:val="51"/>
    <w:qFormat/>
    <w:uiPriority w:val="0"/>
    <w:rPr>
      <w:rFonts w:ascii="宋体" w:hAnsi="宋体" w:cs="宋体"/>
      <w:kern w:val="2"/>
      <w:sz w:val="28"/>
    </w:rPr>
  </w:style>
  <w:style w:type="paragraph" w:customStyle="1" w:styleId="51">
    <w:name w:val="格式正文"/>
    <w:basedOn w:val="1"/>
    <w:link w:val="50"/>
    <w:qFormat/>
    <w:uiPriority w:val="0"/>
    <w:pPr>
      <w:spacing w:line="360" w:lineRule="auto"/>
      <w:ind w:firstLine="560" w:firstLineChars="200"/>
    </w:pPr>
    <w:rPr>
      <w:rFonts w:ascii="宋体" w:hAnsi="宋体"/>
      <w:sz w:val="28"/>
      <w:szCs w:val="20"/>
    </w:rPr>
  </w:style>
  <w:style w:type="character" w:customStyle="1" w:styleId="52">
    <w:name w:val="页眉 Char"/>
    <w:link w:val="24"/>
    <w:qFormat/>
    <w:uiPriority w:val="0"/>
    <w:rPr>
      <w:sz w:val="18"/>
      <w:szCs w:val="18"/>
    </w:rPr>
  </w:style>
  <w:style w:type="character" w:customStyle="1" w:styleId="53">
    <w:name w:val="页脚 Char"/>
    <w:link w:val="23"/>
    <w:qFormat/>
    <w:uiPriority w:val="99"/>
    <w:rPr>
      <w:sz w:val="18"/>
      <w:szCs w:val="18"/>
    </w:rPr>
  </w:style>
  <w:style w:type="character" w:customStyle="1" w:styleId="54">
    <w:name w:val="正文R Char"/>
    <w:link w:val="55"/>
    <w:qFormat/>
    <w:uiPriority w:val="0"/>
    <w:rPr>
      <w:kern w:val="2"/>
      <w:sz w:val="24"/>
      <w:szCs w:val="24"/>
    </w:rPr>
  </w:style>
  <w:style w:type="paragraph" w:customStyle="1" w:styleId="55">
    <w:name w:val="正文R"/>
    <w:basedOn w:val="1"/>
    <w:link w:val="54"/>
    <w:qFormat/>
    <w:uiPriority w:val="0"/>
    <w:pPr>
      <w:spacing w:beforeLines="50" w:afterLines="50" w:line="276" w:lineRule="auto"/>
      <w:ind w:firstLine="420"/>
    </w:pPr>
    <w:rPr>
      <w:sz w:val="24"/>
      <w:szCs w:val="24"/>
    </w:rPr>
  </w:style>
  <w:style w:type="paragraph" w:customStyle="1" w:styleId="56">
    <w:name w:val="TOC Heading"/>
    <w:basedOn w:val="2"/>
    <w:next w:val="1"/>
    <w:qFormat/>
    <w:uiPriority w:val="0"/>
    <w:pPr>
      <w:widowControl/>
      <w:spacing w:before="480" w:after="0" w:line="276" w:lineRule="auto"/>
      <w:jc w:val="left"/>
      <w:outlineLvl w:val="9"/>
    </w:pPr>
    <w:rPr>
      <w:rFonts w:ascii="Cambria" w:hAnsi="Cambria"/>
      <w:color w:val="365F91"/>
      <w:kern w:val="0"/>
      <w:sz w:val="28"/>
      <w:szCs w:val="28"/>
    </w:rPr>
  </w:style>
  <w:style w:type="paragraph" w:customStyle="1" w:styleId="57">
    <w:name w:val="Default Text"/>
    <w:basedOn w:val="1"/>
    <w:qFormat/>
    <w:uiPriority w:val="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left"/>
      <w:outlineLvl w:val="0"/>
    </w:pPr>
    <w:rPr>
      <w:rFonts w:ascii="Times New Roman" w:hAnsi="Times New Roman"/>
      <w:kern w:val="0"/>
      <w:sz w:val="24"/>
      <w:szCs w:val="24"/>
      <w:lang w:val="en-AU"/>
    </w:rPr>
  </w:style>
  <w:style w:type="paragraph" w:customStyle="1" w:styleId="58">
    <w:name w:val="正文文本1"/>
    <w:basedOn w:val="1"/>
    <w:qFormat/>
    <w:uiPriority w:val="0"/>
    <w:pPr>
      <w:widowControl/>
      <w:spacing w:before="120"/>
      <w:jc w:val="left"/>
    </w:pPr>
    <w:rPr>
      <w:rFonts w:ascii="Times New Roman" w:hAnsi="Times New Roman"/>
      <w:kern w:val="0"/>
      <w:sz w:val="24"/>
      <w:lang w:val="en-AU" w:eastAsia="en-US"/>
    </w:rPr>
  </w:style>
  <w:style w:type="paragraph" w:customStyle="1" w:styleId="59">
    <w:name w:val="CEB 正文"/>
    <w:basedOn w:val="24"/>
    <w:next w:val="60"/>
    <w:qFormat/>
    <w:uiPriority w:val="0"/>
    <w:pPr>
      <w:pBdr>
        <w:bottom w:val="none" w:color="auto" w:sz="0" w:space="0"/>
      </w:pBdr>
      <w:tabs>
        <w:tab w:val="clear" w:pos="4153"/>
        <w:tab w:val="clear" w:pos="8306"/>
      </w:tabs>
      <w:snapToGrid/>
      <w:spacing w:beforeLines="50" w:afterLines="50" w:line="312" w:lineRule="auto"/>
      <w:jc w:val="both"/>
    </w:pPr>
    <w:rPr>
      <w:rFonts w:ascii="Times New Roman" w:hAnsi="Times New Roman" w:cs="宋体"/>
      <w:sz w:val="24"/>
      <w:szCs w:val="20"/>
    </w:rPr>
  </w:style>
  <w:style w:type="paragraph" w:customStyle="1" w:styleId="60">
    <w:name w:val="正文格式"/>
    <w:basedOn w:val="1"/>
    <w:qFormat/>
    <w:uiPriority w:val="0"/>
    <w:pPr>
      <w:spacing w:beforeLines="50" w:afterLines="50" w:line="360" w:lineRule="auto"/>
    </w:pPr>
    <w:rPr>
      <w:rFonts w:ascii="Times New Roman" w:hAnsi="Times New Roman"/>
      <w:szCs w:val="24"/>
    </w:rPr>
  </w:style>
  <w:style w:type="paragraph" w:customStyle="1" w:styleId="61">
    <w:name w:val="一级条标题"/>
    <w:basedOn w:val="1"/>
    <w:next w:val="1"/>
    <w:qFormat/>
    <w:uiPriority w:val="0"/>
    <w:pPr>
      <w:widowControl/>
      <w:outlineLvl w:val="2"/>
    </w:pPr>
    <w:rPr>
      <w:rFonts w:ascii="黑体" w:hAnsi="Times New Roman" w:eastAsia="黑体"/>
      <w:kern w:val="0"/>
      <w:szCs w:val="20"/>
    </w:rPr>
  </w:style>
  <w:style w:type="paragraph" w:styleId="62">
    <w:name w:val="List Paragraph"/>
    <w:basedOn w:val="1"/>
    <w:qFormat/>
    <w:uiPriority w:val="0"/>
    <w:pPr>
      <w:ind w:firstLine="420" w:firstLineChars="200"/>
    </w:pPr>
  </w:style>
  <w:style w:type="paragraph" w:customStyle="1" w:styleId="63">
    <w:name w:val="Table Text"/>
    <w:basedOn w:val="1"/>
    <w:qFormat/>
    <w:uiPriority w:val="0"/>
    <w:pPr>
      <w:widowControl/>
      <w:tabs>
        <w:tab w:val="decimal" w:pos="0"/>
      </w:tabs>
      <w:jc w:val="left"/>
    </w:pPr>
    <w:rPr>
      <w:rFonts w:ascii="Times New Roman" w:hAnsi="Times New Roman"/>
      <w:kern w:val="0"/>
      <w:sz w:val="20"/>
      <w:szCs w:val="20"/>
      <w:lang w:val="en-AU"/>
    </w:rPr>
  </w:style>
  <w:style w:type="paragraph" w:customStyle="1" w:styleId="64">
    <w:name w:val="_"/>
    <w:basedOn w:val="1"/>
    <w:qFormat/>
    <w:uiPriority w:val="0"/>
    <w:pPr>
      <w:adjustRightInd w:val="0"/>
      <w:spacing w:line="360" w:lineRule="auto"/>
      <w:ind w:left="480"/>
      <w:textAlignment w:val="baseline"/>
    </w:pPr>
    <w:rPr>
      <w:rFonts w:ascii="Times New Roman" w:hAnsi="Times New Roman"/>
      <w:kern w:val="0"/>
      <w:sz w:val="24"/>
      <w:szCs w:val="20"/>
    </w:rPr>
  </w:style>
  <w:style w:type="paragraph" w:customStyle="1" w:styleId="65">
    <w:name w:val="样式 Table Header + 行距: 1.5 倍行距"/>
    <w:basedOn w:val="1"/>
    <w:qFormat/>
    <w:uiPriority w:val="0"/>
    <w:pPr>
      <w:widowControl/>
      <w:overflowPunct w:val="0"/>
      <w:autoSpaceDE w:val="0"/>
      <w:autoSpaceDN w:val="0"/>
      <w:adjustRightInd w:val="0"/>
      <w:jc w:val="center"/>
      <w:textAlignment w:val="baseline"/>
    </w:pPr>
    <w:rPr>
      <w:rFonts w:ascii="Arial" w:hAnsi="Arial" w:eastAsia="Times New Roman" w:cs="宋体"/>
      <w:b/>
      <w:bCs/>
      <w:kern w:val="0"/>
      <w:sz w:val="20"/>
      <w:szCs w:val="20"/>
    </w:rPr>
  </w:style>
  <w:style w:type="paragraph" w:customStyle="1" w:styleId="66">
    <w:name w:val="TOC 标题1"/>
    <w:basedOn w:val="2"/>
    <w:next w:val="1"/>
    <w:qFormat/>
    <w:uiPriority w:val="0"/>
    <w:pPr>
      <w:widowControl/>
      <w:spacing w:before="480" w:after="0" w:line="276" w:lineRule="auto"/>
      <w:jc w:val="left"/>
      <w:outlineLvl w:val="9"/>
    </w:pPr>
    <w:rPr>
      <w:rFonts w:ascii="Cambria" w:hAnsi="Cambria"/>
      <w:color w:val="365F91"/>
      <w:kern w:val="0"/>
      <w:sz w:val="28"/>
      <w:szCs w:val="28"/>
    </w:rPr>
  </w:style>
  <w:style w:type="character" w:customStyle="1" w:styleId="67">
    <w:name w:val="正文首行缩进 Char"/>
    <w:basedOn w:val="48"/>
    <w:link w:val="30"/>
    <w:semiHidden/>
    <w:qFormat/>
    <w:uiPriority w:val="99"/>
    <w:rPr>
      <w:rFonts w:ascii="Verdana" w:hAnsi="Verdana"/>
      <w:kern w:val="2"/>
      <w:sz w:val="21"/>
      <w:szCs w:val="22"/>
      <w:lang w:val="en-GB" w:eastAsia="en-US" w:bidi="ar-SA"/>
    </w:rPr>
  </w:style>
  <w:style w:type="character" w:customStyle="1" w:styleId="68">
    <w:name w:val="正文文本缩进 Char"/>
    <w:basedOn w:val="32"/>
    <w:link w:val="15"/>
    <w:semiHidden/>
    <w:qFormat/>
    <w:uiPriority w:val="99"/>
    <w:rPr>
      <w:kern w:val="2"/>
      <w:sz w:val="21"/>
      <w:szCs w:val="22"/>
    </w:rPr>
  </w:style>
  <w:style w:type="character" w:customStyle="1" w:styleId="69">
    <w:name w:val="正文文本缩进 2 Char"/>
    <w:basedOn w:val="32"/>
    <w:link w:val="21"/>
    <w:semiHidden/>
    <w:qFormat/>
    <w:uiPriority w:val="99"/>
    <w:rPr>
      <w:kern w:val="2"/>
      <w:sz w:val="21"/>
      <w:szCs w:val="22"/>
    </w:rPr>
  </w:style>
  <w:style w:type="character" w:customStyle="1" w:styleId="70">
    <w:name w:val="Intense Emphasis"/>
    <w:basedOn w:val="32"/>
    <w:qFormat/>
    <w:uiPriority w:val="21"/>
    <w:rPr>
      <w:b/>
      <w:i/>
      <w:sz w:val="24"/>
      <w:szCs w:val="24"/>
      <w:u w:val="single"/>
    </w:rPr>
  </w:style>
  <w:style w:type="paragraph" w:customStyle="1" w:styleId="71">
    <w:name w:val="建行标题一"/>
    <w:basedOn w:val="2"/>
    <w:qFormat/>
    <w:uiPriority w:val="0"/>
    <w:pPr>
      <w:widowControl/>
      <w:numPr>
        <w:numId w:val="2"/>
      </w:numPr>
      <w:tabs>
        <w:tab w:val="left" w:pos="425"/>
      </w:tabs>
      <w:overflowPunct w:val="0"/>
      <w:autoSpaceDE w:val="0"/>
      <w:autoSpaceDN w:val="0"/>
      <w:adjustRightInd w:val="0"/>
      <w:spacing w:before="240" w:after="240" w:line="240" w:lineRule="auto"/>
      <w:jc w:val="left"/>
      <w:textAlignment w:val="baseline"/>
    </w:pPr>
    <w:rPr>
      <w:rFonts w:ascii="Tahoma" w:hAnsi="Tahoma" w:eastAsia="楷体_GB2312"/>
      <w:kern w:val="28"/>
      <w:sz w:val="30"/>
      <w:szCs w:val="22"/>
    </w:rPr>
  </w:style>
  <w:style w:type="paragraph" w:customStyle="1" w:styleId="72">
    <w:name w:val="建行标题三"/>
    <w:basedOn w:val="4"/>
    <w:next w:val="1"/>
    <w:link w:val="73"/>
    <w:qFormat/>
    <w:uiPriority w:val="0"/>
    <w:pPr>
      <w:numPr>
        <w:numId w:val="2"/>
      </w:numPr>
      <w:tabs>
        <w:tab w:val="left" w:pos="425"/>
        <w:tab w:val="left" w:pos="709"/>
      </w:tabs>
      <w:jc w:val="left"/>
    </w:pPr>
    <w:rPr>
      <w:rFonts w:ascii="Book Antiqua" w:hAnsi="Book Antiqua" w:eastAsia="楷体_GB2312"/>
      <w:sz w:val="28"/>
      <w:szCs w:val="28"/>
      <w:lang w:val="zh-CN"/>
    </w:rPr>
  </w:style>
  <w:style w:type="character" w:customStyle="1" w:styleId="73">
    <w:name w:val="建行标题三 Char Char"/>
    <w:basedOn w:val="32"/>
    <w:link w:val="72"/>
    <w:qFormat/>
    <w:uiPriority w:val="0"/>
    <w:rPr>
      <w:rFonts w:ascii="Book Antiqua" w:hAnsi="Book Antiqua" w:eastAsia="楷体_GB2312"/>
      <w:b/>
      <w:bCs/>
      <w:kern w:val="2"/>
      <w:sz w:val="28"/>
      <w:szCs w:val="28"/>
      <w:lang w:val="zh-CN"/>
    </w:rPr>
  </w:style>
  <w:style w:type="paragraph" w:customStyle="1" w:styleId="74">
    <w:name w:val="建行标题二"/>
    <w:basedOn w:val="3"/>
    <w:next w:val="1"/>
    <w:qFormat/>
    <w:uiPriority w:val="0"/>
    <w:pPr>
      <w:numPr>
        <w:numId w:val="2"/>
      </w:numPr>
      <w:tabs>
        <w:tab w:val="left" w:pos="425"/>
        <w:tab w:val="left" w:pos="567"/>
      </w:tabs>
      <w:spacing w:before="140" w:after="0"/>
      <w:jc w:val="left"/>
    </w:pPr>
    <w:rPr>
      <w:rFonts w:ascii="楷体_GB2312" w:hAnsi="Arial" w:eastAsia="楷体_GB2312"/>
      <w:spacing w:val="-4"/>
      <w:sz w:val="28"/>
    </w:rPr>
  </w:style>
  <w:style w:type="paragraph" w:customStyle="1" w:styleId="75">
    <w:name w:val="建行标题四"/>
    <w:basedOn w:val="5"/>
    <w:next w:val="1"/>
    <w:qFormat/>
    <w:uiPriority w:val="0"/>
    <w:pPr>
      <w:keepNext w:val="0"/>
      <w:keepLines w:val="0"/>
      <w:numPr>
        <w:numId w:val="2"/>
      </w:numPr>
      <w:tabs>
        <w:tab w:val="left" w:pos="311"/>
        <w:tab w:val="left" w:pos="425"/>
      </w:tabs>
      <w:autoSpaceDE w:val="0"/>
      <w:adjustRightInd w:val="0"/>
      <w:snapToGrid w:val="0"/>
      <w:spacing w:before="240" w:after="60" w:line="360" w:lineRule="auto"/>
      <w:jc w:val="left"/>
    </w:pPr>
    <w:rPr>
      <w:rFonts w:ascii="楷体_GB2312" w:hAnsi="Arial" w:eastAsia="楷体_GB2312"/>
      <w:bCs w:val="0"/>
      <w:kern w:val="2"/>
      <w:szCs w:val="20"/>
      <w:lang w:val="zh-CN"/>
    </w:rPr>
  </w:style>
  <w:style w:type="paragraph" w:customStyle="1" w:styleId="76">
    <w:name w:val="Char"/>
    <w:basedOn w:val="1"/>
    <w:qFormat/>
    <w:uiPriority w:val="0"/>
    <w:pPr>
      <w:widowControl/>
    </w:pPr>
    <w:rPr>
      <w:szCs w:val="24"/>
      <w:lang w:eastAsia="en-US" w:bidi="en-US"/>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1.e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4.emf"/><Relationship Id="rId13" Type="http://schemas.openxmlformats.org/officeDocument/2006/relationships/oleObject" Target="embeddings/oleObject4.bin"/><Relationship Id="rId12" Type="http://schemas.openxmlformats.org/officeDocument/2006/relationships/image" Target="media/image3.emf"/><Relationship Id="rId11" Type="http://schemas.openxmlformats.org/officeDocument/2006/relationships/oleObject" Target="embeddings/oleObject3.bin"/><Relationship Id="rId10" Type="http://schemas.openxmlformats.org/officeDocument/2006/relationships/image" Target="media/image2.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8"/>
    <customShpInfo spid="_x0000_s1027"/>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ECA968D-9271-455B-8DA1-4863A4DBE690}">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15</Pages>
  <Words>1512</Words>
  <Characters>8621</Characters>
  <Lines>71</Lines>
  <Paragraphs>20</Paragraphs>
  <TotalTime>20</TotalTime>
  <ScaleCrop>false</ScaleCrop>
  <LinksUpToDate>false</LinksUpToDate>
  <CharactersWithSpaces>10113</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2012-12-17T08:31:00Z</dcterms:created>
  <dc:creator>微软用户</dc:creator>
  <cp:lastModifiedBy>简单点</cp:lastModifiedBy>
  <cp:lastPrinted>1900-12-31T16:00:00Z</cp:lastPrinted>
  <dcterms:modified xsi:type="dcterms:W3CDTF">2023-05-24T07:27:00Z</dcterms:modified>
  <dc:title>_x0001_</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CCF78ABE6CE84294BFFE2A38BCCF1259_13</vt:lpwstr>
  </property>
</Properties>
</file>