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Varela Round" w:cs="Varela Round" w:eastAsia="Varela Round" w:hAnsi="Varela Round"/>
          <w:b w:val="1"/>
          <w:sz w:val="28"/>
          <w:szCs w:val="28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8"/>
          <w:szCs w:val="28"/>
          <w:rtl w:val="0"/>
        </w:rPr>
        <w:t xml:space="preserve">Acceptable Use Policy</w:t>
      </w:r>
    </w:p>
    <w:p w:rsidR="00000000" w:rsidDel="00000000" w:rsidP="00000000" w:rsidRDefault="00000000" w:rsidRPr="00000000" w14:paraId="00000001">
      <w:pPr>
        <w:jc w:val="center"/>
        <w:rPr>
          <w:rFonts w:ascii="Varela Round" w:cs="Varela Round" w:eastAsia="Varela Round" w:hAnsi="Varela Rou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0"/>
        </w:rPr>
        <w:t xml:space="preserve">1) System Usage Guidelines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Guidelines apply to: ALL users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Use Authorized to: Verified employees per application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Personal Use: System may be used for limited personal use within reason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Data ownership: All created and accessed data is under company ownership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Conditions of Access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1. Password changes are the responsibility of the user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2. Account should only be accessed by owner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3. Large downloads should be avoided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4. Suspected/ actual security breaches must be reported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5. Computer must be locked when left unattended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Unauthorized Uses: Illegal/ Unlawful activity is not permitted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Breach of Guidelines: May result in suspension or termination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0"/>
        </w:rPr>
        <w:t xml:space="preserve">2) Allowed Applications on the network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Large downloads should be avoided to ensure reliable network speed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No installations permitted without acceptable business use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Personal/social applications are not permitted during work hours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Unlawful applications are not permitted 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0"/>
        </w:rPr>
        <w:t xml:space="preserve">3) Peer to Peer sharing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Peer to Peer sharing should be limited to appropriate contacts within the company and approved partners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Supervisor should be contacted if there are any questions regarding approved partners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466725</wp:posOffset>
            </wp:positionV>
            <wp:extent cx="1731269" cy="21193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1269" cy="2119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 order to protect sensitive information, there will be restrictions on where sensitive files can be saved and accessed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File naming conventions should not disclose sensitive document contents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Peer to Peer networks should be monitored for sensitive information </w:t>
      </w:r>
    </w:p>
    <w:p w:rsidR="00000000" w:rsidDel="00000000" w:rsidP="00000000" w:rsidRDefault="00000000" w:rsidRPr="00000000" w14:paraId="0000001F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