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B223" w14:textId="77777777" w:rsidR="00742B44" w:rsidRPr="00C06953" w:rsidRDefault="00742B44" w:rsidP="00742B44">
      <w:pPr>
        <w:spacing w:before="100" w:beforeAutospacing="1" w:after="100" w:afterAutospacing="1"/>
        <w:ind w:left="-540"/>
        <w:outlineLvl w:val="0"/>
        <w:rPr>
          <w:rFonts w:ascii="Avenir Next" w:eastAsiaTheme="minorHAnsi" w:hAnsi="Avenir Next"/>
          <w:b/>
          <w:bCs/>
          <w:color w:val="B60400"/>
          <w:sz w:val="32"/>
          <w:szCs w:val="32"/>
          <w:lang w:val="en"/>
        </w:rPr>
      </w:pPr>
      <w:r w:rsidRPr="00C06953">
        <w:rPr>
          <w:rFonts w:ascii="Avenir Next" w:eastAsiaTheme="minorHAnsi" w:hAnsi="Avenir Next"/>
          <w:b/>
          <w:bCs/>
          <w:color w:val="B60400"/>
          <w:sz w:val="32"/>
          <w:szCs w:val="32"/>
          <w:lang w:val="en"/>
        </w:rPr>
        <w:t>The Art of Communicating Science</w:t>
      </w:r>
      <w:r>
        <w:rPr>
          <w:rFonts w:ascii="Avenir Next" w:eastAsiaTheme="minorHAnsi" w:hAnsi="Avenir Next"/>
          <w:b/>
          <w:bCs/>
          <w:color w:val="B60400"/>
          <w:sz w:val="32"/>
          <w:szCs w:val="32"/>
          <w:lang w:val="en"/>
        </w:rPr>
        <w:t xml:space="preserve">: </w:t>
      </w:r>
      <w:r w:rsidRPr="00C06953">
        <w:rPr>
          <w:rFonts w:ascii="Avenir Next" w:eastAsiaTheme="minorHAnsi" w:hAnsi="Avenir Next"/>
          <w:b/>
          <w:bCs/>
          <w:color w:val="B60400"/>
          <w:sz w:val="32"/>
          <w:szCs w:val="32"/>
          <w:lang w:val="en"/>
        </w:rPr>
        <w:t>A Guide &amp; Checklist</w:t>
      </w:r>
    </w:p>
    <w:p w14:paraId="7A3EB4B0" w14:textId="56A6656D" w:rsidR="00742B44" w:rsidRPr="00C06953" w:rsidRDefault="00742B44" w:rsidP="00742B44">
      <w:pPr>
        <w:spacing w:after="0" w:line="360" w:lineRule="auto"/>
        <w:ind w:left="-540" w:right="-540"/>
        <w:rPr>
          <w:rFonts w:ascii="Avenir Next" w:hAnsi="Avenir Next"/>
        </w:rPr>
      </w:pPr>
      <w:r w:rsidRPr="00C06953">
        <w:rPr>
          <w:rFonts w:ascii="Avenir Next" w:hAnsi="Avenir Next"/>
        </w:rPr>
        <w:t>Souvik Mandal, Ph.D.</w:t>
      </w:r>
      <w:r w:rsidR="00797369">
        <w:rPr>
          <w:rFonts w:ascii="Avenir Next" w:hAnsi="Avenir Next"/>
        </w:rPr>
        <w:t xml:space="preserve"> Email: </w:t>
      </w:r>
      <w:hyperlink r:id="rId7" w:history="1">
        <w:r w:rsidR="00797369" w:rsidRPr="00DB468F">
          <w:rPr>
            <w:rStyle w:val="Hyperlink"/>
            <w:rFonts w:ascii="Avenir Next" w:hAnsi="Avenir Next"/>
          </w:rPr>
          <w:t>souvik_mandal@g.harvard.edu</w:t>
        </w:r>
      </w:hyperlink>
      <w:r w:rsidR="00797369">
        <w:rPr>
          <w:rFonts w:ascii="Avenir Next" w:hAnsi="Avenir Next"/>
        </w:rPr>
        <w:t xml:space="preserve"> </w:t>
      </w:r>
    </w:p>
    <w:p w14:paraId="52A6CB2F" w14:textId="5FC55E92" w:rsidR="00742B44" w:rsidRDefault="001B792D" w:rsidP="00742B44">
      <w:pPr>
        <w:spacing w:after="0" w:line="360" w:lineRule="auto"/>
        <w:ind w:left="-540" w:right="-540"/>
        <w:rPr>
          <w:rFonts w:ascii="Avenir Next" w:hAnsi="Avenir Next"/>
        </w:rPr>
      </w:pPr>
      <w:r>
        <w:rPr>
          <w:rFonts w:ascii="Avenir Next" w:hAnsi="Avenir Next"/>
        </w:rPr>
        <w:t>Project Leader</w:t>
      </w:r>
      <w:r w:rsidR="00742B44" w:rsidRPr="00C06953">
        <w:rPr>
          <w:rFonts w:ascii="Avenir Next" w:hAnsi="Avenir Next"/>
        </w:rPr>
        <w:t xml:space="preserve">, </w:t>
      </w:r>
      <w:r>
        <w:rPr>
          <w:rFonts w:ascii="Avenir Next" w:hAnsi="Avenir Next"/>
        </w:rPr>
        <w:t xml:space="preserve">LS100 - </w:t>
      </w:r>
      <w:r w:rsidRPr="001B792D">
        <w:rPr>
          <w:rFonts w:ascii="Avenir Next" w:hAnsi="Avenir Next"/>
          <w:i/>
          <w:iCs/>
        </w:rPr>
        <w:t>Experimental Research in the Life Sciences</w:t>
      </w:r>
      <w:r>
        <w:rPr>
          <w:rFonts w:ascii="Avenir Next" w:hAnsi="Avenir Next"/>
        </w:rPr>
        <w:t xml:space="preserve">, FAS, </w:t>
      </w:r>
      <w:r w:rsidR="00742B44" w:rsidRPr="00C06953">
        <w:rPr>
          <w:rFonts w:ascii="Avenir Next" w:hAnsi="Avenir Next"/>
        </w:rPr>
        <w:t>Harvard University</w:t>
      </w:r>
    </w:p>
    <w:p w14:paraId="63CD9EAB" w14:textId="77777777" w:rsidR="00742B44" w:rsidRPr="00991E47" w:rsidRDefault="006552F5" w:rsidP="00742B44">
      <w:pPr>
        <w:spacing w:line="360" w:lineRule="auto"/>
        <w:ind w:left="-540" w:right="-540"/>
        <w:rPr>
          <w:rFonts w:ascii="Avenir Next" w:hAnsi="Avenir Next"/>
        </w:rPr>
      </w:pPr>
      <w:r w:rsidRPr="006552F5">
        <w:rPr>
          <w:rFonts w:ascii="Avenir Next" w:hAnsi="Avenir Next"/>
          <w:noProof/>
          <w14:ligatures w14:val="standardContextual"/>
        </w:rPr>
        <w:pict w14:anchorId="20D535ED">
          <v:rect id="_x0000_i1025" alt="" style="width:468pt;height:.05pt;mso-width-percent:0;mso-height-percent:0;mso-width-percent:0;mso-height-percent:0" o:hralign="center" o:hrstd="t" o:hr="t" fillcolor="#a0a0a0" stroked="f"/>
        </w:pict>
      </w:r>
    </w:p>
    <w:p w14:paraId="79134937" w14:textId="56A98E18" w:rsidR="000947E6" w:rsidRPr="00AD3D87" w:rsidRDefault="00742B44" w:rsidP="00AD3D87">
      <w:pPr>
        <w:spacing w:line="360" w:lineRule="auto"/>
        <w:ind w:left="-540" w:right="-540"/>
        <w:rPr>
          <w:rFonts w:ascii="Avenir Next" w:hAnsi="Avenir Next"/>
          <w:sz w:val="21"/>
          <w:szCs w:val="21"/>
        </w:rPr>
      </w:pPr>
      <w:r w:rsidRPr="00AD3D87">
        <w:rPr>
          <w:rFonts w:ascii="Avenir Next" w:hAnsi="Avenir Next"/>
          <w:sz w:val="21"/>
          <w:szCs w:val="21"/>
        </w:rPr>
        <w:t xml:space="preserve">Science </w:t>
      </w:r>
      <w:r w:rsidR="0048717A" w:rsidRPr="00AD3D87">
        <w:rPr>
          <w:rFonts w:ascii="Avenir Next" w:hAnsi="Avenir Next"/>
          <w:sz w:val="21"/>
          <w:szCs w:val="21"/>
        </w:rPr>
        <w:t>c</w:t>
      </w:r>
      <w:r w:rsidRPr="00AD3D87">
        <w:rPr>
          <w:rFonts w:ascii="Avenir Next" w:hAnsi="Avenir Next"/>
          <w:sz w:val="21"/>
          <w:szCs w:val="21"/>
        </w:rPr>
        <w:t xml:space="preserve">ommunication is not about </w:t>
      </w:r>
      <w:r w:rsidR="004617B8" w:rsidRPr="00AD3D87">
        <w:rPr>
          <w:rFonts w:ascii="Avenir Next" w:hAnsi="Avenir Next"/>
          <w:sz w:val="21"/>
          <w:szCs w:val="21"/>
        </w:rPr>
        <w:t xml:space="preserve">translating </w:t>
      </w:r>
      <w:r w:rsidRPr="00AD3D87">
        <w:rPr>
          <w:rFonts w:ascii="Avenir Next" w:hAnsi="Avenir Next"/>
          <w:sz w:val="21"/>
          <w:szCs w:val="21"/>
        </w:rPr>
        <w:t xml:space="preserve">scientific knowledge into </w:t>
      </w:r>
      <w:r w:rsidR="004617B8" w:rsidRPr="00AD3D87">
        <w:rPr>
          <w:rFonts w:ascii="Avenir Next" w:hAnsi="Avenir Next"/>
          <w:sz w:val="21"/>
          <w:szCs w:val="21"/>
        </w:rPr>
        <w:t xml:space="preserve">simplified </w:t>
      </w:r>
      <w:r w:rsidR="00235BFC" w:rsidRPr="00AD3D87">
        <w:rPr>
          <w:rFonts w:ascii="Avenir Next" w:hAnsi="Avenir Next"/>
          <w:sz w:val="21"/>
          <w:szCs w:val="21"/>
        </w:rPr>
        <w:t>take-home messages</w:t>
      </w:r>
      <w:r w:rsidRPr="00AD3D87">
        <w:rPr>
          <w:rFonts w:ascii="Avenir Next" w:hAnsi="Avenir Next"/>
          <w:sz w:val="21"/>
          <w:szCs w:val="21"/>
        </w:rPr>
        <w:t xml:space="preserve">; it is about </w:t>
      </w:r>
      <w:r w:rsidR="00EF6788" w:rsidRPr="00AD3D87">
        <w:rPr>
          <w:rFonts w:ascii="Avenir Next" w:hAnsi="Avenir Next"/>
          <w:sz w:val="21"/>
          <w:szCs w:val="21"/>
        </w:rPr>
        <w:t xml:space="preserve">connecting with and evoking thoughts </w:t>
      </w:r>
      <w:r w:rsidR="00DF5A2F" w:rsidRPr="00AD3D87">
        <w:rPr>
          <w:rFonts w:ascii="Avenir Next" w:hAnsi="Avenir Next"/>
          <w:sz w:val="21"/>
          <w:szCs w:val="21"/>
        </w:rPr>
        <w:t xml:space="preserve">about scientific topics </w:t>
      </w:r>
      <w:r w:rsidR="00EF6788" w:rsidRPr="00AD3D87">
        <w:rPr>
          <w:rFonts w:ascii="Avenir Next" w:hAnsi="Avenir Next"/>
          <w:sz w:val="21"/>
          <w:szCs w:val="21"/>
        </w:rPr>
        <w:t xml:space="preserve">in </w:t>
      </w:r>
      <w:r w:rsidR="0048717A" w:rsidRPr="00AD3D87">
        <w:rPr>
          <w:rFonts w:ascii="Avenir Next" w:hAnsi="Avenir Next"/>
          <w:sz w:val="21"/>
          <w:szCs w:val="21"/>
        </w:rPr>
        <w:t>the</w:t>
      </w:r>
      <w:r w:rsidR="00EF6788" w:rsidRPr="00AD3D87">
        <w:rPr>
          <w:rFonts w:ascii="Avenir Next" w:hAnsi="Avenir Next"/>
          <w:sz w:val="21"/>
          <w:szCs w:val="21"/>
        </w:rPr>
        <w:t xml:space="preserve"> audience through narrative storytelling.</w:t>
      </w:r>
      <w:r w:rsidR="000947E6" w:rsidRPr="00AD3D87">
        <w:rPr>
          <w:rFonts w:ascii="Avenir Next" w:hAnsi="Avenir Next"/>
          <w:sz w:val="21"/>
          <w:szCs w:val="21"/>
        </w:rPr>
        <w:t xml:space="preserve"> </w:t>
      </w:r>
      <w:r w:rsidR="0061570C" w:rsidRPr="00AD3D87">
        <w:rPr>
          <w:rFonts w:ascii="Avenir Next" w:hAnsi="Avenir Next"/>
          <w:sz w:val="21"/>
          <w:szCs w:val="21"/>
        </w:rPr>
        <w:t>Effective science communication builds understanding</w:t>
      </w:r>
      <w:r w:rsidR="004617B8" w:rsidRPr="00AD3D87">
        <w:rPr>
          <w:rFonts w:ascii="Avenir Next" w:hAnsi="Avenir Next"/>
          <w:sz w:val="21"/>
          <w:szCs w:val="21"/>
        </w:rPr>
        <w:t>,</w:t>
      </w:r>
      <w:r w:rsidR="0061570C" w:rsidRPr="00AD3D87">
        <w:rPr>
          <w:rFonts w:ascii="Avenir Next" w:hAnsi="Avenir Next"/>
          <w:sz w:val="21"/>
          <w:szCs w:val="21"/>
        </w:rPr>
        <w:t xml:space="preserve"> curiosity</w:t>
      </w:r>
      <w:r w:rsidR="004617B8" w:rsidRPr="00AD3D87">
        <w:rPr>
          <w:rFonts w:ascii="Avenir Next" w:hAnsi="Avenir Next"/>
          <w:sz w:val="21"/>
          <w:szCs w:val="21"/>
        </w:rPr>
        <w:t>, and trust in science</w:t>
      </w:r>
      <w:r w:rsidR="0061570C" w:rsidRPr="00AD3D87">
        <w:rPr>
          <w:rFonts w:ascii="Avenir Next" w:hAnsi="Avenir Next"/>
          <w:sz w:val="21"/>
          <w:szCs w:val="21"/>
        </w:rPr>
        <w:t xml:space="preserve"> by linking evidence with human experience. </w:t>
      </w:r>
      <w:r w:rsidR="0048717A" w:rsidRPr="00AD3D87">
        <w:rPr>
          <w:rFonts w:ascii="Avenir Next" w:hAnsi="Avenir Next"/>
          <w:sz w:val="21"/>
          <w:szCs w:val="21"/>
        </w:rPr>
        <w:t xml:space="preserve">This article outlines a framework for designing and delivering oral presentations that combine narrative structure, visual clarity, and authentic delivery. </w:t>
      </w:r>
      <w:r w:rsidR="0061570C" w:rsidRPr="00AD3D87">
        <w:rPr>
          <w:rFonts w:ascii="Avenir Next" w:hAnsi="Avenir Next"/>
          <w:sz w:val="21"/>
          <w:szCs w:val="21"/>
        </w:rPr>
        <w:t xml:space="preserve">The key concepts include audience mapping, narrative framing, visual design, and delivery of the talk - emphasizing </w:t>
      </w:r>
      <w:r w:rsidR="0048717A" w:rsidRPr="00AD3D87">
        <w:rPr>
          <w:rFonts w:ascii="Avenir Next" w:hAnsi="Avenir Next"/>
          <w:sz w:val="21"/>
          <w:szCs w:val="21"/>
        </w:rPr>
        <w:t>coherent</w:t>
      </w:r>
      <w:r w:rsidR="0061570C" w:rsidRPr="00AD3D87">
        <w:rPr>
          <w:rFonts w:ascii="Avenir Next" w:hAnsi="Avenir Next"/>
          <w:sz w:val="21"/>
          <w:szCs w:val="21"/>
        </w:rPr>
        <w:t xml:space="preserve"> storytelling without diluting </w:t>
      </w:r>
      <w:r w:rsidR="0048717A" w:rsidRPr="00AD3D87">
        <w:rPr>
          <w:rFonts w:ascii="Avenir Next" w:hAnsi="Avenir Next"/>
          <w:sz w:val="21"/>
          <w:szCs w:val="21"/>
        </w:rPr>
        <w:t xml:space="preserve">scientific </w:t>
      </w:r>
      <w:r w:rsidR="0061570C" w:rsidRPr="00AD3D87">
        <w:rPr>
          <w:rFonts w:ascii="Avenir Next" w:hAnsi="Avenir Next"/>
          <w:sz w:val="21"/>
          <w:szCs w:val="21"/>
        </w:rPr>
        <w:t xml:space="preserve">rigor. </w:t>
      </w:r>
      <w:r w:rsidR="0048717A" w:rsidRPr="00AD3D87">
        <w:rPr>
          <w:rFonts w:ascii="Avenir Next" w:hAnsi="Avenir Next"/>
          <w:sz w:val="21"/>
          <w:szCs w:val="21"/>
        </w:rPr>
        <w:t>Although</w:t>
      </w:r>
      <w:r w:rsidR="0061570C" w:rsidRPr="00AD3D87">
        <w:rPr>
          <w:rFonts w:ascii="Avenir Next" w:hAnsi="Avenir Next"/>
          <w:sz w:val="21"/>
          <w:szCs w:val="21"/>
        </w:rPr>
        <w:t xml:space="preserve"> the focus </w:t>
      </w:r>
      <w:r w:rsidR="0048717A" w:rsidRPr="00AD3D87">
        <w:rPr>
          <w:rFonts w:ascii="Avenir Next" w:hAnsi="Avenir Next"/>
          <w:sz w:val="21"/>
          <w:szCs w:val="21"/>
        </w:rPr>
        <w:t xml:space="preserve">on this article </w:t>
      </w:r>
      <w:r w:rsidR="0061570C" w:rsidRPr="00AD3D87">
        <w:rPr>
          <w:rFonts w:ascii="Avenir Next" w:hAnsi="Avenir Next"/>
          <w:sz w:val="21"/>
          <w:szCs w:val="21"/>
        </w:rPr>
        <w:t>is on oral presentation, the underlying principles—contextual framing, ethical data representation, and emotional resonance—</w:t>
      </w:r>
      <w:r w:rsidR="00CD16E0" w:rsidRPr="00AD3D87">
        <w:rPr>
          <w:rFonts w:ascii="Avenir Next" w:hAnsi="Avenir Next"/>
          <w:sz w:val="21"/>
          <w:szCs w:val="21"/>
        </w:rPr>
        <w:t>extend</w:t>
      </w:r>
      <w:r w:rsidR="0061570C" w:rsidRPr="00AD3D87">
        <w:rPr>
          <w:rFonts w:ascii="Avenir Next" w:hAnsi="Avenir Next"/>
          <w:sz w:val="21"/>
          <w:szCs w:val="21"/>
        </w:rPr>
        <w:t xml:space="preserve"> to other form</w:t>
      </w:r>
      <w:r w:rsidR="0048717A" w:rsidRPr="00AD3D87">
        <w:rPr>
          <w:rFonts w:ascii="Avenir Next" w:hAnsi="Avenir Next"/>
          <w:sz w:val="21"/>
          <w:szCs w:val="21"/>
        </w:rPr>
        <w:t>ats</w:t>
      </w:r>
      <w:r w:rsidR="0061570C" w:rsidRPr="00AD3D87">
        <w:rPr>
          <w:rFonts w:ascii="Avenir Next" w:hAnsi="Avenir Next"/>
          <w:sz w:val="21"/>
          <w:szCs w:val="21"/>
        </w:rPr>
        <w:t xml:space="preserve"> of science communication including posters, written formats such as popular articles or research papers, and audiovisual media. </w:t>
      </w:r>
      <w:r w:rsidR="00CD16E0" w:rsidRPr="00AD3D87">
        <w:rPr>
          <w:rFonts w:ascii="Avenir Next" w:hAnsi="Avenir Next"/>
          <w:sz w:val="21"/>
          <w:szCs w:val="21"/>
        </w:rPr>
        <w:t>The article concludes with practical checklists and rubrics that support both preparation and reflective evaluation of scientific communication practice</w:t>
      </w:r>
      <w:r w:rsidR="0061570C" w:rsidRPr="00AD3D87">
        <w:rPr>
          <w:rFonts w:ascii="Avenir Next" w:hAnsi="Avenir Next"/>
          <w:sz w:val="21"/>
          <w:szCs w:val="21"/>
        </w:rPr>
        <w:t>.</w:t>
      </w:r>
    </w:p>
    <w:p w14:paraId="3AA30D41" w14:textId="7FF2C3D8" w:rsidR="00742B44" w:rsidRPr="00D73A46" w:rsidRDefault="00742B44" w:rsidP="00782935">
      <w:pPr>
        <w:pStyle w:val="Heading1"/>
        <w:numPr>
          <w:ilvl w:val="0"/>
          <w:numId w:val="2"/>
        </w:numPr>
        <w:spacing w:line="360" w:lineRule="auto"/>
        <w:ind w:right="-540"/>
        <w:rPr>
          <w:rFonts w:ascii="Avenir Next" w:hAnsi="Avenir Next"/>
          <w:b/>
          <w:bCs/>
          <w:color w:val="auto"/>
          <w:sz w:val="28"/>
          <w:szCs w:val="28"/>
        </w:rPr>
      </w:pPr>
      <w:r w:rsidRPr="00D73A46">
        <w:rPr>
          <w:rFonts w:ascii="Avenir Next" w:hAnsi="Avenir Next"/>
          <w:b/>
          <w:bCs/>
          <w:color w:val="auto"/>
          <w:sz w:val="28"/>
          <w:szCs w:val="28"/>
        </w:rPr>
        <w:t>Introduction</w:t>
      </w:r>
    </w:p>
    <w:p w14:paraId="4E5A6F3D" w14:textId="412F7229" w:rsidR="00AD3D87" w:rsidRPr="00AD3D87" w:rsidRDefault="00AD3D87" w:rsidP="00AD3D87">
      <w:pPr>
        <w:spacing w:line="360" w:lineRule="auto"/>
        <w:ind w:left="-540"/>
        <w:rPr>
          <w:rFonts w:ascii="Avenir Next" w:hAnsi="Avenir Next"/>
        </w:rPr>
      </w:pPr>
      <w:r w:rsidRPr="00AD3D87">
        <w:rPr>
          <w:rFonts w:ascii="Avenir Next" w:hAnsi="Avenir Next"/>
        </w:rPr>
        <w:t xml:space="preserve">Science communication is not primarily a matter of translating complex facts into simplified slogans. It is the practice of </w:t>
      </w:r>
      <w:r w:rsidRPr="00AD3D87">
        <w:rPr>
          <w:rFonts w:ascii="Avenir Next" w:hAnsi="Avenir Next"/>
          <w:b/>
          <w:bCs/>
        </w:rPr>
        <w:t>connecting human concerns</w:t>
      </w:r>
      <w:r w:rsidRPr="00D73A46">
        <w:rPr>
          <w:rFonts w:ascii="Avenir Next" w:hAnsi="Avenir Next"/>
          <w:b/>
          <w:bCs/>
        </w:rPr>
        <w:t xml:space="preserve"> </w:t>
      </w:r>
      <w:r w:rsidR="00D73A46" w:rsidRPr="00D73A46">
        <w:rPr>
          <w:rFonts w:ascii="Avenir Next" w:hAnsi="Avenir Next"/>
          <w:b/>
          <w:bCs/>
        </w:rPr>
        <w:t xml:space="preserve">to </w:t>
      </w:r>
      <w:r w:rsidR="00D73A46" w:rsidRPr="00AD3D87">
        <w:rPr>
          <w:rFonts w:ascii="Avenir Next" w:hAnsi="Avenir Next"/>
          <w:b/>
          <w:bCs/>
        </w:rPr>
        <w:t>evidence</w:t>
      </w:r>
      <w:r w:rsidR="00D73A46" w:rsidRPr="00AD3D87">
        <w:rPr>
          <w:rFonts w:ascii="Avenir Next" w:hAnsi="Avenir Next"/>
        </w:rPr>
        <w:t xml:space="preserve"> </w:t>
      </w:r>
      <w:r w:rsidRPr="00AD3D87">
        <w:rPr>
          <w:rFonts w:ascii="Avenir Next" w:hAnsi="Avenir Next"/>
        </w:rPr>
        <w:t>in ways that help audiences make sense of questions that matter to them</w:t>
      </w:r>
      <w:r w:rsidR="00D73A46">
        <w:rPr>
          <w:rFonts w:ascii="Avenir Next" w:hAnsi="Avenir Next"/>
        </w:rPr>
        <w:t xml:space="preserve"> – e.g., knowledge production, applied sciences like </w:t>
      </w:r>
      <w:r w:rsidRPr="00AD3D87">
        <w:rPr>
          <w:rFonts w:ascii="Avenir Next" w:hAnsi="Avenir Next"/>
        </w:rPr>
        <w:t xml:space="preserve">health, environment, technology, and public life. Doing this requires aligning </w:t>
      </w:r>
      <w:r w:rsidRPr="00AD3D87">
        <w:rPr>
          <w:rFonts w:ascii="Avenir Next" w:hAnsi="Avenir Next"/>
          <w:b/>
          <w:bCs/>
        </w:rPr>
        <w:t>what the audience cares about</w:t>
      </w:r>
      <w:r w:rsidRPr="00AD3D87">
        <w:rPr>
          <w:rFonts w:ascii="Avenir Next" w:hAnsi="Avenir Next"/>
        </w:rPr>
        <w:t xml:space="preserve"> with </w:t>
      </w:r>
      <w:r w:rsidRPr="00AD3D87">
        <w:rPr>
          <w:rFonts w:ascii="Avenir Next" w:hAnsi="Avenir Next"/>
          <w:b/>
          <w:bCs/>
        </w:rPr>
        <w:t>what the evidence shows</w:t>
      </w:r>
      <w:r w:rsidRPr="00AD3D87">
        <w:rPr>
          <w:rFonts w:ascii="Avenir Next" w:hAnsi="Avenir Next"/>
        </w:rPr>
        <w:t xml:space="preserve"> and </w:t>
      </w:r>
      <w:r w:rsidRPr="00AD3D87">
        <w:rPr>
          <w:rFonts w:ascii="Avenir Next" w:hAnsi="Avenir Next"/>
          <w:b/>
          <w:bCs/>
        </w:rPr>
        <w:t>what decisions or actions are at stake</w:t>
      </w:r>
      <w:r w:rsidRPr="00AD3D87">
        <w:rPr>
          <w:rFonts w:ascii="Avenir Next" w:hAnsi="Avenir Next"/>
        </w:rPr>
        <w:t>. Research syntheses from the National Academies emphasize that effective practice is audience</w:t>
      </w:r>
      <w:r w:rsidRPr="00AD3D87">
        <w:rPr>
          <w:rFonts w:ascii="Cambria Math" w:hAnsi="Cambria Math" w:cs="Cambria Math"/>
        </w:rPr>
        <w:t>‑</w:t>
      </w:r>
      <w:r w:rsidRPr="00AD3D87">
        <w:rPr>
          <w:rFonts w:ascii="Avenir Next" w:hAnsi="Avenir Next"/>
        </w:rPr>
        <w:t xml:space="preserve"> and context</w:t>
      </w:r>
      <w:r w:rsidRPr="00AD3D87">
        <w:rPr>
          <w:rFonts w:ascii="Cambria Math" w:hAnsi="Cambria Math" w:cs="Cambria Math"/>
        </w:rPr>
        <w:t>‑</w:t>
      </w:r>
      <w:r w:rsidRPr="00AD3D87">
        <w:rPr>
          <w:rFonts w:ascii="Avenir Next" w:hAnsi="Avenir Next"/>
        </w:rPr>
        <w:t xml:space="preserve">dependent, and that communicators should move beyond the “deficit” assumption (more facts </w:t>
      </w:r>
      <w:r w:rsidRPr="00AD3D87">
        <w:rPr>
          <w:rFonts w:ascii="Arial" w:hAnsi="Arial" w:cs="Arial"/>
        </w:rPr>
        <w:t>→</w:t>
      </w:r>
      <w:r w:rsidRPr="00AD3D87">
        <w:rPr>
          <w:rFonts w:ascii="Avenir Next" w:hAnsi="Avenir Next"/>
        </w:rPr>
        <w:t xml:space="preserve"> more agreement) toward approaches that consider values, identities, and goals</w:t>
      </w:r>
      <w:r w:rsidRPr="00AD3D87">
        <w:rPr>
          <w:rFonts w:ascii="Avenir Next" w:hAnsi="Avenir Next"/>
          <w:vertAlign w:val="superscript"/>
        </w:rPr>
        <w:t xml:space="preserve"> [1]</w:t>
      </w:r>
      <w:r w:rsidRPr="00AD3D87">
        <w:rPr>
          <w:rFonts w:ascii="Avenir Next" w:hAnsi="Avenir Next"/>
        </w:rPr>
        <w:t>.</w:t>
      </w:r>
    </w:p>
    <w:p w14:paraId="7E6A4CCD" w14:textId="77777777" w:rsidR="00AD3D87" w:rsidRDefault="00AD3D87" w:rsidP="00AD3D87"/>
    <w:p w14:paraId="64B3FBFF" w14:textId="42FD9273" w:rsidR="00AD3D87" w:rsidRPr="006F4BF7" w:rsidRDefault="00AD3D87" w:rsidP="006F4BF7">
      <w:pPr>
        <w:spacing w:line="360" w:lineRule="auto"/>
        <w:ind w:left="-540"/>
        <w:rPr>
          <w:rFonts w:ascii="Avenir Next" w:hAnsi="Avenir Next"/>
        </w:rPr>
      </w:pPr>
      <w:r w:rsidRPr="006F4BF7">
        <w:rPr>
          <w:rFonts w:ascii="Avenir Next" w:hAnsi="Avenir Next"/>
        </w:rPr>
        <w:t xml:space="preserve">Growing evidence base supports </w:t>
      </w:r>
      <w:r w:rsidRPr="006F4BF7">
        <w:rPr>
          <w:rFonts w:ascii="Avenir Next" w:hAnsi="Avenir Next"/>
          <w:b/>
          <w:bCs/>
        </w:rPr>
        <w:t>narrative</w:t>
      </w:r>
      <w:r w:rsidRPr="006F4BF7">
        <w:rPr>
          <w:rFonts w:ascii="Avenir Next" w:hAnsi="Avenir Next"/>
        </w:rPr>
        <w:t xml:space="preserve"> as a particularly potent structure for that alignment. Narrative formats can increase comprehension, interest, and engagement—especially for non</w:t>
      </w:r>
      <w:r w:rsidRPr="006F4BF7">
        <w:rPr>
          <w:rFonts w:ascii="Cambria Math" w:hAnsi="Cambria Math" w:cs="Cambria Math"/>
        </w:rPr>
        <w:t>‑</w:t>
      </w:r>
      <w:r w:rsidRPr="006F4BF7">
        <w:rPr>
          <w:rFonts w:ascii="Avenir Next" w:hAnsi="Avenir Next"/>
        </w:rPr>
        <w:t>expert audiences who encounter most science via narrative</w:t>
      </w:r>
      <w:r w:rsidRPr="006F4BF7">
        <w:rPr>
          <w:rFonts w:ascii="Cambria Math" w:hAnsi="Cambria Math" w:cs="Cambria Math"/>
        </w:rPr>
        <w:t>‑</w:t>
      </w:r>
      <w:r w:rsidRPr="006F4BF7">
        <w:rPr>
          <w:rFonts w:ascii="Avenir Next" w:hAnsi="Avenir Next"/>
        </w:rPr>
        <w:t xml:space="preserve">biased media—provided stories are used ethically and do not distort uncertainty or mechanisms. In science settings, narrative should serve accuracy: a clear arc (problem </w:t>
      </w:r>
      <w:r w:rsidRPr="006F4BF7">
        <w:rPr>
          <w:rFonts w:ascii="Arial" w:hAnsi="Arial" w:cs="Arial"/>
        </w:rPr>
        <w:t>→</w:t>
      </w:r>
      <w:r w:rsidRPr="006F4BF7">
        <w:rPr>
          <w:rFonts w:ascii="Avenir Next" w:hAnsi="Avenir Next"/>
        </w:rPr>
        <w:t xml:space="preserve"> approach </w:t>
      </w:r>
      <w:r w:rsidRPr="006F4BF7">
        <w:rPr>
          <w:rFonts w:ascii="Arial" w:hAnsi="Arial" w:cs="Arial"/>
        </w:rPr>
        <w:t>→</w:t>
      </w:r>
      <w:r w:rsidRPr="006F4BF7">
        <w:rPr>
          <w:rFonts w:ascii="Avenir Next" w:hAnsi="Avenir Next"/>
        </w:rPr>
        <w:t xml:space="preserve"> evidence </w:t>
      </w:r>
      <w:r w:rsidRPr="006F4BF7">
        <w:rPr>
          <w:rFonts w:ascii="Arial" w:hAnsi="Arial" w:cs="Arial"/>
        </w:rPr>
        <w:t>→</w:t>
      </w:r>
      <w:r w:rsidRPr="006F4BF7">
        <w:rPr>
          <w:rFonts w:ascii="Avenir Next" w:hAnsi="Avenir Next"/>
        </w:rPr>
        <w:t xml:space="preserve"> implications) accompanied by transparent limits </w:t>
      </w:r>
      <w:r w:rsidRPr="006F4BF7">
        <w:rPr>
          <w:rFonts w:ascii="Avenir Next" w:hAnsi="Avenir Next"/>
          <w:vertAlign w:val="superscript"/>
        </w:rPr>
        <w:t>[2]</w:t>
      </w:r>
      <w:r w:rsidRPr="006F4BF7">
        <w:rPr>
          <w:rFonts w:ascii="Avenir Next" w:hAnsi="Avenir Next"/>
        </w:rPr>
        <w:t>.</w:t>
      </w:r>
    </w:p>
    <w:p w14:paraId="48885309" w14:textId="63BD1737" w:rsidR="00AD3D87" w:rsidRPr="006F4BF7" w:rsidRDefault="00AD3D87" w:rsidP="006F4BF7">
      <w:pPr>
        <w:spacing w:line="360" w:lineRule="auto"/>
        <w:ind w:left="-540"/>
        <w:rPr>
          <w:rFonts w:ascii="Avenir Next" w:hAnsi="Avenir Next"/>
        </w:rPr>
      </w:pPr>
      <w:r w:rsidRPr="006F4BF7">
        <w:rPr>
          <w:rFonts w:ascii="Avenir Next" w:hAnsi="Avenir Next"/>
        </w:rPr>
        <w:t xml:space="preserve">Because oral presentations frequently combine </w:t>
      </w:r>
      <w:r w:rsidRPr="006F4BF7">
        <w:rPr>
          <w:rFonts w:ascii="Avenir Next" w:hAnsi="Avenir Next"/>
          <w:b/>
          <w:bCs/>
        </w:rPr>
        <w:t>spoken words with visuals</w:t>
      </w:r>
      <w:r w:rsidRPr="006F4BF7">
        <w:rPr>
          <w:rFonts w:ascii="Avenir Next" w:hAnsi="Avenir Next"/>
        </w:rPr>
        <w:t xml:space="preserve">, communicators benefit from principles in multimedia learning and slide design. Decades of research (e.g., Mayer’s cognitive theory) recommend reducing </w:t>
      </w:r>
      <w:r w:rsidRPr="006F4BF7">
        <w:rPr>
          <w:rFonts w:ascii="Avenir Next" w:hAnsi="Avenir Next"/>
          <w:b/>
          <w:bCs/>
        </w:rPr>
        <w:t>extraneous load</w:t>
      </w:r>
      <w:r w:rsidRPr="006F4BF7">
        <w:rPr>
          <w:rFonts w:ascii="Avenir Next" w:hAnsi="Avenir Next"/>
        </w:rPr>
        <w:t xml:space="preserve"> (coherence), guiding attention (signaling), and placing words and graphics together (contiguity) to improve understanding. These principles generalize well to research talks, classes, and public lectures </w:t>
      </w:r>
      <w:r w:rsidRPr="006F4BF7">
        <w:rPr>
          <w:rFonts w:ascii="Avenir Next" w:hAnsi="Avenir Next"/>
          <w:vertAlign w:val="superscript"/>
        </w:rPr>
        <w:t>[3]</w:t>
      </w:r>
      <w:r w:rsidRPr="006F4BF7">
        <w:rPr>
          <w:rFonts w:ascii="Avenir Next" w:hAnsi="Avenir Next"/>
        </w:rPr>
        <w:t>.</w:t>
      </w:r>
    </w:p>
    <w:p w14:paraId="0E7AE899" w14:textId="683088B2" w:rsidR="00AD3D87" w:rsidRPr="006F4BF7" w:rsidRDefault="00AD3D87" w:rsidP="006F4BF7">
      <w:pPr>
        <w:spacing w:line="360" w:lineRule="auto"/>
        <w:ind w:left="-540"/>
        <w:rPr>
          <w:rFonts w:ascii="Avenir Next" w:hAnsi="Avenir Next"/>
        </w:rPr>
      </w:pPr>
      <w:r w:rsidRPr="006F4BF7">
        <w:rPr>
          <w:rFonts w:ascii="Avenir Next" w:hAnsi="Avenir Next"/>
        </w:rPr>
        <w:t xml:space="preserve">Within that multimedia context, the </w:t>
      </w:r>
      <w:r w:rsidRPr="006F4BF7">
        <w:rPr>
          <w:rFonts w:ascii="Avenir Next" w:hAnsi="Avenir Next"/>
          <w:b/>
          <w:bCs/>
        </w:rPr>
        <w:t>assertion–evidence</w:t>
      </w:r>
      <w:r w:rsidRPr="006F4BF7">
        <w:rPr>
          <w:rFonts w:ascii="Avenir Next" w:hAnsi="Avenir Next"/>
        </w:rPr>
        <w:t xml:space="preserve"> slide model has shown advantages over default “topic</w:t>
      </w:r>
      <w:r w:rsidRPr="006F4BF7">
        <w:rPr>
          <w:rFonts w:ascii="Cambria Math" w:hAnsi="Cambria Math" w:cs="Cambria Math"/>
        </w:rPr>
        <w:t>‑</w:t>
      </w:r>
      <w:r w:rsidRPr="006F4BF7">
        <w:rPr>
          <w:rFonts w:ascii="Avenir Next" w:hAnsi="Avenir Next"/>
        </w:rPr>
        <w:t>headline + bulleted text” slides. In controlled comparisons, assertion–evidence decks (claim</w:t>
      </w:r>
      <w:r w:rsidRPr="006F4BF7">
        <w:rPr>
          <w:rFonts w:ascii="Cambria Math" w:hAnsi="Cambria Math" w:cs="Cambria Math"/>
        </w:rPr>
        <w:t>‑</w:t>
      </w:r>
      <w:r w:rsidRPr="006F4BF7">
        <w:rPr>
          <w:rFonts w:ascii="Avenir Next" w:hAnsi="Avenir Next"/>
        </w:rPr>
        <w:t xml:space="preserve">title + visual support + minimal text) improved comprehension and reduced perceived cognitive load for technical audiences, and programmatic resources now exist to help scientists adopt the approach </w:t>
      </w:r>
      <w:r w:rsidRPr="006F4BF7">
        <w:rPr>
          <w:rFonts w:ascii="Avenir Next" w:hAnsi="Avenir Next"/>
          <w:vertAlign w:val="superscript"/>
        </w:rPr>
        <w:t>[4]</w:t>
      </w:r>
      <w:r w:rsidRPr="006F4BF7">
        <w:rPr>
          <w:rFonts w:ascii="Avenir Next" w:hAnsi="Avenir Next"/>
        </w:rPr>
        <w:t>.</w:t>
      </w:r>
    </w:p>
    <w:p w14:paraId="77ED70BE" w14:textId="477C3FC0" w:rsidR="00AD3D87" w:rsidRPr="006F4BF7" w:rsidRDefault="00AD3D87" w:rsidP="006F4BF7">
      <w:pPr>
        <w:spacing w:line="360" w:lineRule="auto"/>
        <w:ind w:left="-540"/>
        <w:rPr>
          <w:rFonts w:ascii="Avenir Next" w:hAnsi="Avenir Next"/>
        </w:rPr>
      </w:pPr>
      <w:r w:rsidRPr="006F4BF7">
        <w:rPr>
          <w:rFonts w:ascii="Avenir Next" w:hAnsi="Avenir Next"/>
        </w:rPr>
        <w:t xml:space="preserve">Finally, </w:t>
      </w:r>
      <w:r w:rsidRPr="006F4BF7">
        <w:rPr>
          <w:rFonts w:ascii="Avenir Next" w:hAnsi="Avenir Next"/>
          <w:b/>
          <w:bCs/>
        </w:rPr>
        <w:t>engagement is part of rigor</w:t>
      </w:r>
      <w:r w:rsidRPr="006F4BF7">
        <w:rPr>
          <w:rFonts w:ascii="Avenir Next" w:hAnsi="Avenir Next"/>
        </w:rPr>
        <w:t>. Brief interactions (questions, prompts, checks for understanding) make talks more than one</w:t>
      </w:r>
      <w:r w:rsidRPr="006F4BF7">
        <w:rPr>
          <w:rFonts w:ascii="Cambria Math" w:hAnsi="Cambria Math" w:cs="Cambria Math"/>
        </w:rPr>
        <w:t>‑</w:t>
      </w:r>
      <w:r w:rsidRPr="006F4BF7">
        <w:rPr>
          <w:rFonts w:ascii="Avenir Next" w:hAnsi="Avenir Next"/>
        </w:rPr>
        <w:t>way transmission; they help audiences process and apply ideas. Meta</w:t>
      </w:r>
      <w:r w:rsidRPr="006F4BF7">
        <w:rPr>
          <w:rFonts w:ascii="Cambria Math" w:hAnsi="Cambria Math" w:cs="Cambria Math"/>
        </w:rPr>
        <w:t>‑</w:t>
      </w:r>
      <w:r w:rsidRPr="006F4BF7">
        <w:rPr>
          <w:rFonts w:ascii="Avenir Next" w:hAnsi="Avenir Next"/>
        </w:rPr>
        <w:t>analytic evidence from STEM teaching shows that active engagement (vs. pure lecturing) yields higher performance and lower failure rates, a signal that practices which invite audience thinking are pedagogically sound even in expert settings. While research talks are not courses, the same cognitive and motivational mechanisms apply when audiences are asked to reason with evidence rather than simply receive it</w:t>
      </w:r>
      <w:r w:rsidR="006F4BF7" w:rsidRPr="006F4BF7">
        <w:rPr>
          <w:rFonts w:ascii="Avenir Next" w:hAnsi="Avenir Next"/>
        </w:rPr>
        <w:t xml:space="preserve"> </w:t>
      </w:r>
      <w:r w:rsidR="006F4BF7" w:rsidRPr="006F4BF7">
        <w:rPr>
          <w:rFonts w:ascii="Avenir Next" w:hAnsi="Avenir Next"/>
          <w:vertAlign w:val="superscript"/>
        </w:rPr>
        <w:t>[5]</w:t>
      </w:r>
      <w:r w:rsidRPr="006F4BF7">
        <w:rPr>
          <w:rFonts w:ascii="Avenir Next" w:hAnsi="Avenir Next"/>
        </w:rPr>
        <w:t>.</w:t>
      </w:r>
    </w:p>
    <w:p w14:paraId="6B0B270D" w14:textId="23478E60" w:rsidR="00AD3D87" w:rsidRDefault="00AD3D87" w:rsidP="006F4BF7">
      <w:pPr>
        <w:spacing w:line="360" w:lineRule="auto"/>
        <w:ind w:left="-540"/>
        <w:rPr>
          <w:rFonts w:ascii="Avenir Next" w:hAnsi="Avenir Next"/>
        </w:rPr>
      </w:pPr>
      <w:r w:rsidRPr="006F4BF7">
        <w:rPr>
          <w:rFonts w:ascii="Avenir Next" w:hAnsi="Avenir Next"/>
        </w:rPr>
        <w:lastRenderedPageBreak/>
        <w:t xml:space="preserve">This article takes a </w:t>
      </w:r>
      <w:r w:rsidRPr="006F4BF7">
        <w:rPr>
          <w:rFonts w:ascii="Avenir Next" w:hAnsi="Avenir Next"/>
          <w:b/>
          <w:bCs/>
        </w:rPr>
        <w:t>reflective</w:t>
      </w:r>
      <w:r w:rsidRPr="006F4BF7">
        <w:rPr>
          <w:rFonts w:ascii="Cambria Math" w:hAnsi="Cambria Math" w:cs="Cambria Math"/>
          <w:b/>
          <w:bCs/>
        </w:rPr>
        <w:t>‑</w:t>
      </w:r>
      <w:r w:rsidRPr="006F4BF7">
        <w:rPr>
          <w:rFonts w:ascii="Avenir Next" w:hAnsi="Avenir Next"/>
          <w:b/>
          <w:bCs/>
        </w:rPr>
        <w:t>pedagogy</w:t>
      </w:r>
      <w:r w:rsidRPr="006F4BF7">
        <w:rPr>
          <w:rFonts w:ascii="Avenir Next" w:hAnsi="Avenir Next"/>
        </w:rPr>
        <w:t xml:space="preserve"> stance: it distills what practitioners can do before, during, and after an oral presentation so that narrative, visuals, and delivery reinforce one another without compromising scientific integrity. Although our focus is oral communication, the underlying principles—</w:t>
      </w:r>
      <w:r w:rsidRPr="006F4BF7">
        <w:rPr>
          <w:rFonts w:ascii="Avenir Next" w:hAnsi="Avenir Next"/>
          <w:b/>
          <w:bCs/>
        </w:rPr>
        <w:t>contextual framing, ethical representation of uncertainty, and emotional resonance disciplined by evidence</w:t>
      </w:r>
      <w:r w:rsidRPr="006F4BF7">
        <w:rPr>
          <w:rFonts w:ascii="Avenir Next" w:hAnsi="Avenir Next"/>
        </w:rPr>
        <w:t>—readily adapt to posters, writing, and audiovisual work; later sections make those bridges explicit</w:t>
      </w:r>
      <w:r w:rsidR="006F4BF7" w:rsidRPr="006F4BF7">
        <w:rPr>
          <w:rFonts w:ascii="Avenir Next" w:hAnsi="Avenir Next"/>
        </w:rPr>
        <w:t xml:space="preserve"> </w:t>
      </w:r>
      <w:r w:rsidRPr="006F4BF7">
        <w:rPr>
          <w:rFonts w:ascii="Avenir Next" w:hAnsi="Avenir Next"/>
          <w:vertAlign w:val="superscript"/>
        </w:rPr>
        <w:t>[1]</w:t>
      </w:r>
      <w:r w:rsidRPr="006F4BF7">
        <w:rPr>
          <w:rFonts w:ascii="Avenir Next" w:hAnsi="Avenir Next"/>
        </w:rPr>
        <w:t>.</w:t>
      </w:r>
    </w:p>
    <w:p w14:paraId="2CCCB848" w14:textId="5E553F76" w:rsidR="006F4BF7" w:rsidRPr="006F4BF7" w:rsidRDefault="006F4BF7" w:rsidP="006F4BF7">
      <w:pPr>
        <w:spacing w:line="360" w:lineRule="auto"/>
        <w:ind w:left="-540"/>
        <w:rPr>
          <w:rFonts w:ascii="Avenir Next" w:hAnsi="Avenir Next"/>
        </w:rPr>
      </w:pPr>
      <w:r w:rsidRPr="006F4BF7">
        <w:rPr>
          <w:rFonts w:ascii="Avenir Next" w:hAnsi="Avenir Next"/>
          <w:b/>
          <w:bCs/>
        </w:rPr>
        <w:t>Table 1.</w:t>
      </w:r>
      <w:r w:rsidRPr="006F4BF7">
        <w:rPr>
          <w:rFonts w:ascii="Avenir Next" w:hAnsi="Avenir Next"/>
        </w:rPr>
        <w:t xml:space="preserve"> Narrative beats: blockbuster films vs. oral science talks</w:t>
      </w:r>
    </w:p>
    <w:tbl>
      <w:tblPr>
        <w:tblStyle w:val="TableGrid"/>
        <w:tblW w:w="9810" w:type="dxa"/>
        <w:tblInd w:w="-545" w:type="dxa"/>
        <w:tblLook w:val="04A0" w:firstRow="1" w:lastRow="0" w:firstColumn="1" w:lastColumn="0" w:noHBand="0" w:noVBand="1"/>
      </w:tblPr>
      <w:tblGrid>
        <w:gridCol w:w="1980"/>
        <w:gridCol w:w="2170"/>
        <w:gridCol w:w="2780"/>
        <w:gridCol w:w="2880"/>
      </w:tblGrid>
      <w:tr w:rsidR="006F4BF7" w:rsidRPr="006F4BF7" w14:paraId="12287CD1" w14:textId="77777777" w:rsidTr="006F4BF7">
        <w:tc>
          <w:tcPr>
            <w:tcW w:w="1980" w:type="dxa"/>
            <w:hideMark/>
          </w:tcPr>
          <w:p w14:paraId="683406E4"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Narrative Beat</w:t>
            </w:r>
          </w:p>
        </w:tc>
        <w:tc>
          <w:tcPr>
            <w:tcW w:w="2170" w:type="dxa"/>
            <w:hideMark/>
          </w:tcPr>
          <w:p w14:paraId="2EF95A88"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Blockbuster Films (what happens)</w:t>
            </w:r>
          </w:p>
        </w:tc>
        <w:tc>
          <w:tcPr>
            <w:tcW w:w="2780" w:type="dxa"/>
            <w:hideMark/>
          </w:tcPr>
          <w:p w14:paraId="2F12D6FE"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Oral Science Talk (what you do)</w:t>
            </w:r>
          </w:p>
        </w:tc>
        <w:tc>
          <w:tcPr>
            <w:tcW w:w="2880" w:type="dxa"/>
            <w:hideMark/>
          </w:tcPr>
          <w:p w14:paraId="00CEA1F9" w14:textId="012D6365"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Example</w:t>
            </w:r>
          </w:p>
        </w:tc>
      </w:tr>
      <w:tr w:rsidR="006F4BF7" w:rsidRPr="006F4BF7" w14:paraId="2069C27C" w14:textId="77777777" w:rsidTr="006F4BF7">
        <w:tc>
          <w:tcPr>
            <w:tcW w:w="1980" w:type="dxa"/>
            <w:hideMark/>
          </w:tcPr>
          <w:p w14:paraId="3649099C"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Setup / World</w:t>
            </w:r>
          </w:p>
        </w:tc>
        <w:tc>
          <w:tcPr>
            <w:tcW w:w="2170" w:type="dxa"/>
            <w:hideMark/>
          </w:tcPr>
          <w:p w14:paraId="2B02870B"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Establish the world and stakes</w:t>
            </w:r>
          </w:p>
        </w:tc>
        <w:tc>
          <w:tcPr>
            <w:tcW w:w="2780" w:type="dxa"/>
            <w:hideMark/>
          </w:tcPr>
          <w:p w14:paraId="1B03794E"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Frame the </w:t>
            </w:r>
            <w:r w:rsidRPr="006F4BF7">
              <w:rPr>
                <w:rFonts w:ascii="Avenir Next" w:eastAsia="Times New Roman" w:hAnsi="Avenir Next" w:cs="Times New Roman"/>
                <w:i/>
                <w:iCs/>
              </w:rPr>
              <w:t>real-world problem</w:t>
            </w:r>
            <w:r w:rsidRPr="006F4BF7">
              <w:rPr>
                <w:rFonts w:ascii="Avenir Next" w:eastAsia="Times New Roman" w:hAnsi="Avenir Next" w:cs="Times New Roman"/>
              </w:rPr>
              <w:t xml:space="preserve"> and why it matters</w:t>
            </w:r>
          </w:p>
        </w:tc>
        <w:tc>
          <w:tcPr>
            <w:tcW w:w="2880" w:type="dxa"/>
            <w:hideMark/>
          </w:tcPr>
          <w:p w14:paraId="6F5163AC"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“What decision or outcome is at stake for this audience?”</w:t>
            </w:r>
          </w:p>
        </w:tc>
      </w:tr>
      <w:tr w:rsidR="006F4BF7" w:rsidRPr="006F4BF7" w14:paraId="445F6253" w14:textId="77777777" w:rsidTr="006F4BF7">
        <w:tc>
          <w:tcPr>
            <w:tcW w:w="1980" w:type="dxa"/>
            <w:hideMark/>
          </w:tcPr>
          <w:p w14:paraId="1456D269"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Protagonists</w:t>
            </w:r>
          </w:p>
        </w:tc>
        <w:tc>
          <w:tcPr>
            <w:tcW w:w="2170" w:type="dxa"/>
            <w:hideMark/>
          </w:tcPr>
          <w:p w14:paraId="61D2C4EF"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Introduce characters and goals</w:t>
            </w:r>
          </w:p>
        </w:tc>
        <w:tc>
          <w:tcPr>
            <w:tcW w:w="2780" w:type="dxa"/>
            <w:hideMark/>
          </w:tcPr>
          <w:p w14:paraId="6DD9E6E7"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Introduce </w:t>
            </w:r>
            <w:r w:rsidRPr="006F4BF7">
              <w:rPr>
                <w:rFonts w:ascii="Avenir Next" w:eastAsia="Times New Roman" w:hAnsi="Avenir Next" w:cs="Times New Roman"/>
                <w:i/>
                <w:iCs/>
              </w:rPr>
              <w:t>actors</w:t>
            </w:r>
            <w:r w:rsidRPr="006F4BF7">
              <w:rPr>
                <w:rFonts w:ascii="Avenir Next" w:eastAsia="Times New Roman" w:hAnsi="Avenir Next" w:cs="Times New Roman"/>
              </w:rPr>
              <w:t>: system, variables, stakeholders; your research goal</w:t>
            </w:r>
          </w:p>
        </w:tc>
        <w:tc>
          <w:tcPr>
            <w:tcW w:w="2880" w:type="dxa"/>
            <w:hideMark/>
          </w:tcPr>
          <w:p w14:paraId="5B7C2334" w14:textId="1407FFD0"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“Whose perspective clarifies the stakes (patient, </w:t>
            </w:r>
            <w:r w:rsidR="00D73A46">
              <w:rPr>
                <w:rFonts w:ascii="Avenir Next" w:eastAsia="Times New Roman" w:hAnsi="Avenir Next" w:cs="Times New Roman"/>
              </w:rPr>
              <w:t>public, researcher</w:t>
            </w:r>
            <w:r w:rsidRPr="006F4BF7">
              <w:rPr>
                <w:rFonts w:ascii="Avenir Next" w:eastAsia="Times New Roman" w:hAnsi="Avenir Next" w:cs="Times New Roman"/>
              </w:rPr>
              <w:t>, policy maker</w:t>
            </w:r>
            <w:r w:rsidR="00D73A46">
              <w:rPr>
                <w:rFonts w:ascii="Avenir Next" w:eastAsia="Times New Roman" w:hAnsi="Avenir Next" w:cs="Times New Roman"/>
              </w:rPr>
              <w:t>, animal, cell, molecule</w:t>
            </w:r>
            <w:r w:rsidRPr="006F4BF7">
              <w:rPr>
                <w:rFonts w:ascii="Avenir Next" w:eastAsia="Times New Roman" w:hAnsi="Avenir Next" w:cs="Times New Roman"/>
              </w:rPr>
              <w:t>)?”</w:t>
            </w:r>
          </w:p>
        </w:tc>
      </w:tr>
      <w:tr w:rsidR="006F4BF7" w:rsidRPr="006F4BF7" w14:paraId="684234E4" w14:textId="77777777" w:rsidTr="006F4BF7">
        <w:tc>
          <w:tcPr>
            <w:tcW w:w="1980" w:type="dxa"/>
            <w:hideMark/>
          </w:tcPr>
          <w:p w14:paraId="1A4BDB3A"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Known terrain</w:t>
            </w:r>
          </w:p>
        </w:tc>
        <w:tc>
          <w:tcPr>
            <w:tcW w:w="2170" w:type="dxa"/>
            <w:hideMark/>
          </w:tcPr>
          <w:p w14:paraId="6B260813"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Reveal what’s already known</w:t>
            </w:r>
          </w:p>
        </w:tc>
        <w:tc>
          <w:tcPr>
            <w:tcW w:w="2780" w:type="dxa"/>
            <w:hideMark/>
          </w:tcPr>
          <w:p w14:paraId="2D10B019"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Summarize consensus and prior evidence succinctly</w:t>
            </w:r>
          </w:p>
        </w:tc>
        <w:tc>
          <w:tcPr>
            <w:tcW w:w="2880" w:type="dxa"/>
            <w:hideMark/>
          </w:tcPr>
          <w:p w14:paraId="744077D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“What are the two things the field already agrees on?”</w:t>
            </w:r>
          </w:p>
        </w:tc>
      </w:tr>
      <w:tr w:rsidR="006F4BF7" w:rsidRPr="006F4BF7" w14:paraId="09810F8B" w14:textId="77777777" w:rsidTr="006F4BF7">
        <w:tc>
          <w:tcPr>
            <w:tcW w:w="1980" w:type="dxa"/>
            <w:hideMark/>
          </w:tcPr>
          <w:p w14:paraId="4EF3FB19"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Tension / Unknown</w:t>
            </w:r>
          </w:p>
        </w:tc>
        <w:tc>
          <w:tcPr>
            <w:tcW w:w="2170" w:type="dxa"/>
            <w:hideMark/>
          </w:tcPr>
          <w:p w14:paraId="00F4D9FC"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Raise the central conflict</w:t>
            </w:r>
          </w:p>
        </w:tc>
        <w:tc>
          <w:tcPr>
            <w:tcW w:w="2780" w:type="dxa"/>
            <w:hideMark/>
          </w:tcPr>
          <w:p w14:paraId="4C5B3B3D"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Name the </w:t>
            </w:r>
            <w:r w:rsidRPr="006F4BF7">
              <w:rPr>
                <w:rFonts w:ascii="Avenir Next" w:eastAsia="Times New Roman" w:hAnsi="Avenir Next" w:cs="Times New Roman"/>
                <w:b/>
                <w:bCs/>
              </w:rPr>
              <w:t>specific gap or question</w:t>
            </w:r>
          </w:p>
        </w:tc>
        <w:tc>
          <w:tcPr>
            <w:tcW w:w="2880" w:type="dxa"/>
            <w:hideMark/>
          </w:tcPr>
          <w:p w14:paraId="62FC70D2"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“What exactly don’t we know that blocks progress?”</w:t>
            </w:r>
          </w:p>
        </w:tc>
      </w:tr>
      <w:tr w:rsidR="006F4BF7" w:rsidRPr="006F4BF7" w14:paraId="5A49F1CF" w14:textId="77777777" w:rsidTr="006F4BF7">
        <w:tc>
          <w:tcPr>
            <w:tcW w:w="1980" w:type="dxa"/>
            <w:hideMark/>
          </w:tcPr>
          <w:p w14:paraId="373E0683"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Plan</w:t>
            </w:r>
          </w:p>
        </w:tc>
        <w:tc>
          <w:tcPr>
            <w:tcW w:w="2170" w:type="dxa"/>
            <w:hideMark/>
          </w:tcPr>
          <w:p w14:paraId="618CA03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Protagonists choose a path</w:t>
            </w:r>
          </w:p>
        </w:tc>
        <w:tc>
          <w:tcPr>
            <w:tcW w:w="2780" w:type="dxa"/>
            <w:hideMark/>
          </w:tcPr>
          <w:p w14:paraId="6AEB228A"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Explain the </w:t>
            </w:r>
            <w:r w:rsidRPr="006F4BF7">
              <w:rPr>
                <w:rFonts w:ascii="Avenir Next" w:eastAsia="Times New Roman" w:hAnsi="Avenir Next" w:cs="Times New Roman"/>
                <w:b/>
                <w:bCs/>
              </w:rPr>
              <w:t>design logic</w:t>
            </w:r>
            <w:r w:rsidRPr="006F4BF7">
              <w:rPr>
                <w:rFonts w:ascii="Avenir Next" w:eastAsia="Times New Roman" w:hAnsi="Avenir Next" w:cs="Times New Roman"/>
              </w:rPr>
              <w:t>—why this approach counts as evidence</w:t>
            </w:r>
          </w:p>
        </w:tc>
        <w:tc>
          <w:tcPr>
            <w:tcW w:w="2880" w:type="dxa"/>
            <w:hideMark/>
          </w:tcPr>
          <w:p w14:paraId="5998E9B0"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“If X is true, what should we observe?”</w:t>
            </w:r>
          </w:p>
        </w:tc>
      </w:tr>
      <w:tr w:rsidR="006F4BF7" w:rsidRPr="006F4BF7" w14:paraId="7B11B978" w14:textId="77777777" w:rsidTr="006F4BF7">
        <w:tc>
          <w:tcPr>
            <w:tcW w:w="1980" w:type="dxa"/>
            <w:hideMark/>
          </w:tcPr>
          <w:p w14:paraId="61CE691D"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Trials</w:t>
            </w:r>
          </w:p>
        </w:tc>
        <w:tc>
          <w:tcPr>
            <w:tcW w:w="2170" w:type="dxa"/>
            <w:hideMark/>
          </w:tcPr>
          <w:p w14:paraId="46A37259"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Obstacles and attempts</w:t>
            </w:r>
          </w:p>
        </w:tc>
        <w:tc>
          <w:tcPr>
            <w:tcW w:w="2780" w:type="dxa"/>
            <w:hideMark/>
          </w:tcPr>
          <w:p w14:paraId="0766A0FE"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Show key experiments or analyses, including dead ends where informative</w:t>
            </w:r>
          </w:p>
        </w:tc>
        <w:tc>
          <w:tcPr>
            <w:tcW w:w="2880" w:type="dxa"/>
            <w:hideMark/>
          </w:tcPr>
          <w:p w14:paraId="073AEFE4"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“What did we learn from what </w:t>
            </w:r>
            <w:r w:rsidRPr="006F4BF7">
              <w:rPr>
                <w:rFonts w:ascii="Avenir Next" w:eastAsia="Times New Roman" w:hAnsi="Avenir Next" w:cs="Times New Roman"/>
                <w:i/>
                <w:iCs/>
              </w:rPr>
              <w:t>didn’t</w:t>
            </w:r>
            <w:r w:rsidRPr="006F4BF7">
              <w:rPr>
                <w:rFonts w:ascii="Avenir Next" w:eastAsia="Times New Roman" w:hAnsi="Avenir Next" w:cs="Times New Roman"/>
              </w:rPr>
              <w:t xml:space="preserve"> work?”</w:t>
            </w:r>
          </w:p>
        </w:tc>
      </w:tr>
      <w:tr w:rsidR="006F4BF7" w:rsidRPr="006F4BF7" w14:paraId="6113991C" w14:textId="77777777" w:rsidTr="006F4BF7">
        <w:tc>
          <w:tcPr>
            <w:tcW w:w="1980" w:type="dxa"/>
            <w:hideMark/>
          </w:tcPr>
          <w:p w14:paraId="720520E9"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Resolution</w:t>
            </w:r>
          </w:p>
        </w:tc>
        <w:tc>
          <w:tcPr>
            <w:tcW w:w="2170" w:type="dxa"/>
            <w:hideMark/>
          </w:tcPr>
          <w:p w14:paraId="49CC6F4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Conflict resolved</w:t>
            </w:r>
          </w:p>
        </w:tc>
        <w:tc>
          <w:tcPr>
            <w:tcW w:w="2780" w:type="dxa"/>
            <w:hideMark/>
          </w:tcPr>
          <w:p w14:paraId="42D5A82C"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Present </w:t>
            </w:r>
            <w:r w:rsidRPr="006F4BF7">
              <w:rPr>
                <w:rFonts w:ascii="Avenir Next" w:eastAsia="Times New Roman" w:hAnsi="Avenir Next" w:cs="Times New Roman"/>
                <w:b/>
                <w:bCs/>
              </w:rPr>
              <w:t xml:space="preserve">results </w:t>
            </w:r>
            <w:r w:rsidRPr="006F4BF7">
              <w:rPr>
                <w:rFonts w:ascii="Arial" w:eastAsia="Times New Roman" w:hAnsi="Arial" w:cs="Arial"/>
                <w:b/>
                <w:bCs/>
              </w:rPr>
              <w:t>→</w:t>
            </w:r>
            <w:r w:rsidRPr="006F4BF7">
              <w:rPr>
                <w:rFonts w:ascii="Avenir Next" w:eastAsia="Times New Roman" w:hAnsi="Avenir Next" w:cs="Times New Roman"/>
                <w:b/>
                <w:bCs/>
              </w:rPr>
              <w:t xml:space="preserve"> plain-language meaning</w:t>
            </w:r>
            <w:r w:rsidRPr="006F4BF7">
              <w:rPr>
                <w:rFonts w:ascii="Avenir Next" w:eastAsia="Times New Roman" w:hAnsi="Avenir Next" w:cs="Times New Roman"/>
              </w:rPr>
              <w:t xml:space="preserve"> with uncertainty</w:t>
            </w:r>
          </w:p>
        </w:tc>
        <w:tc>
          <w:tcPr>
            <w:tcW w:w="2880" w:type="dxa"/>
            <w:hideMark/>
          </w:tcPr>
          <w:p w14:paraId="19A16E5D"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“How big is the effect? How certain are we?”</w:t>
            </w:r>
          </w:p>
        </w:tc>
      </w:tr>
      <w:tr w:rsidR="006F4BF7" w:rsidRPr="006F4BF7" w14:paraId="3ECB864B" w14:textId="77777777" w:rsidTr="006F4BF7">
        <w:tc>
          <w:tcPr>
            <w:tcW w:w="1980" w:type="dxa"/>
            <w:hideMark/>
          </w:tcPr>
          <w:p w14:paraId="47E5B145"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Aftermath</w:t>
            </w:r>
          </w:p>
        </w:tc>
        <w:tc>
          <w:tcPr>
            <w:tcW w:w="2170" w:type="dxa"/>
            <w:hideMark/>
          </w:tcPr>
          <w:p w14:paraId="51CE85B2"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Consequences for the world</w:t>
            </w:r>
          </w:p>
        </w:tc>
        <w:tc>
          <w:tcPr>
            <w:tcW w:w="2780" w:type="dxa"/>
            <w:hideMark/>
          </w:tcPr>
          <w:p w14:paraId="7AEBF180"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Zoom out: </w:t>
            </w:r>
            <w:r w:rsidRPr="006F4BF7">
              <w:rPr>
                <w:rFonts w:ascii="Avenir Next" w:eastAsia="Times New Roman" w:hAnsi="Avenir Next" w:cs="Times New Roman"/>
                <w:b/>
                <w:bCs/>
              </w:rPr>
              <w:t>implications, limits, next steps, or call to action</w:t>
            </w:r>
          </w:p>
        </w:tc>
        <w:tc>
          <w:tcPr>
            <w:tcW w:w="2880" w:type="dxa"/>
            <w:hideMark/>
          </w:tcPr>
          <w:p w14:paraId="489CB4A9"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“Given these limits, what should change now?”</w:t>
            </w:r>
          </w:p>
        </w:tc>
      </w:tr>
    </w:tbl>
    <w:p w14:paraId="5F12FF92" w14:textId="6B9A53D0" w:rsidR="00AD3D87" w:rsidRPr="006F4BF7" w:rsidRDefault="006F4BF7" w:rsidP="006F4BF7">
      <w:pPr>
        <w:ind w:left="-540"/>
        <w:rPr>
          <w:rFonts w:ascii="Avenir Next" w:hAnsi="Avenir Next"/>
        </w:rPr>
      </w:pPr>
      <w:r w:rsidRPr="006F4BF7">
        <w:rPr>
          <w:rFonts w:ascii="Avenir Next" w:hAnsi="Avenir Next"/>
        </w:rPr>
        <w:t>Notes: Use narrative to organize reasoning, not to oversell. Keep fidelity high</w:t>
      </w:r>
      <w:r>
        <w:rPr>
          <w:rFonts w:ascii="Avenir Next" w:hAnsi="Avenir Next"/>
        </w:rPr>
        <w:t xml:space="preserve">, </w:t>
      </w:r>
      <w:r w:rsidRPr="006F4BF7">
        <w:rPr>
          <w:rFonts w:ascii="Avenir Next" w:hAnsi="Avenir Next"/>
        </w:rPr>
        <w:t>avoid metaphors that misrepresent mechanisms and show uncertainty both visually and verbally.</w:t>
      </w:r>
    </w:p>
    <w:p w14:paraId="7FAFC71C" w14:textId="77777777" w:rsidR="006F4BF7" w:rsidRDefault="006F4BF7" w:rsidP="00AD3D87"/>
    <w:p w14:paraId="0BA0D1E5" w14:textId="68FF112E" w:rsidR="00AD3D87" w:rsidRPr="006F4BF7" w:rsidRDefault="00AD3D87" w:rsidP="006F4BF7">
      <w:pPr>
        <w:spacing w:line="360" w:lineRule="auto"/>
        <w:ind w:left="-540"/>
        <w:rPr>
          <w:rFonts w:ascii="Avenir Next" w:hAnsi="Avenir Next"/>
        </w:rPr>
      </w:pPr>
      <w:r w:rsidRPr="006F4BF7">
        <w:rPr>
          <w:rFonts w:ascii="Avenir Next" w:hAnsi="Avenir Next"/>
          <w:b/>
          <w:bCs/>
        </w:rPr>
        <w:t xml:space="preserve">Table 2. </w:t>
      </w:r>
      <w:r w:rsidRPr="006F4BF7">
        <w:rPr>
          <w:rFonts w:ascii="Avenir Next" w:hAnsi="Avenir Next"/>
        </w:rPr>
        <w:t>Suggested structures by purpose and audience</w:t>
      </w:r>
    </w:p>
    <w:tbl>
      <w:tblPr>
        <w:tblStyle w:val="TableGrid"/>
        <w:tblW w:w="9990" w:type="dxa"/>
        <w:tblInd w:w="-545" w:type="dxa"/>
        <w:tblLook w:val="04A0" w:firstRow="1" w:lastRow="0" w:firstColumn="1" w:lastColumn="0" w:noHBand="0" w:noVBand="1"/>
      </w:tblPr>
      <w:tblGrid>
        <w:gridCol w:w="1774"/>
        <w:gridCol w:w="1500"/>
        <w:gridCol w:w="2638"/>
        <w:gridCol w:w="1060"/>
        <w:gridCol w:w="1223"/>
        <w:gridCol w:w="1795"/>
      </w:tblGrid>
      <w:tr w:rsidR="006F4BF7" w:rsidRPr="006F4BF7" w14:paraId="5AE0BE33" w14:textId="77777777" w:rsidTr="006F4BF7">
        <w:tc>
          <w:tcPr>
            <w:tcW w:w="1922" w:type="dxa"/>
            <w:hideMark/>
          </w:tcPr>
          <w:p w14:paraId="3BEF0D3C"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Purpose / Context</w:t>
            </w:r>
          </w:p>
        </w:tc>
        <w:tc>
          <w:tcPr>
            <w:tcW w:w="778" w:type="dxa"/>
            <w:hideMark/>
          </w:tcPr>
          <w:p w14:paraId="5CDB8941"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Primary Audience</w:t>
            </w:r>
          </w:p>
        </w:tc>
        <w:tc>
          <w:tcPr>
            <w:tcW w:w="2966" w:type="dxa"/>
            <w:hideMark/>
          </w:tcPr>
          <w:p w14:paraId="6D2D6BA9"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Recommended Arc (Beats)</w:t>
            </w:r>
          </w:p>
        </w:tc>
        <w:tc>
          <w:tcPr>
            <w:tcW w:w="1084" w:type="dxa"/>
            <w:hideMark/>
          </w:tcPr>
          <w:p w14:paraId="02882590"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Time Budget (12–15 min)</w:t>
            </w:r>
          </w:p>
        </w:tc>
        <w:tc>
          <w:tcPr>
            <w:tcW w:w="1314" w:type="dxa"/>
            <w:hideMark/>
          </w:tcPr>
          <w:p w14:paraId="3C15BFD5"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Time Budget (30–45 min)</w:t>
            </w:r>
          </w:p>
        </w:tc>
        <w:tc>
          <w:tcPr>
            <w:tcW w:w="1926" w:type="dxa"/>
            <w:hideMark/>
          </w:tcPr>
          <w:p w14:paraId="296D22E7" w14:textId="77777777" w:rsidR="006F4BF7" w:rsidRPr="006F4BF7" w:rsidRDefault="006F4BF7" w:rsidP="006F4BF7">
            <w:pPr>
              <w:spacing w:after="0" w:line="240" w:lineRule="auto"/>
              <w:jc w:val="center"/>
              <w:rPr>
                <w:rFonts w:ascii="Avenir Next" w:eastAsia="Times New Roman" w:hAnsi="Avenir Next" w:cs="Times New Roman"/>
                <w:b/>
                <w:bCs/>
              </w:rPr>
            </w:pPr>
            <w:r w:rsidRPr="006F4BF7">
              <w:rPr>
                <w:rFonts w:ascii="Avenir Next" w:eastAsia="Times New Roman" w:hAnsi="Avenir Next" w:cs="Times New Roman"/>
                <w:b/>
                <w:bCs/>
              </w:rPr>
              <w:t>Notes</w:t>
            </w:r>
          </w:p>
        </w:tc>
      </w:tr>
      <w:tr w:rsidR="006F4BF7" w:rsidRPr="006F4BF7" w14:paraId="1B20F364" w14:textId="77777777" w:rsidTr="006F4BF7">
        <w:tc>
          <w:tcPr>
            <w:tcW w:w="1922" w:type="dxa"/>
            <w:hideMark/>
          </w:tcPr>
          <w:p w14:paraId="7AED92E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Research plan / proposal</w:t>
            </w:r>
          </w:p>
        </w:tc>
        <w:tc>
          <w:tcPr>
            <w:tcW w:w="778" w:type="dxa"/>
            <w:hideMark/>
          </w:tcPr>
          <w:p w14:paraId="072982BC"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Domain peers, funders</w:t>
            </w:r>
          </w:p>
        </w:tc>
        <w:tc>
          <w:tcPr>
            <w:tcW w:w="2966" w:type="dxa"/>
            <w:hideMark/>
          </w:tcPr>
          <w:p w14:paraId="5E891F77"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Hook </w:t>
            </w:r>
            <w:r w:rsidRPr="006F4BF7">
              <w:rPr>
                <w:rFonts w:ascii="Arial" w:eastAsia="Times New Roman" w:hAnsi="Arial" w:cs="Arial"/>
              </w:rPr>
              <w:t>→</w:t>
            </w:r>
            <w:r w:rsidRPr="006F4BF7">
              <w:rPr>
                <w:rFonts w:ascii="Avenir Next" w:eastAsia="Times New Roman" w:hAnsi="Avenir Next" w:cs="Times New Roman"/>
              </w:rPr>
              <w:t xml:space="preserve"> So-what </w:t>
            </w:r>
            <w:r w:rsidRPr="006F4BF7">
              <w:rPr>
                <w:rFonts w:ascii="Arial" w:eastAsia="Times New Roman" w:hAnsi="Arial" w:cs="Arial"/>
              </w:rPr>
              <w:t>→</w:t>
            </w:r>
            <w:r w:rsidRPr="006F4BF7">
              <w:rPr>
                <w:rFonts w:ascii="Avenir Next" w:eastAsia="Times New Roman" w:hAnsi="Avenir Next" w:cs="Times New Roman"/>
              </w:rPr>
              <w:t xml:space="preserve"> Gap </w:t>
            </w:r>
            <w:r w:rsidRPr="006F4BF7">
              <w:rPr>
                <w:rFonts w:ascii="Arial" w:eastAsia="Times New Roman" w:hAnsi="Arial" w:cs="Arial"/>
              </w:rPr>
              <w:t>→</w:t>
            </w:r>
            <w:r w:rsidRPr="006F4BF7">
              <w:rPr>
                <w:rFonts w:ascii="Avenir Next" w:eastAsia="Times New Roman" w:hAnsi="Avenir Next" w:cs="Times New Roman"/>
              </w:rPr>
              <w:t xml:space="preserve"> </w:t>
            </w:r>
            <w:r w:rsidRPr="006F4BF7">
              <w:rPr>
                <w:rFonts w:ascii="Avenir Next" w:eastAsia="Times New Roman" w:hAnsi="Avenir Next" w:cs="Times New Roman"/>
                <w:b/>
                <w:bCs/>
              </w:rPr>
              <w:t>Design logic</w:t>
            </w:r>
            <w:r w:rsidRPr="006F4BF7">
              <w:rPr>
                <w:rFonts w:ascii="Avenir Next" w:eastAsia="Times New Roman" w:hAnsi="Avenir Next" w:cs="Times New Roman"/>
              </w:rPr>
              <w:t xml:space="preserve"> </w:t>
            </w:r>
            <w:r w:rsidRPr="006F4BF7">
              <w:rPr>
                <w:rFonts w:ascii="Arial" w:eastAsia="Times New Roman" w:hAnsi="Arial" w:cs="Arial"/>
              </w:rPr>
              <w:t>→</w:t>
            </w:r>
            <w:r w:rsidRPr="006F4BF7">
              <w:rPr>
                <w:rFonts w:ascii="Avenir Next" w:eastAsia="Times New Roman" w:hAnsi="Avenir Next" w:cs="Times New Roman"/>
              </w:rPr>
              <w:t xml:space="preserve"> Proposed studies </w:t>
            </w:r>
            <w:r w:rsidRPr="006F4BF7">
              <w:rPr>
                <w:rFonts w:ascii="Arial" w:eastAsia="Times New Roman" w:hAnsi="Arial" w:cs="Arial"/>
              </w:rPr>
              <w:t>→</w:t>
            </w:r>
            <w:r w:rsidRPr="006F4BF7">
              <w:rPr>
                <w:rFonts w:ascii="Avenir Next" w:eastAsia="Times New Roman" w:hAnsi="Avenir Next" w:cs="Times New Roman"/>
              </w:rPr>
              <w:t xml:space="preserve"> Risks &amp; mitigations </w:t>
            </w:r>
            <w:r w:rsidRPr="006F4BF7">
              <w:rPr>
                <w:rFonts w:ascii="Arial" w:eastAsia="Times New Roman" w:hAnsi="Arial" w:cs="Arial"/>
              </w:rPr>
              <w:t>→</w:t>
            </w:r>
            <w:r w:rsidRPr="006F4BF7">
              <w:rPr>
                <w:rFonts w:ascii="Avenir Next" w:eastAsia="Times New Roman" w:hAnsi="Avenir Next" w:cs="Times New Roman"/>
              </w:rPr>
              <w:t xml:space="preserve"> Impact / ethics </w:t>
            </w:r>
            <w:r w:rsidRPr="006F4BF7">
              <w:rPr>
                <w:rFonts w:ascii="Arial" w:eastAsia="Times New Roman" w:hAnsi="Arial" w:cs="Arial"/>
              </w:rPr>
              <w:t>→</w:t>
            </w:r>
            <w:r w:rsidRPr="006F4BF7">
              <w:rPr>
                <w:rFonts w:ascii="Avenir Next" w:eastAsia="Times New Roman" w:hAnsi="Avenir Next" w:cs="Times New Roman"/>
              </w:rPr>
              <w:t xml:space="preserve"> Ask</w:t>
            </w:r>
          </w:p>
        </w:tc>
        <w:tc>
          <w:tcPr>
            <w:tcW w:w="1084" w:type="dxa"/>
            <w:hideMark/>
          </w:tcPr>
          <w:p w14:paraId="4D8908C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2 / 2 / 2 / 4 / 3</w:t>
            </w:r>
          </w:p>
        </w:tc>
        <w:tc>
          <w:tcPr>
            <w:tcW w:w="1314" w:type="dxa"/>
            <w:hideMark/>
          </w:tcPr>
          <w:p w14:paraId="1D226707"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4 / 5 / 5 / 10 / 6</w:t>
            </w:r>
          </w:p>
        </w:tc>
        <w:tc>
          <w:tcPr>
            <w:tcW w:w="1926" w:type="dxa"/>
            <w:hideMark/>
          </w:tcPr>
          <w:p w14:paraId="4BD73BE1"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Lead with stakes; foreground </w:t>
            </w:r>
            <w:r w:rsidRPr="006F4BF7">
              <w:rPr>
                <w:rFonts w:ascii="Avenir Next" w:eastAsia="Times New Roman" w:hAnsi="Avenir Next" w:cs="Times New Roman"/>
                <w:i/>
                <w:iCs/>
              </w:rPr>
              <w:t>why this approach will produce evidence</w:t>
            </w:r>
            <w:r w:rsidRPr="006F4BF7">
              <w:rPr>
                <w:rFonts w:ascii="Avenir Next" w:eastAsia="Times New Roman" w:hAnsi="Avenir Next" w:cs="Times New Roman"/>
              </w:rPr>
              <w:t>.</w:t>
            </w:r>
          </w:p>
        </w:tc>
      </w:tr>
      <w:tr w:rsidR="006F4BF7" w:rsidRPr="006F4BF7" w14:paraId="647CFF83" w14:textId="77777777" w:rsidTr="006F4BF7">
        <w:tc>
          <w:tcPr>
            <w:tcW w:w="1922" w:type="dxa"/>
            <w:hideMark/>
          </w:tcPr>
          <w:p w14:paraId="5A261633"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Completed single study</w:t>
            </w:r>
          </w:p>
        </w:tc>
        <w:tc>
          <w:tcPr>
            <w:tcW w:w="778" w:type="dxa"/>
            <w:hideMark/>
          </w:tcPr>
          <w:p w14:paraId="022E7853"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Peers across fields</w:t>
            </w:r>
          </w:p>
        </w:tc>
        <w:tc>
          <w:tcPr>
            <w:tcW w:w="2966" w:type="dxa"/>
            <w:hideMark/>
          </w:tcPr>
          <w:p w14:paraId="4BCABACE"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Hook </w:t>
            </w:r>
            <w:r w:rsidRPr="006F4BF7">
              <w:rPr>
                <w:rFonts w:ascii="Arial" w:eastAsia="Times New Roman" w:hAnsi="Arial" w:cs="Arial"/>
              </w:rPr>
              <w:t>→</w:t>
            </w:r>
            <w:r w:rsidRPr="006F4BF7">
              <w:rPr>
                <w:rFonts w:ascii="Avenir Next" w:eastAsia="Times New Roman" w:hAnsi="Avenir Next" w:cs="Times New Roman"/>
              </w:rPr>
              <w:t xml:space="preserve"> So-what </w:t>
            </w:r>
            <w:r w:rsidRPr="006F4BF7">
              <w:rPr>
                <w:rFonts w:ascii="Arial" w:eastAsia="Times New Roman" w:hAnsi="Arial" w:cs="Arial"/>
              </w:rPr>
              <w:t>→</w:t>
            </w:r>
            <w:r w:rsidRPr="006F4BF7">
              <w:rPr>
                <w:rFonts w:ascii="Avenir Next" w:eastAsia="Times New Roman" w:hAnsi="Avenir Next" w:cs="Times New Roman"/>
              </w:rPr>
              <w:t xml:space="preserve"> Known </w:t>
            </w:r>
            <w:r w:rsidRPr="006F4BF7">
              <w:rPr>
                <w:rFonts w:ascii="Arial" w:eastAsia="Times New Roman" w:hAnsi="Arial" w:cs="Arial"/>
              </w:rPr>
              <w:t>→</w:t>
            </w:r>
            <w:r w:rsidRPr="006F4BF7">
              <w:rPr>
                <w:rFonts w:ascii="Avenir Next" w:eastAsia="Times New Roman" w:hAnsi="Avenir Next" w:cs="Times New Roman"/>
              </w:rPr>
              <w:t xml:space="preserve"> Gap </w:t>
            </w:r>
            <w:r w:rsidRPr="006F4BF7">
              <w:rPr>
                <w:rFonts w:ascii="Arial" w:eastAsia="Times New Roman" w:hAnsi="Arial" w:cs="Arial"/>
              </w:rPr>
              <w:t>→</w:t>
            </w:r>
            <w:r w:rsidRPr="006F4BF7">
              <w:rPr>
                <w:rFonts w:ascii="Avenir Next" w:eastAsia="Times New Roman" w:hAnsi="Avenir Next" w:cs="Times New Roman"/>
              </w:rPr>
              <w:t xml:space="preserve"> Methods (conceptual) </w:t>
            </w:r>
            <w:r w:rsidRPr="006F4BF7">
              <w:rPr>
                <w:rFonts w:ascii="Arial" w:eastAsia="Times New Roman" w:hAnsi="Arial" w:cs="Arial"/>
              </w:rPr>
              <w:t>→</w:t>
            </w:r>
            <w:r w:rsidRPr="006F4BF7">
              <w:rPr>
                <w:rFonts w:ascii="Avenir Next" w:eastAsia="Times New Roman" w:hAnsi="Avenir Next" w:cs="Times New Roman"/>
              </w:rPr>
              <w:t xml:space="preserve"> Results </w:t>
            </w:r>
            <w:r w:rsidRPr="006F4BF7">
              <w:rPr>
                <w:rFonts w:ascii="Arial" w:eastAsia="Times New Roman" w:hAnsi="Arial" w:cs="Arial"/>
              </w:rPr>
              <w:t>→</w:t>
            </w:r>
            <w:r w:rsidRPr="006F4BF7">
              <w:rPr>
                <w:rFonts w:ascii="Avenir Next" w:eastAsia="Times New Roman" w:hAnsi="Avenir Next" w:cs="Times New Roman"/>
              </w:rPr>
              <w:t xml:space="preserve"> Meaning + </w:t>
            </w:r>
            <w:r w:rsidRPr="006F4BF7">
              <w:rPr>
                <w:rFonts w:ascii="Avenir Next" w:eastAsia="Times New Roman" w:hAnsi="Avenir Next" w:cs="Times New Roman"/>
                <w:b/>
                <w:bCs/>
              </w:rPr>
              <w:t>uncertainty</w:t>
            </w:r>
            <w:r w:rsidRPr="006F4BF7">
              <w:rPr>
                <w:rFonts w:ascii="Avenir Next" w:eastAsia="Times New Roman" w:hAnsi="Avenir Next" w:cs="Times New Roman"/>
              </w:rPr>
              <w:t xml:space="preserve"> </w:t>
            </w:r>
            <w:r w:rsidRPr="006F4BF7">
              <w:rPr>
                <w:rFonts w:ascii="Arial" w:eastAsia="Times New Roman" w:hAnsi="Arial" w:cs="Arial"/>
              </w:rPr>
              <w:t>→</w:t>
            </w:r>
            <w:r w:rsidRPr="006F4BF7">
              <w:rPr>
                <w:rFonts w:ascii="Avenir Next" w:eastAsia="Times New Roman" w:hAnsi="Avenir Next" w:cs="Times New Roman"/>
              </w:rPr>
              <w:t xml:space="preserve"> Limits </w:t>
            </w:r>
            <w:r w:rsidRPr="006F4BF7">
              <w:rPr>
                <w:rFonts w:ascii="Arial" w:eastAsia="Times New Roman" w:hAnsi="Arial" w:cs="Arial"/>
              </w:rPr>
              <w:t>→</w:t>
            </w:r>
            <w:r w:rsidRPr="006F4BF7">
              <w:rPr>
                <w:rFonts w:ascii="Avenir Next" w:eastAsia="Times New Roman" w:hAnsi="Avenir Next" w:cs="Times New Roman"/>
              </w:rPr>
              <w:t xml:space="preserve"> Implications</w:t>
            </w:r>
          </w:p>
        </w:tc>
        <w:tc>
          <w:tcPr>
            <w:tcW w:w="1084" w:type="dxa"/>
            <w:hideMark/>
          </w:tcPr>
          <w:p w14:paraId="3B6D429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3 / 2 / 1 / 1 / 2 / 3 / 2</w:t>
            </w:r>
          </w:p>
        </w:tc>
        <w:tc>
          <w:tcPr>
            <w:tcW w:w="1314" w:type="dxa"/>
            <w:hideMark/>
          </w:tcPr>
          <w:p w14:paraId="69A0457D"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6 / 4 / 3 / 3 / 6 / 8 / 4</w:t>
            </w:r>
          </w:p>
        </w:tc>
        <w:tc>
          <w:tcPr>
            <w:tcW w:w="1926" w:type="dxa"/>
            <w:hideMark/>
          </w:tcPr>
          <w:p w14:paraId="4496B3D0"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Keep methods conceptual; emphasize effect sizes and uncertainty.</w:t>
            </w:r>
          </w:p>
        </w:tc>
      </w:tr>
      <w:tr w:rsidR="006F4BF7" w:rsidRPr="006F4BF7" w14:paraId="72FDCC14" w14:textId="77777777" w:rsidTr="006F4BF7">
        <w:tc>
          <w:tcPr>
            <w:tcW w:w="1922" w:type="dxa"/>
            <w:hideMark/>
          </w:tcPr>
          <w:p w14:paraId="2A63335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Program update / progress</w:t>
            </w:r>
          </w:p>
        </w:tc>
        <w:tc>
          <w:tcPr>
            <w:tcW w:w="778" w:type="dxa"/>
            <w:hideMark/>
          </w:tcPr>
          <w:p w14:paraId="3AB52F8D"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Team, stakeholders</w:t>
            </w:r>
          </w:p>
        </w:tc>
        <w:tc>
          <w:tcPr>
            <w:tcW w:w="2966" w:type="dxa"/>
            <w:hideMark/>
          </w:tcPr>
          <w:p w14:paraId="53EE0EBC"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Hook </w:t>
            </w:r>
            <w:r w:rsidRPr="006F4BF7">
              <w:rPr>
                <w:rFonts w:ascii="Arial" w:eastAsia="Times New Roman" w:hAnsi="Arial" w:cs="Arial"/>
              </w:rPr>
              <w:t>→</w:t>
            </w:r>
            <w:r w:rsidRPr="006F4BF7">
              <w:rPr>
                <w:rFonts w:ascii="Avenir Next" w:eastAsia="Times New Roman" w:hAnsi="Avenir Next" w:cs="Times New Roman"/>
              </w:rPr>
              <w:t xml:space="preserve"> Objectives </w:t>
            </w:r>
            <w:r w:rsidRPr="006F4BF7">
              <w:rPr>
                <w:rFonts w:ascii="Arial" w:eastAsia="Times New Roman" w:hAnsi="Arial" w:cs="Arial"/>
              </w:rPr>
              <w:t>→</w:t>
            </w:r>
            <w:r w:rsidRPr="006F4BF7">
              <w:rPr>
                <w:rFonts w:ascii="Avenir Next" w:eastAsia="Times New Roman" w:hAnsi="Avenir Next" w:cs="Times New Roman"/>
              </w:rPr>
              <w:t xml:space="preserve"> Milestones </w:t>
            </w:r>
            <w:r w:rsidRPr="006F4BF7">
              <w:rPr>
                <w:rFonts w:ascii="Arial" w:eastAsia="Times New Roman" w:hAnsi="Arial" w:cs="Arial"/>
              </w:rPr>
              <w:t>→</w:t>
            </w:r>
            <w:r w:rsidRPr="006F4BF7">
              <w:rPr>
                <w:rFonts w:ascii="Avenir Next" w:eastAsia="Times New Roman" w:hAnsi="Avenir Next" w:cs="Times New Roman"/>
              </w:rPr>
              <w:t xml:space="preserve"> What worked / learned </w:t>
            </w:r>
            <w:r w:rsidRPr="006F4BF7">
              <w:rPr>
                <w:rFonts w:ascii="Arial" w:eastAsia="Times New Roman" w:hAnsi="Arial" w:cs="Arial"/>
              </w:rPr>
              <w:t>→</w:t>
            </w:r>
            <w:r w:rsidRPr="006F4BF7">
              <w:rPr>
                <w:rFonts w:ascii="Avenir Next" w:eastAsia="Times New Roman" w:hAnsi="Avenir Next" w:cs="Times New Roman"/>
              </w:rPr>
              <w:t xml:space="preserve"> Risks / needs </w:t>
            </w:r>
            <w:r w:rsidRPr="006F4BF7">
              <w:rPr>
                <w:rFonts w:ascii="Arial" w:eastAsia="Times New Roman" w:hAnsi="Arial" w:cs="Arial"/>
              </w:rPr>
              <w:t>→</w:t>
            </w:r>
            <w:r w:rsidRPr="006F4BF7">
              <w:rPr>
                <w:rFonts w:ascii="Avenir Next" w:eastAsia="Times New Roman" w:hAnsi="Avenir Next" w:cs="Times New Roman"/>
              </w:rPr>
              <w:t xml:space="preserve"> Next steps</w:t>
            </w:r>
          </w:p>
        </w:tc>
        <w:tc>
          <w:tcPr>
            <w:tcW w:w="1084" w:type="dxa"/>
            <w:hideMark/>
          </w:tcPr>
          <w:p w14:paraId="6EB82C51"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2 / 3 / 4 / 3 / 2</w:t>
            </w:r>
          </w:p>
        </w:tc>
        <w:tc>
          <w:tcPr>
            <w:tcW w:w="1314" w:type="dxa"/>
            <w:hideMark/>
          </w:tcPr>
          <w:p w14:paraId="2A892074"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5 / 7 / 10 / 5 / 3</w:t>
            </w:r>
          </w:p>
        </w:tc>
        <w:tc>
          <w:tcPr>
            <w:tcW w:w="1926" w:type="dxa"/>
            <w:hideMark/>
          </w:tcPr>
          <w:p w14:paraId="69AED3BC"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Highlight learning from failures; end with concrete next actions.</w:t>
            </w:r>
          </w:p>
        </w:tc>
      </w:tr>
      <w:tr w:rsidR="006F4BF7" w:rsidRPr="006F4BF7" w14:paraId="0CA3D452" w14:textId="77777777" w:rsidTr="006F4BF7">
        <w:tc>
          <w:tcPr>
            <w:tcW w:w="1922" w:type="dxa"/>
            <w:hideMark/>
          </w:tcPr>
          <w:p w14:paraId="0D8B13FA"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Public or policy briefing</w:t>
            </w:r>
          </w:p>
        </w:tc>
        <w:tc>
          <w:tcPr>
            <w:tcW w:w="778" w:type="dxa"/>
            <w:hideMark/>
          </w:tcPr>
          <w:p w14:paraId="2B8A294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Non-experts, decision-makers</w:t>
            </w:r>
          </w:p>
        </w:tc>
        <w:tc>
          <w:tcPr>
            <w:tcW w:w="2966" w:type="dxa"/>
            <w:hideMark/>
          </w:tcPr>
          <w:p w14:paraId="6E5E38E5"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Relatable hook </w:t>
            </w:r>
            <w:r w:rsidRPr="006F4BF7">
              <w:rPr>
                <w:rFonts w:ascii="Arial" w:eastAsia="Times New Roman" w:hAnsi="Arial" w:cs="Arial"/>
              </w:rPr>
              <w:t>→</w:t>
            </w:r>
            <w:r w:rsidRPr="006F4BF7">
              <w:rPr>
                <w:rFonts w:ascii="Avenir Next" w:eastAsia="Times New Roman" w:hAnsi="Avenir Next" w:cs="Times New Roman"/>
              </w:rPr>
              <w:t xml:space="preserve"> So-what (stakes) </w:t>
            </w:r>
            <w:r w:rsidRPr="006F4BF7">
              <w:rPr>
                <w:rFonts w:ascii="Arial" w:eastAsia="Times New Roman" w:hAnsi="Arial" w:cs="Arial"/>
              </w:rPr>
              <w:t>→</w:t>
            </w:r>
            <w:r w:rsidRPr="006F4BF7">
              <w:rPr>
                <w:rFonts w:ascii="Avenir Next" w:eastAsia="Times New Roman" w:hAnsi="Avenir Next" w:cs="Times New Roman"/>
              </w:rPr>
              <w:t xml:space="preserve"> What’s known </w:t>
            </w:r>
            <w:r w:rsidRPr="006F4BF7">
              <w:rPr>
                <w:rFonts w:ascii="Arial" w:eastAsia="Times New Roman" w:hAnsi="Arial" w:cs="Arial"/>
              </w:rPr>
              <w:t>→</w:t>
            </w:r>
            <w:r w:rsidRPr="006F4BF7">
              <w:rPr>
                <w:rFonts w:ascii="Avenir Next" w:eastAsia="Times New Roman" w:hAnsi="Avenir Next" w:cs="Times New Roman"/>
              </w:rPr>
              <w:t xml:space="preserve"> What’s uncertain </w:t>
            </w:r>
            <w:r w:rsidRPr="006F4BF7">
              <w:rPr>
                <w:rFonts w:ascii="Arial" w:eastAsia="Times New Roman" w:hAnsi="Arial" w:cs="Arial"/>
              </w:rPr>
              <w:t>→</w:t>
            </w:r>
            <w:r w:rsidRPr="006F4BF7">
              <w:rPr>
                <w:rFonts w:ascii="Avenir Next" w:eastAsia="Times New Roman" w:hAnsi="Avenir Next" w:cs="Times New Roman"/>
              </w:rPr>
              <w:t xml:space="preserve"> Implications / options </w:t>
            </w:r>
            <w:r w:rsidRPr="006F4BF7">
              <w:rPr>
                <w:rFonts w:ascii="Arial" w:eastAsia="Times New Roman" w:hAnsi="Arial" w:cs="Arial"/>
              </w:rPr>
              <w:t>→</w:t>
            </w:r>
            <w:r w:rsidRPr="006F4BF7">
              <w:rPr>
                <w:rFonts w:ascii="Avenir Next" w:eastAsia="Times New Roman" w:hAnsi="Avenir Next" w:cs="Times New Roman"/>
              </w:rPr>
              <w:t xml:space="preserve"> Call to action</w:t>
            </w:r>
          </w:p>
        </w:tc>
        <w:tc>
          <w:tcPr>
            <w:tcW w:w="1084" w:type="dxa"/>
            <w:hideMark/>
          </w:tcPr>
          <w:p w14:paraId="2FB99A8F"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3 / 3 / 2 / 2 / 3</w:t>
            </w:r>
          </w:p>
        </w:tc>
        <w:tc>
          <w:tcPr>
            <w:tcW w:w="1314" w:type="dxa"/>
            <w:hideMark/>
          </w:tcPr>
          <w:p w14:paraId="7E6B330B"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6 / 6 / 4 / 4 / 6</w:t>
            </w:r>
          </w:p>
        </w:tc>
        <w:tc>
          <w:tcPr>
            <w:tcW w:w="1926" w:type="dxa"/>
            <w:hideMark/>
          </w:tcPr>
          <w:p w14:paraId="719217B1"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Avoid deficit framing; connect to shared values and real-world choices.</w:t>
            </w:r>
          </w:p>
        </w:tc>
      </w:tr>
      <w:tr w:rsidR="006F4BF7" w:rsidRPr="006F4BF7" w14:paraId="3FC659AD" w14:textId="77777777" w:rsidTr="006F4BF7">
        <w:tc>
          <w:tcPr>
            <w:tcW w:w="1922" w:type="dxa"/>
            <w:hideMark/>
          </w:tcPr>
          <w:p w14:paraId="0414FA60"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b/>
                <w:bCs/>
              </w:rPr>
              <w:t>Investor / partner pitch</w:t>
            </w:r>
          </w:p>
        </w:tc>
        <w:tc>
          <w:tcPr>
            <w:tcW w:w="778" w:type="dxa"/>
            <w:hideMark/>
          </w:tcPr>
          <w:p w14:paraId="33D5EB4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Funders, partners</w:t>
            </w:r>
          </w:p>
        </w:tc>
        <w:tc>
          <w:tcPr>
            <w:tcW w:w="2966" w:type="dxa"/>
            <w:hideMark/>
          </w:tcPr>
          <w:p w14:paraId="30AFB153"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 xml:space="preserve">Problem size </w:t>
            </w:r>
            <w:r w:rsidRPr="006F4BF7">
              <w:rPr>
                <w:rFonts w:ascii="Arial" w:eastAsia="Times New Roman" w:hAnsi="Arial" w:cs="Arial"/>
              </w:rPr>
              <w:t>→</w:t>
            </w:r>
            <w:r w:rsidRPr="006F4BF7">
              <w:rPr>
                <w:rFonts w:ascii="Avenir Next" w:eastAsia="Times New Roman" w:hAnsi="Avenir Next" w:cs="Times New Roman"/>
              </w:rPr>
              <w:t xml:space="preserve"> Solution concept </w:t>
            </w:r>
            <w:r w:rsidRPr="006F4BF7">
              <w:rPr>
                <w:rFonts w:ascii="Arial" w:eastAsia="Times New Roman" w:hAnsi="Arial" w:cs="Arial"/>
              </w:rPr>
              <w:t>→</w:t>
            </w:r>
            <w:r w:rsidRPr="006F4BF7">
              <w:rPr>
                <w:rFonts w:ascii="Avenir Next" w:eastAsia="Times New Roman" w:hAnsi="Avenir Next" w:cs="Times New Roman"/>
              </w:rPr>
              <w:t xml:space="preserve"> Evidence so far </w:t>
            </w:r>
            <w:r w:rsidRPr="006F4BF7">
              <w:rPr>
                <w:rFonts w:ascii="Arial" w:eastAsia="Times New Roman" w:hAnsi="Arial" w:cs="Arial"/>
              </w:rPr>
              <w:t>→</w:t>
            </w:r>
            <w:r w:rsidRPr="006F4BF7">
              <w:rPr>
                <w:rFonts w:ascii="Avenir Next" w:eastAsia="Times New Roman" w:hAnsi="Avenir Next" w:cs="Times New Roman"/>
              </w:rPr>
              <w:t xml:space="preserve"> Path to scale </w:t>
            </w:r>
            <w:r w:rsidRPr="006F4BF7">
              <w:rPr>
                <w:rFonts w:ascii="Arial" w:eastAsia="Times New Roman" w:hAnsi="Arial" w:cs="Arial"/>
              </w:rPr>
              <w:t>→</w:t>
            </w:r>
            <w:r w:rsidRPr="006F4BF7">
              <w:rPr>
                <w:rFonts w:ascii="Avenir Next" w:eastAsia="Times New Roman" w:hAnsi="Avenir Next" w:cs="Times New Roman"/>
              </w:rPr>
              <w:t xml:space="preserve"> Risks </w:t>
            </w:r>
            <w:r w:rsidRPr="006F4BF7">
              <w:rPr>
                <w:rFonts w:ascii="Arial" w:eastAsia="Times New Roman" w:hAnsi="Arial" w:cs="Arial"/>
              </w:rPr>
              <w:t>→</w:t>
            </w:r>
            <w:r w:rsidRPr="006F4BF7">
              <w:rPr>
                <w:rFonts w:ascii="Avenir Next" w:eastAsia="Times New Roman" w:hAnsi="Avenir Next" w:cs="Times New Roman"/>
              </w:rPr>
              <w:t xml:space="preserve"> Ask</w:t>
            </w:r>
          </w:p>
        </w:tc>
        <w:tc>
          <w:tcPr>
            <w:tcW w:w="1084" w:type="dxa"/>
            <w:hideMark/>
          </w:tcPr>
          <w:p w14:paraId="5F328F46"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3 / 3 / 4 / 3 / 2</w:t>
            </w:r>
          </w:p>
        </w:tc>
        <w:tc>
          <w:tcPr>
            <w:tcW w:w="1314" w:type="dxa"/>
            <w:hideMark/>
          </w:tcPr>
          <w:p w14:paraId="31AF4D44"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6 / 6 / 10 / 7 / 3</w:t>
            </w:r>
          </w:p>
        </w:tc>
        <w:tc>
          <w:tcPr>
            <w:tcW w:w="1926" w:type="dxa"/>
            <w:hideMark/>
          </w:tcPr>
          <w:p w14:paraId="2D340591" w14:textId="77777777" w:rsidR="006F4BF7" w:rsidRPr="006F4BF7" w:rsidRDefault="006F4BF7" w:rsidP="006F4BF7">
            <w:pPr>
              <w:spacing w:after="0" w:line="240" w:lineRule="auto"/>
              <w:rPr>
                <w:rFonts w:ascii="Avenir Next" w:eastAsia="Times New Roman" w:hAnsi="Avenir Next" w:cs="Times New Roman"/>
              </w:rPr>
            </w:pPr>
            <w:r w:rsidRPr="006F4BF7">
              <w:rPr>
                <w:rFonts w:ascii="Avenir Next" w:eastAsia="Times New Roman" w:hAnsi="Avenir Next" w:cs="Times New Roman"/>
              </w:rPr>
              <w:t>Focus on evidence quality; be explicit about assumptions and risk.</w:t>
            </w:r>
          </w:p>
        </w:tc>
      </w:tr>
    </w:tbl>
    <w:p w14:paraId="4D7D19F9" w14:textId="77777777" w:rsidR="006F4BF7" w:rsidRDefault="006F4BF7" w:rsidP="006F4BF7">
      <w:pPr>
        <w:ind w:left="-540" w:right="-900"/>
        <w:rPr>
          <w:rFonts w:ascii="Avenir Next" w:hAnsi="Avenir Next"/>
        </w:rPr>
      </w:pPr>
    </w:p>
    <w:p w14:paraId="2A258BA6" w14:textId="0BA8C594" w:rsidR="00AD3D87" w:rsidRPr="006F4BF7" w:rsidRDefault="006F4BF7" w:rsidP="006F4BF7">
      <w:pPr>
        <w:ind w:left="-540" w:right="-900"/>
        <w:rPr>
          <w:rFonts w:ascii="Avenir Next" w:hAnsi="Avenir Next"/>
        </w:rPr>
      </w:pPr>
      <w:r>
        <w:rPr>
          <w:rFonts w:ascii="Avenir Next" w:hAnsi="Avenir Next"/>
        </w:rPr>
        <w:t xml:space="preserve">Note: </w:t>
      </w:r>
      <w:r w:rsidRPr="006F4BF7">
        <w:rPr>
          <w:rFonts w:ascii="Avenir Next" w:hAnsi="Avenir Next"/>
        </w:rPr>
        <w:t>Time b</w:t>
      </w:r>
      <w:r w:rsidR="00AD3D87" w:rsidRPr="006F4BF7">
        <w:rPr>
          <w:rFonts w:ascii="Avenir Next" w:hAnsi="Avenir Next"/>
        </w:rPr>
        <w:t>udgets are indicative; adjust to venue and audience. For all versions, use assertion–evidence slides and multimedia principles to reduce extraneous load and guide attention</w:t>
      </w:r>
      <w:r w:rsidRPr="006F4BF7">
        <w:rPr>
          <w:rFonts w:ascii="Avenir Next" w:hAnsi="Avenir Next"/>
        </w:rPr>
        <w:t xml:space="preserve"> </w:t>
      </w:r>
      <w:r w:rsidR="00AD3D87" w:rsidRPr="006F4BF7">
        <w:rPr>
          <w:rFonts w:ascii="Avenir Next" w:hAnsi="Avenir Next"/>
          <w:vertAlign w:val="superscript"/>
        </w:rPr>
        <w:t>[4]</w:t>
      </w:r>
      <w:r w:rsidR="00AD3D87" w:rsidRPr="006F4BF7">
        <w:rPr>
          <w:rFonts w:ascii="Avenir Next" w:hAnsi="Avenir Next"/>
        </w:rPr>
        <w:t>.</w:t>
      </w:r>
    </w:p>
    <w:p w14:paraId="71651256" w14:textId="16DC96AA" w:rsidR="00AD3D87" w:rsidRDefault="00AD3D87" w:rsidP="00AD3D87"/>
    <w:p w14:paraId="6A6F62E8" w14:textId="13B89321" w:rsidR="00742B44" w:rsidRPr="00991E47" w:rsidRDefault="00742B44" w:rsidP="00782935">
      <w:pPr>
        <w:pStyle w:val="Heading1"/>
        <w:numPr>
          <w:ilvl w:val="0"/>
          <w:numId w:val="2"/>
        </w:numPr>
        <w:spacing w:line="360" w:lineRule="auto"/>
        <w:ind w:right="-540"/>
        <w:rPr>
          <w:rFonts w:ascii="Avenir Next" w:hAnsi="Avenir Next"/>
        </w:rPr>
      </w:pPr>
      <w:r w:rsidRPr="00991E47">
        <w:rPr>
          <w:rFonts w:ascii="Avenir Next" w:hAnsi="Avenir Next"/>
        </w:rPr>
        <w:t>Forms of Science Communication</w:t>
      </w:r>
    </w:p>
    <w:p w14:paraId="4E324130" w14:textId="77777777" w:rsidR="00742B44" w:rsidRPr="00991E47" w:rsidRDefault="00742B44" w:rsidP="00742B44">
      <w:pPr>
        <w:spacing w:line="360" w:lineRule="auto"/>
        <w:ind w:left="-540" w:right="-540"/>
        <w:rPr>
          <w:rFonts w:ascii="Avenir Next" w:hAnsi="Avenir Next"/>
        </w:rPr>
      </w:pPr>
      <w:r w:rsidRPr="00991E47">
        <w:rPr>
          <w:rFonts w:ascii="Avenir Next" w:hAnsi="Avenir Next"/>
        </w:rPr>
        <w:t>While this guide focuses on oral presentations with slides, science communication also takes the form of posters, written work (popular or academic), and audiovisual media such as documentaries. Though the medium changes, shared principles endure: know your audience, tell a story, and make complexity legible.</w:t>
      </w:r>
    </w:p>
    <w:p w14:paraId="78FB9F48" w14:textId="37B94FF9" w:rsidR="00742B44" w:rsidRPr="00991E47" w:rsidRDefault="00742B44" w:rsidP="00782935">
      <w:pPr>
        <w:pStyle w:val="Heading1"/>
        <w:numPr>
          <w:ilvl w:val="0"/>
          <w:numId w:val="2"/>
        </w:numPr>
        <w:spacing w:line="360" w:lineRule="auto"/>
        <w:ind w:right="-540"/>
        <w:rPr>
          <w:rFonts w:ascii="Avenir Next" w:hAnsi="Avenir Next"/>
        </w:rPr>
      </w:pPr>
      <w:r w:rsidRPr="00991E47">
        <w:rPr>
          <w:rFonts w:ascii="Avenir Next" w:hAnsi="Avenir Next"/>
        </w:rPr>
        <w:t>Planning Your Talk</w:t>
      </w:r>
    </w:p>
    <w:p w14:paraId="1C1A2783" w14:textId="5C6BA9F4" w:rsidR="00782935" w:rsidRDefault="00782935" w:rsidP="00782935">
      <w:pPr>
        <w:pStyle w:val="ListParagraph"/>
        <w:numPr>
          <w:ilvl w:val="1"/>
          <w:numId w:val="2"/>
        </w:numPr>
        <w:spacing w:line="360" w:lineRule="auto"/>
        <w:ind w:right="-540"/>
        <w:rPr>
          <w:rFonts w:ascii="Avenir Next" w:hAnsi="Avenir Next"/>
        </w:rPr>
      </w:pPr>
      <w:r w:rsidRPr="00782935">
        <w:rPr>
          <w:rFonts w:ascii="Avenir Next" w:hAnsi="Avenir Next"/>
        </w:rPr>
        <w:t>Know your audience</w:t>
      </w:r>
      <w:r>
        <w:rPr>
          <w:rFonts w:ascii="Avenir Next" w:hAnsi="Avenir Next"/>
        </w:rPr>
        <w:t xml:space="preserve">: </w:t>
      </w:r>
      <w:r w:rsidRPr="00991E47">
        <w:rPr>
          <w:rFonts w:ascii="Avenir Next" w:hAnsi="Avenir Next"/>
        </w:rPr>
        <w:t>Start by mapping what your audience knows and cares about.</w:t>
      </w:r>
    </w:p>
    <w:p w14:paraId="3FD79988" w14:textId="4D29CC6C" w:rsidR="00782935" w:rsidRDefault="00782935" w:rsidP="00782935">
      <w:pPr>
        <w:pStyle w:val="ListParagraph"/>
        <w:numPr>
          <w:ilvl w:val="1"/>
          <w:numId w:val="2"/>
        </w:numPr>
        <w:spacing w:line="360" w:lineRule="auto"/>
        <w:ind w:right="-540"/>
        <w:rPr>
          <w:rFonts w:ascii="Avenir Next" w:hAnsi="Avenir Next"/>
        </w:rPr>
      </w:pPr>
      <w:r>
        <w:rPr>
          <w:rFonts w:ascii="Avenir Next" w:hAnsi="Avenir Next"/>
        </w:rPr>
        <w:t xml:space="preserve">Content of your talk: </w:t>
      </w:r>
    </w:p>
    <w:p w14:paraId="436623A1" w14:textId="1296D78B" w:rsidR="00782935" w:rsidRPr="00782935" w:rsidRDefault="00782935" w:rsidP="00782935">
      <w:pPr>
        <w:pStyle w:val="ListParagraph"/>
        <w:numPr>
          <w:ilvl w:val="1"/>
          <w:numId w:val="2"/>
        </w:numPr>
        <w:spacing w:line="360" w:lineRule="auto"/>
        <w:ind w:right="-540"/>
        <w:rPr>
          <w:rFonts w:ascii="Avenir Next" w:hAnsi="Avenir Next"/>
        </w:rPr>
      </w:pPr>
      <w:r>
        <w:rPr>
          <w:rFonts w:ascii="Avenir Next" w:hAnsi="Avenir Next"/>
        </w:rPr>
        <w:t>Structure of your talk:</w:t>
      </w:r>
    </w:p>
    <w:p w14:paraId="681A8CFB" w14:textId="565BEC92" w:rsidR="00742B44" w:rsidRPr="00991E47" w:rsidRDefault="00742B44" w:rsidP="00742B44">
      <w:pPr>
        <w:spacing w:line="360" w:lineRule="auto"/>
        <w:ind w:left="-540" w:right="-540"/>
        <w:rPr>
          <w:rFonts w:ascii="Avenir Next" w:hAnsi="Avenir Next"/>
        </w:rPr>
      </w:pPr>
      <w:r w:rsidRPr="00991E47">
        <w:rPr>
          <w:rFonts w:ascii="Avenir Next" w:hAnsi="Avenir Next"/>
        </w:rPr>
        <w:t xml:space="preserve">Translate this into a Message Box: Problem </w:t>
      </w:r>
      <w:r w:rsidRPr="00991E47">
        <w:rPr>
          <w:rFonts w:ascii="Arial" w:hAnsi="Arial" w:cs="Arial"/>
        </w:rPr>
        <w:t>→</w:t>
      </w:r>
      <w:r w:rsidRPr="00991E47">
        <w:rPr>
          <w:rFonts w:ascii="Avenir Next" w:hAnsi="Avenir Next"/>
        </w:rPr>
        <w:t xml:space="preserve"> So what </w:t>
      </w:r>
      <w:r w:rsidRPr="00991E47">
        <w:rPr>
          <w:rFonts w:ascii="Arial" w:hAnsi="Arial" w:cs="Arial"/>
        </w:rPr>
        <w:t>→</w:t>
      </w:r>
      <w:r w:rsidRPr="00991E47">
        <w:rPr>
          <w:rFonts w:ascii="Avenir Next" w:hAnsi="Avenir Next"/>
        </w:rPr>
        <w:t xml:space="preserve"> What we know </w:t>
      </w:r>
      <w:r w:rsidRPr="00991E47">
        <w:rPr>
          <w:rFonts w:ascii="Arial" w:hAnsi="Arial" w:cs="Arial"/>
        </w:rPr>
        <w:t>→</w:t>
      </w:r>
      <w:r w:rsidRPr="00991E47">
        <w:rPr>
          <w:rFonts w:ascii="Avenir Next" w:hAnsi="Avenir Next"/>
        </w:rPr>
        <w:t xml:space="preserve"> What’s new </w:t>
      </w:r>
      <w:r w:rsidRPr="00991E47">
        <w:rPr>
          <w:rFonts w:ascii="Arial" w:hAnsi="Arial" w:cs="Arial"/>
        </w:rPr>
        <w:t>→</w:t>
      </w:r>
      <w:r w:rsidRPr="00991E47">
        <w:rPr>
          <w:rFonts w:ascii="Avenir Next" w:hAnsi="Avenir Next"/>
        </w:rPr>
        <w:t xml:space="preserve"> Call to action. Then build an hourglass structure: start broad (why it matters), narrow to methods and findings, and end broad again (implications and limits).</w:t>
      </w:r>
    </w:p>
    <w:p w14:paraId="5D9F74BD" w14:textId="77777777" w:rsidR="00742B44" w:rsidRPr="00991E47" w:rsidRDefault="00742B44" w:rsidP="00742B44">
      <w:pPr>
        <w:pStyle w:val="Heading1"/>
        <w:spacing w:line="360" w:lineRule="auto"/>
        <w:ind w:left="-540" w:right="-540"/>
        <w:rPr>
          <w:rFonts w:ascii="Avenir Next" w:hAnsi="Avenir Next"/>
        </w:rPr>
      </w:pPr>
      <w:r w:rsidRPr="00991E47">
        <w:rPr>
          <w:rFonts w:ascii="Avenir Next" w:hAnsi="Avenir Next"/>
        </w:rPr>
        <w:t>4. Designing Slides</w:t>
      </w:r>
    </w:p>
    <w:p w14:paraId="494E64A8" w14:textId="77777777" w:rsidR="00742B44" w:rsidRPr="00991E47" w:rsidRDefault="00742B44" w:rsidP="00742B44">
      <w:pPr>
        <w:spacing w:line="360" w:lineRule="auto"/>
        <w:ind w:left="-540" w:right="-540"/>
        <w:rPr>
          <w:rFonts w:ascii="Avenir Next" w:hAnsi="Avenir Next"/>
        </w:rPr>
      </w:pPr>
      <w:r w:rsidRPr="00991E47">
        <w:rPr>
          <w:rFonts w:ascii="Avenir Next" w:hAnsi="Avenir Next"/>
        </w:rPr>
        <w:t>Slides should amplify your story, not replace it. Use assertion–evidence design: each slide title states the takeaway message, and the body shows evidence supporting it. Limit content to one main idea per slide, keep text concise, and favor clear annotations over legends.</w:t>
      </w:r>
    </w:p>
    <w:p w14:paraId="5F784D62" w14:textId="77777777" w:rsidR="00742B44" w:rsidRPr="00991E47" w:rsidRDefault="00742B44" w:rsidP="00742B44">
      <w:pPr>
        <w:pStyle w:val="Heading1"/>
        <w:spacing w:line="360" w:lineRule="auto"/>
        <w:ind w:left="-540" w:right="-540"/>
        <w:rPr>
          <w:rFonts w:ascii="Avenir Next" w:hAnsi="Avenir Next"/>
        </w:rPr>
      </w:pPr>
      <w:r w:rsidRPr="00991E47">
        <w:rPr>
          <w:rFonts w:ascii="Avenir Next" w:hAnsi="Avenir Next"/>
        </w:rPr>
        <w:t>5. Delivering the Talk</w:t>
      </w:r>
    </w:p>
    <w:p w14:paraId="253D85F7" w14:textId="77777777" w:rsidR="00742B44" w:rsidRPr="00991E47" w:rsidRDefault="00742B44" w:rsidP="00742B44">
      <w:pPr>
        <w:spacing w:line="360" w:lineRule="auto"/>
        <w:ind w:left="-540" w:right="-540"/>
        <w:rPr>
          <w:rFonts w:ascii="Avenir Next" w:hAnsi="Avenir Next"/>
        </w:rPr>
      </w:pPr>
      <w:r w:rsidRPr="00991E47">
        <w:rPr>
          <w:rFonts w:ascii="Avenir Next" w:hAnsi="Avenir Next"/>
        </w:rPr>
        <w:t>You are the medium. Maintain eye contact, vary tone and pacing, and use micro-pauses (1–3 seconds) for emphasis. Engage with your audience through brief questions or prompts. Confidence grows from preparation and empathy, not from volume or speed.</w:t>
      </w:r>
    </w:p>
    <w:p w14:paraId="444914A5" w14:textId="77777777" w:rsidR="00742B44" w:rsidRPr="00991E47" w:rsidRDefault="00742B44" w:rsidP="00742B44">
      <w:pPr>
        <w:pStyle w:val="Heading1"/>
        <w:spacing w:line="360" w:lineRule="auto"/>
        <w:ind w:left="-540" w:right="-540"/>
        <w:rPr>
          <w:rFonts w:ascii="Avenir Next" w:hAnsi="Avenir Next"/>
        </w:rPr>
      </w:pPr>
      <w:r w:rsidRPr="00991E47">
        <w:rPr>
          <w:rFonts w:ascii="Avenir Next" w:hAnsi="Avenir Next"/>
        </w:rPr>
        <w:lastRenderedPageBreak/>
        <w:t>6. Handling Questions</w:t>
      </w:r>
    </w:p>
    <w:p w14:paraId="42A9D575" w14:textId="77777777" w:rsidR="00742B44" w:rsidRPr="00991E47" w:rsidRDefault="00742B44" w:rsidP="00742B44">
      <w:pPr>
        <w:spacing w:line="360" w:lineRule="auto"/>
        <w:ind w:left="-540" w:right="-540"/>
        <w:rPr>
          <w:rFonts w:ascii="Avenir Next" w:hAnsi="Avenir Next"/>
        </w:rPr>
      </w:pPr>
      <w:r w:rsidRPr="00991E47">
        <w:rPr>
          <w:rFonts w:ascii="Avenir Next" w:hAnsi="Avenir Next"/>
        </w:rPr>
        <w:t>Listen fully, paraphrase the question for clarity, answer concisely, and bridge back to your message. It’s acceptable to say 'I don’t know'—follow up with how you’d find the answer. Acknowledge limits and credit collaborators openly.</w:t>
      </w:r>
    </w:p>
    <w:p w14:paraId="086EC957" w14:textId="77777777" w:rsidR="00742B44" w:rsidRPr="00991E47" w:rsidRDefault="00742B44" w:rsidP="00742B44">
      <w:pPr>
        <w:pStyle w:val="Heading1"/>
        <w:spacing w:line="360" w:lineRule="auto"/>
        <w:ind w:left="-540" w:right="-540"/>
        <w:rPr>
          <w:rFonts w:ascii="Avenir Next" w:hAnsi="Avenir Next"/>
        </w:rPr>
      </w:pPr>
      <w:r w:rsidRPr="00991E47">
        <w:rPr>
          <w:rFonts w:ascii="Avenir Next" w:hAnsi="Avenir Next"/>
        </w:rPr>
        <w:t>7. Practice and Logistics</w:t>
      </w:r>
    </w:p>
    <w:p w14:paraId="1D2ECE4C" w14:textId="77777777" w:rsidR="00742B44" w:rsidRPr="00991E47" w:rsidRDefault="00742B44" w:rsidP="00742B44">
      <w:pPr>
        <w:spacing w:line="360" w:lineRule="auto"/>
        <w:ind w:left="-540" w:right="-540"/>
        <w:rPr>
          <w:rFonts w:ascii="Avenir Next" w:hAnsi="Avenir Next"/>
        </w:rPr>
      </w:pPr>
      <w:r w:rsidRPr="00991E47">
        <w:rPr>
          <w:rFonts w:ascii="Avenir Next" w:hAnsi="Avenir Next"/>
        </w:rPr>
        <w:t>Rehearse out loud at least once. Record yourself and fix one thing at a time—timing, transitions, filler words. Check your technology, adapters, and accessibility (captions, readable text). Confidence is preparation made visible.</w:t>
      </w:r>
    </w:p>
    <w:p w14:paraId="27ACFC39" w14:textId="77777777" w:rsidR="00742B44" w:rsidRPr="00991E47" w:rsidRDefault="00742B44" w:rsidP="00742B44">
      <w:pPr>
        <w:pStyle w:val="Heading1"/>
        <w:spacing w:line="360" w:lineRule="auto"/>
        <w:ind w:left="-540" w:right="-540"/>
        <w:rPr>
          <w:rFonts w:ascii="Avenir Next" w:hAnsi="Avenir Next"/>
        </w:rPr>
      </w:pPr>
      <w:r w:rsidRPr="00991E47">
        <w:rPr>
          <w:rFonts w:ascii="Avenir Next" w:hAnsi="Avenir Next"/>
        </w:rPr>
        <w:t>8. Quick Checklist</w:t>
      </w:r>
    </w:p>
    <w:p w14:paraId="3254DC8B" w14:textId="7406F468" w:rsidR="00742B44" w:rsidRPr="00991E47" w:rsidRDefault="00742B44" w:rsidP="00742B44">
      <w:pPr>
        <w:pStyle w:val="ListBullet"/>
        <w:tabs>
          <w:tab w:val="num" w:pos="360"/>
        </w:tabs>
        <w:spacing w:line="360" w:lineRule="auto"/>
        <w:ind w:left="-540" w:right="-540" w:hanging="360"/>
        <w:rPr>
          <w:rFonts w:ascii="Avenir Next" w:hAnsi="Avenir Next"/>
        </w:rPr>
      </w:pPr>
      <w:r w:rsidRPr="00991E47">
        <w:rPr>
          <w:rFonts w:ascii="Avenir Next" w:hAnsi="Avenir Next"/>
        </w:rPr>
        <w:t>Audience map and one-sentence promise completed.</w:t>
      </w:r>
    </w:p>
    <w:p w14:paraId="7C9D7F0F" w14:textId="1ECFC1C9" w:rsidR="00742B44" w:rsidRPr="00991E47" w:rsidRDefault="00742B44" w:rsidP="00742B44">
      <w:pPr>
        <w:pStyle w:val="ListBullet"/>
        <w:tabs>
          <w:tab w:val="num" w:pos="360"/>
        </w:tabs>
        <w:spacing w:line="360" w:lineRule="auto"/>
        <w:ind w:left="-540" w:right="-540" w:hanging="360"/>
        <w:rPr>
          <w:rFonts w:ascii="Avenir Next" w:hAnsi="Avenir Next"/>
        </w:rPr>
      </w:pPr>
      <w:r w:rsidRPr="00991E47">
        <w:rPr>
          <w:rFonts w:ascii="Avenir Next" w:hAnsi="Avenir Next"/>
        </w:rPr>
        <w:t>Message Box drafted; hourglass structure planned.</w:t>
      </w:r>
    </w:p>
    <w:p w14:paraId="412055FD" w14:textId="2349F112" w:rsidR="00742B44" w:rsidRPr="00991E47" w:rsidRDefault="00742B44" w:rsidP="00742B44">
      <w:pPr>
        <w:pStyle w:val="ListBullet"/>
        <w:tabs>
          <w:tab w:val="num" w:pos="360"/>
        </w:tabs>
        <w:spacing w:line="360" w:lineRule="auto"/>
        <w:ind w:left="-540" w:right="-540" w:hanging="360"/>
        <w:rPr>
          <w:rFonts w:ascii="Avenir Next" w:hAnsi="Avenir Next"/>
        </w:rPr>
      </w:pPr>
      <w:r w:rsidRPr="00991E47">
        <w:rPr>
          <w:rFonts w:ascii="Avenir Next" w:hAnsi="Avenir Next"/>
        </w:rPr>
        <w:t>Slides use assertion–evidence format; one idea per slide.</w:t>
      </w:r>
    </w:p>
    <w:p w14:paraId="108FA833" w14:textId="66B20A17" w:rsidR="00742B44" w:rsidRPr="00991E47" w:rsidRDefault="00742B44" w:rsidP="00742B44">
      <w:pPr>
        <w:pStyle w:val="ListBullet"/>
        <w:tabs>
          <w:tab w:val="num" w:pos="360"/>
        </w:tabs>
        <w:spacing w:line="360" w:lineRule="auto"/>
        <w:ind w:left="-540" w:right="-540" w:hanging="360"/>
        <w:rPr>
          <w:rFonts w:ascii="Avenir Next" w:hAnsi="Avenir Next"/>
        </w:rPr>
      </w:pPr>
      <w:r w:rsidRPr="00991E47">
        <w:rPr>
          <w:rFonts w:ascii="Avenir Next" w:hAnsi="Avenir Next"/>
        </w:rPr>
        <w:t>Figures annotated; uncertainty shown where relevant.</w:t>
      </w:r>
    </w:p>
    <w:p w14:paraId="72346578" w14:textId="573A0A4B" w:rsidR="00742B44" w:rsidRPr="00991E47" w:rsidRDefault="00742B44" w:rsidP="00742B44">
      <w:pPr>
        <w:pStyle w:val="ListBullet"/>
        <w:tabs>
          <w:tab w:val="num" w:pos="360"/>
        </w:tabs>
        <w:spacing w:line="360" w:lineRule="auto"/>
        <w:ind w:left="-540" w:right="-540" w:hanging="360"/>
        <w:rPr>
          <w:rFonts w:ascii="Avenir Next" w:hAnsi="Avenir Next"/>
        </w:rPr>
      </w:pPr>
      <w:r w:rsidRPr="00991E47">
        <w:rPr>
          <w:rFonts w:ascii="Avenir Next" w:hAnsi="Avenir Next"/>
        </w:rPr>
        <w:t>Interaction planned every ~5 minutes.</w:t>
      </w:r>
    </w:p>
    <w:p w14:paraId="5F25AE98" w14:textId="68A9B556" w:rsidR="00742B44" w:rsidRPr="00991E47" w:rsidRDefault="00742B44" w:rsidP="00742B44">
      <w:pPr>
        <w:pStyle w:val="ListBullet"/>
        <w:tabs>
          <w:tab w:val="num" w:pos="360"/>
        </w:tabs>
        <w:spacing w:line="360" w:lineRule="auto"/>
        <w:ind w:left="-540" w:right="-540" w:hanging="360"/>
        <w:rPr>
          <w:rFonts w:ascii="Avenir Next" w:hAnsi="Avenir Next"/>
        </w:rPr>
      </w:pPr>
      <w:r w:rsidRPr="00991E47">
        <w:rPr>
          <w:rFonts w:ascii="Avenir Next" w:hAnsi="Avenir Next"/>
        </w:rPr>
        <w:t>Q&amp;A approach practiced; collaborators credited.</w:t>
      </w:r>
    </w:p>
    <w:p w14:paraId="43A7DCC1" w14:textId="519E9921" w:rsidR="00742B44" w:rsidRPr="00991E47" w:rsidRDefault="00742B44" w:rsidP="00742B44">
      <w:pPr>
        <w:pStyle w:val="ListBullet"/>
        <w:tabs>
          <w:tab w:val="num" w:pos="360"/>
        </w:tabs>
        <w:spacing w:line="360" w:lineRule="auto"/>
        <w:ind w:left="-540" w:right="-540" w:hanging="360"/>
        <w:rPr>
          <w:rFonts w:ascii="Avenir Next" w:hAnsi="Avenir Next"/>
        </w:rPr>
      </w:pPr>
      <w:r w:rsidRPr="00991E47">
        <w:rPr>
          <w:rFonts w:ascii="Avenir Next" w:hAnsi="Avenir Next"/>
        </w:rPr>
        <w:t>Backup PDF prepared; accessibility verified.</w:t>
      </w:r>
    </w:p>
    <w:p w14:paraId="19CCA24C" w14:textId="77777777" w:rsidR="00742B44" w:rsidRPr="00991E47" w:rsidRDefault="00742B44" w:rsidP="00742B44">
      <w:pPr>
        <w:pStyle w:val="Heading1"/>
        <w:spacing w:line="360" w:lineRule="auto"/>
        <w:ind w:left="-540" w:right="-540"/>
        <w:rPr>
          <w:rFonts w:ascii="Avenir Next" w:hAnsi="Avenir Next"/>
        </w:rPr>
      </w:pPr>
      <w:r w:rsidRPr="00991E47">
        <w:rPr>
          <w:rFonts w:ascii="Avenir Next" w:hAnsi="Avenir Next"/>
        </w:rPr>
        <w:t>9. Self-Evaluation Rubric</w:t>
      </w:r>
    </w:p>
    <w:p w14:paraId="5A7AEA57" w14:textId="77777777" w:rsidR="00742B44" w:rsidRPr="00991E47" w:rsidRDefault="00742B44" w:rsidP="00742B44">
      <w:pPr>
        <w:spacing w:line="360" w:lineRule="auto"/>
        <w:ind w:left="-540" w:right="-540"/>
        <w:rPr>
          <w:rFonts w:ascii="Avenir Next" w:hAnsi="Avenir Next"/>
        </w:rPr>
      </w:pPr>
      <w:r w:rsidRPr="00991E47">
        <w:rPr>
          <w:rFonts w:ascii="Avenir Next" w:hAnsi="Avenir Next"/>
        </w:rPr>
        <w:t>Use this rubric (1–5 scale) for self- or peer-assessment:</w:t>
      </w:r>
      <w:r w:rsidRPr="00991E47">
        <w:rPr>
          <w:rFonts w:ascii="Avenir Next" w:hAnsi="Avenir Next"/>
        </w:rPr>
        <w:br/>
        <w:t>1 = needs work, 3 = competent, 5 = excellent.</w:t>
      </w:r>
      <w:r w:rsidRPr="00991E47">
        <w:rPr>
          <w:rFonts w:ascii="Avenir Next" w:hAnsi="Avenir Next"/>
        </w:rPr>
        <w:br/>
        <w:t>Criteria include audience focus, story structure, slide design, data clarity, delivery, ethics, and rehearsal quality.</w:t>
      </w:r>
    </w:p>
    <w:p w14:paraId="387CF64E" w14:textId="77777777" w:rsidR="00742B44" w:rsidRPr="00991E47" w:rsidRDefault="00742B44" w:rsidP="00742B44">
      <w:pPr>
        <w:pStyle w:val="Heading1"/>
        <w:spacing w:line="360" w:lineRule="auto"/>
        <w:ind w:left="-540" w:right="-540"/>
        <w:rPr>
          <w:rFonts w:ascii="Avenir Next" w:hAnsi="Avenir Next"/>
        </w:rPr>
      </w:pPr>
      <w:r w:rsidRPr="00991E47">
        <w:rPr>
          <w:rFonts w:ascii="Avenir Next" w:hAnsi="Avenir Next"/>
        </w:rPr>
        <w:lastRenderedPageBreak/>
        <w:t>10. Adapting to Posters, Writing, and Audio–Visual</w:t>
      </w:r>
    </w:p>
    <w:p w14:paraId="2D01DAFD" w14:textId="77777777" w:rsidR="00742B44" w:rsidRDefault="00742B44" w:rsidP="00742B44">
      <w:pPr>
        <w:spacing w:line="360" w:lineRule="auto"/>
        <w:ind w:left="-540" w:right="-540"/>
        <w:rPr>
          <w:rFonts w:ascii="Avenir Next" w:hAnsi="Avenir Next"/>
        </w:rPr>
      </w:pPr>
      <w:r w:rsidRPr="00991E47">
        <w:rPr>
          <w:rFonts w:ascii="Avenir Next" w:hAnsi="Avenir Next"/>
        </w:rPr>
        <w:t>Posters [P]: Use modular sections with headline-style titles that tell a story even if the viewer never meets you. Writing [W]: Use clear topic sentences, signposting, and paragraph-level logic. Audio–Visual [AV]: Plan with a storyboard, write a timed script, and ensure good sound and captioning. The same story spine—Problem, Approach, Findings, Implications—applies to all formats.</w:t>
      </w:r>
    </w:p>
    <w:p w14:paraId="604DE3EE" w14:textId="77777777" w:rsidR="00797369" w:rsidRDefault="00797369" w:rsidP="00742B44">
      <w:pPr>
        <w:spacing w:line="360" w:lineRule="auto"/>
        <w:ind w:left="-540" w:right="-540"/>
        <w:rPr>
          <w:rFonts w:ascii="Avenir Next" w:hAnsi="Avenir Next"/>
          <w:b/>
          <w:bCs/>
        </w:rPr>
      </w:pPr>
    </w:p>
    <w:p w14:paraId="2B02DFA7" w14:textId="77777777" w:rsidR="00797369" w:rsidRDefault="00797369" w:rsidP="00742B44">
      <w:pPr>
        <w:spacing w:line="360" w:lineRule="auto"/>
        <w:ind w:left="-540" w:right="-540"/>
        <w:rPr>
          <w:rFonts w:ascii="Avenir Next" w:hAnsi="Avenir Next"/>
          <w:b/>
          <w:bCs/>
        </w:rPr>
      </w:pPr>
    </w:p>
    <w:p w14:paraId="3CA391D2" w14:textId="272E01AC" w:rsidR="00797369" w:rsidRPr="00797369" w:rsidRDefault="00797369" w:rsidP="00742B44">
      <w:pPr>
        <w:spacing w:line="360" w:lineRule="auto"/>
        <w:ind w:left="-540" w:right="-540"/>
        <w:rPr>
          <w:rFonts w:ascii="Avenir Next" w:hAnsi="Avenir Next"/>
          <w:b/>
          <w:bCs/>
        </w:rPr>
      </w:pPr>
      <w:r w:rsidRPr="00797369">
        <w:rPr>
          <w:rFonts w:ascii="Avenir Next" w:hAnsi="Avenir Next"/>
          <w:b/>
          <w:bCs/>
        </w:rPr>
        <w:t>References:</w:t>
      </w:r>
    </w:p>
    <w:p w14:paraId="2A0E2CD8" w14:textId="77777777" w:rsidR="00797369" w:rsidRDefault="00797369" w:rsidP="00797369">
      <w:pPr>
        <w:ind w:left="-540" w:right="-540"/>
      </w:pPr>
      <w:r>
        <w:t>[1]: https://nap.nationalacademies.org/catalog/23674/communicating-science-effectively-a-research-agenda</w:t>
      </w:r>
    </w:p>
    <w:p w14:paraId="7CDB2C96" w14:textId="77777777" w:rsidR="00797369" w:rsidRDefault="00797369" w:rsidP="00797369">
      <w:pPr>
        <w:ind w:left="-540" w:right="-540"/>
      </w:pPr>
      <w:r>
        <w:t>[2]: https://www.pnas.org/doi/pdf/10.1073/pnas.1320645111</w:t>
      </w:r>
    </w:p>
    <w:p w14:paraId="7F4A79B0" w14:textId="77777777" w:rsidR="00797369" w:rsidRDefault="00797369" w:rsidP="00797369">
      <w:pPr>
        <w:ind w:left="-540" w:right="-540"/>
      </w:pPr>
      <w:r>
        <w:t>[3]: https://assets.cambridge.org/97813166/38088/frontmatter/9781316638088_frontmatter.pdf</w:t>
      </w:r>
    </w:p>
    <w:p w14:paraId="672B573C" w14:textId="77777777" w:rsidR="00797369" w:rsidRDefault="00797369" w:rsidP="00797369">
      <w:pPr>
        <w:ind w:left="-540" w:right="-540"/>
      </w:pPr>
      <w:r>
        <w:t>[4]: https://pure.psu.edu/en/publications/how-the-design-of-presentation-slides-affects-audience-comprehens</w:t>
      </w:r>
    </w:p>
    <w:p w14:paraId="04BE9435" w14:textId="77777777" w:rsidR="00797369" w:rsidRPr="00AD3D87" w:rsidRDefault="00797369" w:rsidP="00797369">
      <w:pPr>
        <w:ind w:left="-540" w:right="-540"/>
      </w:pPr>
      <w:r>
        <w:t>[5]: https://www.pnas.org/doi/pdf/10.1073/pnas.1319030111</w:t>
      </w:r>
    </w:p>
    <w:p w14:paraId="1AC8F290" w14:textId="77777777" w:rsidR="00797369" w:rsidRPr="00991E47" w:rsidRDefault="00797369" w:rsidP="00742B44">
      <w:pPr>
        <w:spacing w:line="360" w:lineRule="auto"/>
        <w:ind w:left="-540" w:right="-540"/>
        <w:rPr>
          <w:rFonts w:ascii="Avenir Next" w:hAnsi="Avenir Next"/>
        </w:rPr>
      </w:pPr>
    </w:p>
    <w:p w14:paraId="6E7B4FAF" w14:textId="77777777" w:rsidR="00416609" w:rsidRDefault="00416609"/>
    <w:sectPr w:rsidR="00416609" w:rsidSect="00742B44">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ED1E" w14:textId="77777777" w:rsidR="006552F5" w:rsidRDefault="006552F5" w:rsidP="00742B44">
      <w:pPr>
        <w:spacing w:after="0" w:line="240" w:lineRule="auto"/>
      </w:pPr>
      <w:r>
        <w:separator/>
      </w:r>
    </w:p>
  </w:endnote>
  <w:endnote w:type="continuationSeparator" w:id="0">
    <w:p w14:paraId="7D6D3798" w14:textId="77777777" w:rsidR="006552F5" w:rsidRDefault="006552F5" w:rsidP="0074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F321" w14:textId="1634B9FF" w:rsidR="00742B44" w:rsidRDefault="00742B4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5AA5F" w14:textId="77777777" w:rsidR="006552F5" w:rsidRDefault="006552F5" w:rsidP="00742B44">
      <w:pPr>
        <w:spacing w:after="0" w:line="240" w:lineRule="auto"/>
      </w:pPr>
      <w:r>
        <w:separator/>
      </w:r>
    </w:p>
  </w:footnote>
  <w:footnote w:type="continuationSeparator" w:id="0">
    <w:p w14:paraId="652042CD" w14:textId="77777777" w:rsidR="006552F5" w:rsidRDefault="006552F5" w:rsidP="0074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472D" w14:textId="6D9B437D" w:rsidR="00797369" w:rsidRPr="00797369" w:rsidRDefault="00742B44" w:rsidP="00797369">
    <w:pPr>
      <w:pStyle w:val="Header"/>
      <w:ind w:right="-450"/>
      <w:jc w:val="right"/>
      <w:rPr>
        <w:rFonts w:ascii="Avenir Next" w:hAnsi="Avenir Next"/>
        <w:b/>
        <w:bCs/>
        <w:color w:val="000000" w:themeColor="text1"/>
      </w:rPr>
    </w:pPr>
    <w:r w:rsidRPr="00334DE6">
      <w:rPr>
        <w:rFonts w:ascii="Avenir Next" w:hAnsi="Avenir Next"/>
        <w:b/>
        <w:bCs/>
        <w:color w:val="000000" w:themeColor="text1"/>
      </w:rPr>
      <w:t>LS100</w:t>
    </w:r>
    <w:r w:rsidR="00797369">
      <w:rPr>
        <w:rFonts w:ascii="Avenir Next" w:hAnsi="Avenir Next"/>
        <w:b/>
        <w:bCs/>
        <w:color w:val="000000" w:themeColor="text1"/>
      </w:rPr>
      <w:t xml:space="preserve">, </w:t>
    </w:r>
    <w:r w:rsidR="00C52F45">
      <w:rPr>
        <w:rFonts w:ascii="Avenir Next" w:hAnsi="Avenir Next"/>
        <w:b/>
        <w:bCs/>
        <w:color w:val="000000" w:themeColor="text1"/>
      </w:rPr>
      <w:t xml:space="preserve">FAS, </w:t>
    </w:r>
    <w:r w:rsidR="00797369">
      <w:rPr>
        <w:rFonts w:ascii="Avenir Next" w:hAnsi="Avenir Next"/>
        <w:b/>
        <w:bCs/>
        <w:color w:val="000000" w:themeColor="text1"/>
      </w:rPr>
      <w:t>Harvard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8F0D8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647872"/>
    <w:multiLevelType w:val="hybridMultilevel"/>
    <w:tmpl w:val="5748CEDC"/>
    <w:lvl w:ilvl="0" w:tplc="7ADA748A">
      <w:start w:val="8"/>
      <w:numFmt w:val="bullet"/>
      <w:lvlText w:val=""/>
      <w:lvlJc w:val="left"/>
      <w:pPr>
        <w:ind w:left="-180" w:hanging="360"/>
      </w:pPr>
      <w:rPr>
        <w:rFonts w:ascii="Symbol" w:eastAsiaTheme="minorEastAsia" w:hAnsi="Symbol" w:cstheme="minorBidi"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 w15:restartNumberingAfterBreak="0">
    <w:nsid w:val="3A1E4000"/>
    <w:multiLevelType w:val="multilevel"/>
    <w:tmpl w:val="CF06987A"/>
    <w:lvl w:ilvl="0">
      <w:start w:val="1"/>
      <w:numFmt w:val="decimal"/>
      <w:lvlText w:val="%1."/>
      <w:lvlJc w:val="left"/>
      <w:pPr>
        <w:ind w:left="-180" w:hanging="360"/>
      </w:pPr>
      <w:rPr>
        <w:rFonts w:hint="default"/>
        <w:color w:val="auto"/>
      </w:rPr>
    </w:lvl>
    <w:lvl w:ilvl="1">
      <w:start w:val="1"/>
      <w:numFmt w:val="decimal"/>
      <w:isLgl/>
      <w:lvlText w:val="%1.%2."/>
      <w:lvlJc w:val="left"/>
      <w:pPr>
        <w:ind w:left="-180" w:hanging="360"/>
      </w:pPr>
      <w:rPr>
        <w:rFonts w:hint="default"/>
      </w:rPr>
    </w:lvl>
    <w:lvl w:ilvl="2">
      <w:start w:val="1"/>
      <w:numFmt w:val="decimal"/>
      <w:isLgl/>
      <w:lvlText w:val="%1.%2.%3."/>
      <w:lvlJc w:val="left"/>
      <w:pPr>
        <w:ind w:left="180" w:hanging="720"/>
      </w:pPr>
      <w:rPr>
        <w:rFonts w:hint="default"/>
      </w:rPr>
    </w:lvl>
    <w:lvl w:ilvl="3">
      <w:start w:val="1"/>
      <w:numFmt w:val="decimal"/>
      <w:isLgl/>
      <w:lvlText w:val="%1.%2.%3.%4."/>
      <w:lvlJc w:val="left"/>
      <w:pPr>
        <w:ind w:left="180" w:hanging="720"/>
      </w:pPr>
      <w:rPr>
        <w:rFonts w:hint="default"/>
      </w:rPr>
    </w:lvl>
    <w:lvl w:ilvl="4">
      <w:start w:val="1"/>
      <w:numFmt w:val="decimal"/>
      <w:isLgl/>
      <w:lvlText w:val="%1.%2.%3.%4.%5."/>
      <w:lvlJc w:val="left"/>
      <w:pPr>
        <w:ind w:left="540" w:hanging="1080"/>
      </w:pPr>
      <w:rPr>
        <w:rFonts w:hint="default"/>
      </w:rPr>
    </w:lvl>
    <w:lvl w:ilvl="5">
      <w:start w:val="1"/>
      <w:numFmt w:val="decimal"/>
      <w:isLgl/>
      <w:lvlText w:val="%1.%2.%3.%4.%5.%6."/>
      <w:lvlJc w:val="left"/>
      <w:pPr>
        <w:ind w:left="540" w:hanging="1080"/>
      </w:pPr>
      <w:rPr>
        <w:rFonts w:hint="default"/>
      </w:rPr>
    </w:lvl>
    <w:lvl w:ilvl="6">
      <w:start w:val="1"/>
      <w:numFmt w:val="decimal"/>
      <w:isLgl/>
      <w:lvlText w:val="%1.%2.%3.%4.%5.%6.%7."/>
      <w:lvlJc w:val="left"/>
      <w:pPr>
        <w:ind w:left="900" w:hanging="1440"/>
      </w:pPr>
      <w:rPr>
        <w:rFonts w:hint="default"/>
      </w:rPr>
    </w:lvl>
    <w:lvl w:ilvl="7">
      <w:start w:val="1"/>
      <w:numFmt w:val="decimal"/>
      <w:isLgl/>
      <w:lvlText w:val="%1.%2.%3.%4.%5.%6.%7.%8."/>
      <w:lvlJc w:val="left"/>
      <w:pPr>
        <w:ind w:left="900" w:hanging="1440"/>
      </w:pPr>
      <w:rPr>
        <w:rFonts w:hint="default"/>
      </w:rPr>
    </w:lvl>
    <w:lvl w:ilvl="8">
      <w:start w:val="1"/>
      <w:numFmt w:val="decimal"/>
      <w:isLgl/>
      <w:lvlText w:val="%1.%2.%3.%4.%5.%6.%7.%8.%9."/>
      <w:lvlJc w:val="left"/>
      <w:pPr>
        <w:ind w:left="1260" w:hanging="1800"/>
      </w:pPr>
      <w:rPr>
        <w:rFonts w:hint="default"/>
      </w:rPr>
    </w:lvl>
  </w:abstractNum>
  <w:num w:numId="1" w16cid:durableId="1153330075">
    <w:abstractNumId w:val="0"/>
  </w:num>
  <w:num w:numId="2" w16cid:durableId="55250011">
    <w:abstractNumId w:val="2"/>
  </w:num>
  <w:num w:numId="3" w16cid:durableId="535316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44"/>
    <w:rsid w:val="000947E6"/>
    <w:rsid w:val="001867EA"/>
    <w:rsid w:val="001B792D"/>
    <w:rsid w:val="00235BFC"/>
    <w:rsid w:val="002F35CC"/>
    <w:rsid w:val="00390BA4"/>
    <w:rsid w:val="0040016D"/>
    <w:rsid w:val="00416609"/>
    <w:rsid w:val="00442185"/>
    <w:rsid w:val="004617B8"/>
    <w:rsid w:val="0048100E"/>
    <w:rsid w:val="0048717A"/>
    <w:rsid w:val="004D268A"/>
    <w:rsid w:val="004F63DF"/>
    <w:rsid w:val="00545309"/>
    <w:rsid w:val="0061570C"/>
    <w:rsid w:val="006552F5"/>
    <w:rsid w:val="006F4BF7"/>
    <w:rsid w:val="00742B44"/>
    <w:rsid w:val="00782935"/>
    <w:rsid w:val="00797369"/>
    <w:rsid w:val="008001DE"/>
    <w:rsid w:val="00A75252"/>
    <w:rsid w:val="00AA20FE"/>
    <w:rsid w:val="00AD3D87"/>
    <w:rsid w:val="00B07455"/>
    <w:rsid w:val="00C12668"/>
    <w:rsid w:val="00C37113"/>
    <w:rsid w:val="00C52F45"/>
    <w:rsid w:val="00CD16E0"/>
    <w:rsid w:val="00D73A46"/>
    <w:rsid w:val="00DF5A2F"/>
    <w:rsid w:val="00EA53FD"/>
    <w:rsid w:val="00EC382D"/>
    <w:rsid w:val="00EF6788"/>
    <w:rsid w:val="00FE1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B53C"/>
  <w15:chartTrackingRefBased/>
  <w15:docId w15:val="{FAF4D8C7-B7A2-FB46-95C2-37942302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B44"/>
    <w:pPr>
      <w:spacing w:before="0"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42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B44"/>
    <w:rPr>
      <w:rFonts w:eastAsiaTheme="majorEastAsia" w:cstheme="majorBidi"/>
      <w:color w:val="272727" w:themeColor="text1" w:themeTint="D8"/>
    </w:rPr>
  </w:style>
  <w:style w:type="paragraph" w:styleId="Title">
    <w:name w:val="Title"/>
    <w:basedOn w:val="Normal"/>
    <w:next w:val="Normal"/>
    <w:link w:val="TitleChar"/>
    <w:uiPriority w:val="10"/>
    <w:qFormat/>
    <w:rsid w:val="00742B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B44"/>
    <w:pPr>
      <w:numPr>
        <w:ilvl w:val="1"/>
      </w:numPr>
      <w:spacing w:after="160"/>
      <w:ind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B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B44"/>
    <w:rPr>
      <w:i/>
      <w:iCs/>
      <w:color w:val="404040" w:themeColor="text1" w:themeTint="BF"/>
    </w:rPr>
  </w:style>
  <w:style w:type="paragraph" w:styleId="ListParagraph">
    <w:name w:val="List Paragraph"/>
    <w:basedOn w:val="Normal"/>
    <w:uiPriority w:val="34"/>
    <w:qFormat/>
    <w:rsid w:val="00742B44"/>
    <w:pPr>
      <w:ind w:left="720"/>
      <w:contextualSpacing/>
    </w:pPr>
  </w:style>
  <w:style w:type="character" w:styleId="IntenseEmphasis">
    <w:name w:val="Intense Emphasis"/>
    <w:basedOn w:val="DefaultParagraphFont"/>
    <w:uiPriority w:val="21"/>
    <w:qFormat/>
    <w:rsid w:val="00742B44"/>
    <w:rPr>
      <w:i/>
      <w:iCs/>
      <w:color w:val="0F4761" w:themeColor="accent1" w:themeShade="BF"/>
    </w:rPr>
  </w:style>
  <w:style w:type="paragraph" w:styleId="IntenseQuote">
    <w:name w:val="Intense Quote"/>
    <w:basedOn w:val="Normal"/>
    <w:next w:val="Normal"/>
    <w:link w:val="IntenseQuoteChar"/>
    <w:uiPriority w:val="30"/>
    <w:qFormat/>
    <w:rsid w:val="00742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B44"/>
    <w:rPr>
      <w:i/>
      <w:iCs/>
      <w:color w:val="0F4761" w:themeColor="accent1" w:themeShade="BF"/>
    </w:rPr>
  </w:style>
  <w:style w:type="character" w:styleId="IntenseReference">
    <w:name w:val="Intense Reference"/>
    <w:basedOn w:val="DefaultParagraphFont"/>
    <w:uiPriority w:val="32"/>
    <w:qFormat/>
    <w:rsid w:val="00742B44"/>
    <w:rPr>
      <w:b/>
      <w:bCs/>
      <w:smallCaps/>
      <w:color w:val="0F4761" w:themeColor="accent1" w:themeShade="BF"/>
      <w:spacing w:val="5"/>
    </w:rPr>
  </w:style>
  <w:style w:type="paragraph" w:styleId="Header">
    <w:name w:val="header"/>
    <w:basedOn w:val="Normal"/>
    <w:link w:val="HeaderChar"/>
    <w:unhideWhenUsed/>
    <w:rsid w:val="00742B44"/>
    <w:pPr>
      <w:tabs>
        <w:tab w:val="center" w:pos="4680"/>
        <w:tab w:val="right" w:pos="9360"/>
      </w:tabs>
      <w:spacing w:after="0" w:line="240" w:lineRule="auto"/>
    </w:pPr>
  </w:style>
  <w:style w:type="character" w:customStyle="1" w:styleId="HeaderChar">
    <w:name w:val="Header Char"/>
    <w:basedOn w:val="DefaultParagraphFont"/>
    <w:link w:val="Header"/>
    <w:rsid w:val="00742B44"/>
    <w:rPr>
      <w:rFonts w:eastAsiaTheme="minorEastAsia"/>
      <w:kern w:val="0"/>
      <w:sz w:val="22"/>
      <w:szCs w:val="22"/>
      <w14:ligatures w14:val="none"/>
    </w:rPr>
  </w:style>
  <w:style w:type="paragraph" w:styleId="Footer">
    <w:name w:val="footer"/>
    <w:basedOn w:val="Normal"/>
    <w:link w:val="FooterChar"/>
    <w:uiPriority w:val="99"/>
    <w:unhideWhenUsed/>
    <w:rsid w:val="00742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B44"/>
    <w:rPr>
      <w:rFonts w:eastAsiaTheme="minorEastAsia"/>
      <w:kern w:val="0"/>
      <w:sz w:val="22"/>
      <w:szCs w:val="22"/>
      <w14:ligatures w14:val="none"/>
    </w:rPr>
  </w:style>
  <w:style w:type="paragraph" w:styleId="ListBullet">
    <w:name w:val="List Bullet"/>
    <w:basedOn w:val="Normal"/>
    <w:uiPriority w:val="99"/>
    <w:unhideWhenUsed/>
    <w:rsid w:val="00742B44"/>
    <w:pPr>
      <w:numPr>
        <w:numId w:val="1"/>
      </w:numPr>
      <w:tabs>
        <w:tab w:val="clear" w:pos="360"/>
      </w:tabs>
      <w:ind w:left="0" w:firstLine="0"/>
      <w:contextualSpacing/>
    </w:pPr>
  </w:style>
  <w:style w:type="character" w:styleId="Strong">
    <w:name w:val="Strong"/>
    <w:basedOn w:val="DefaultParagraphFont"/>
    <w:uiPriority w:val="22"/>
    <w:qFormat/>
    <w:rsid w:val="006F4BF7"/>
    <w:rPr>
      <w:b/>
      <w:bCs/>
    </w:rPr>
  </w:style>
  <w:style w:type="character" w:styleId="Emphasis">
    <w:name w:val="Emphasis"/>
    <w:basedOn w:val="DefaultParagraphFont"/>
    <w:uiPriority w:val="20"/>
    <w:qFormat/>
    <w:rsid w:val="006F4BF7"/>
    <w:rPr>
      <w:i/>
      <w:iCs/>
    </w:rPr>
  </w:style>
  <w:style w:type="table" w:styleId="TableGrid">
    <w:name w:val="Table Grid"/>
    <w:basedOn w:val="TableNormal"/>
    <w:uiPriority w:val="39"/>
    <w:rsid w:val="006F4BF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7369"/>
    <w:rPr>
      <w:color w:val="467886" w:themeColor="hyperlink"/>
      <w:u w:val="single"/>
    </w:rPr>
  </w:style>
  <w:style w:type="character" w:styleId="UnresolvedMention">
    <w:name w:val="Unresolved Mention"/>
    <w:basedOn w:val="DefaultParagraphFont"/>
    <w:uiPriority w:val="99"/>
    <w:semiHidden/>
    <w:unhideWhenUsed/>
    <w:rsid w:val="00797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ouvik_mandal@g.harvard.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7</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Mandal, Souvik</dc:creator>
  <cp:keywords/>
  <dc:description/>
  <cp:lastModifiedBy>Mandal, Souvik</cp:lastModifiedBy>
  <cp:revision>15</cp:revision>
  <dcterms:created xsi:type="dcterms:W3CDTF">2025-11-08T16:40:00Z</dcterms:created>
  <dcterms:modified xsi:type="dcterms:W3CDTF">2026-05-28T16:57:00Z</dcterms:modified>
</cp:coreProperties>
</file>