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Xa1da876404ff79120651d6312699393ba3d8e66"/>
    <w:p>
      <w:pPr>
        <w:pStyle w:val="Heading1"/>
      </w:pPr>
      <w:r>
        <w:t xml:space="preserve">StressLess: Business Case &amp; Go-to-Market Strategy</w:t>
      </w:r>
    </w:p>
    <w:bookmarkStart w:id="20" w:name="Xbbcb18a43f62d2b38f1082bf3ebbd3d1114e524"/>
    <w:p>
      <w:pPr>
        <w:pStyle w:val="Heading3"/>
      </w:pPr>
      <w:r>
        <w:t xml:space="preserve">AI-Powered Stress Testing Platform for Financial Markets</w:t>
      </w:r>
    </w:p>
    <w:p>
      <w:r>
        <w:pict>
          <v:rect style="width:0;height:1.5pt" o:hralign="center" o:hrstd="t" o:hr="t"/>
        </w:pict>
      </w:r>
    </w:p>
    <w:bookmarkEnd w:id="20"/>
    <w:bookmarkStart w:id="23" w:name="business-case-problem-statement"/>
    <w:p>
      <w:pPr>
        <w:pStyle w:val="Heading2"/>
      </w:pPr>
      <w:r>
        <w:t xml:space="preserve">1. Business Case Problem Statement</w:t>
      </w:r>
    </w:p>
    <w:bookmarkStart w:id="21" w:name="X4aa09dc927ab9c5e6c52157c1c857cfbd71f3e0"/>
    <w:p>
      <w:pPr>
        <w:pStyle w:val="Heading3"/>
      </w:pPr>
      <w:r>
        <w:t xml:space="preserve">Current Pain Points at ING &amp; Across Regulated Financial Institutions</w:t>
      </w:r>
    </w:p>
    <w:tbl>
      <w:tblPr>
        <w:tblStyle w:val="Table"/>
        <w:tblW w:type="pct" w:w="5000"/>
        <w:tblLook w:firstRow="1" w:lastRow="0" w:firstColumn="0" w:lastColumn="0" w:noHBand="0" w:noVBand="0" w:val="0020"/>
        <w:jc w:val="start"/>
      </w:tblPr>
      <w:tblGrid>
        <w:gridCol w:w="1080"/>
        <w:gridCol w:w="3960"/>
        <w:gridCol w:w="2880"/>
      </w:tblGrid>
      <w:tr>
        <w:trPr>
          <w:tblHeader w:val="true"/>
        </w:trPr>
        <w:tc>
          <w:tcPr/>
          <w:p>
            <w:pPr>
              <w:pStyle w:val="Compact"/>
              <w:jc w:val="left"/>
            </w:pPr>
            <w:r>
              <w:t xml:space="preserve">#</w:t>
            </w:r>
          </w:p>
        </w:tc>
        <w:tc>
          <w:tcPr/>
          <w:p>
            <w:pPr>
              <w:pStyle w:val="Compact"/>
              <w:jc w:val="left"/>
            </w:pPr>
            <w:r>
              <w:t xml:space="preserve">Pain Point</w:t>
            </w:r>
          </w:p>
        </w:tc>
        <w:tc>
          <w:tcPr/>
          <w:p>
            <w:pPr>
              <w:pStyle w:val="Compact"/>
              <w:jc w:val="left"/>
            </w:pPr>
            <w:r>
              <w:t xml:space="preserve">Impact</w:t>
            </w:r>
          </w:p>
        </w:tc>
      </w:tr>
      <w:tr>
        <w:tc>
          <w:tcPr/>
          <w:p>
            <w:pPr>
              <w:pStyle w:val="Compact"/>
              <w:jc w:val="left"/>
            </w:pPr>
            <w:r>
              <w:t xml:space="preserve">1</w:t>
            </w:r>
          </w:p>
        </w:tc>
        <w:tc>
          <w:tcPr/>
          <w:p>
            <w:pPr>
              <w:pStyle w:val="Compact"/>
              <w:jc w:val="left"/>
            </w:pPr>
            <w:r>
              <w:rPr>
                <w:bCs/>
                <w:b/>
              </w:rPr>
              <w:t xml:space="preserve">Manual scenario curation</w:t>
            </w:r>
            <w:r>
              <w:t xml:space="preserve"> </w:t>
            </w:r>
            <w:r>
              <w:t xml:space="preserve">— Risk analysts spend 60–70% of stress testing cycle time manually gathering macroeconomic signals, news, and market data to build scenarios</w:t>
            </w:r>
          </w:p>
        </w:tc>
        <w:tc>
          <w:tcPr/>
          <w:p>
            <w:pPr>
              <w:pStyle w:val="Compact"/>
              <w:jc w:val="left"/>
            </w:pPr>
            <w:r>
              <w:t xml:space="preserve">High FTE cost, slow cycle times</w:t>
            </w:r>
          </w:p>
        </w:tc>
      </w:tr>
      <w:tr>
        <w:tc>
          <w:tcPr/>
          <w:p>
            <w:pPr>
              <w:pStyle w:val="Compact"/>
              <w:jc w:val="left"/>
            </w:pPr>
            <w:r>
              <w:t xml:space="preserve">2</w:t>
            </w:r>
          </w:p>
        </w:tc>
        <w:tc>
          <w:tcPr/>
          <w:p>
            <w:pPr>
              <w:pStyle w:val="Compact"/>
              <w:jc w:val="left"/>
            </w:pPr>
            <w:r>
              <w:rPr>
                <w:bCs/>
                <w:b/>
              </w:rPr>
              <w:t xml:space="preserve">Rigid, rule-based tools</w:t>
            </w:r>
            <w:r>
              <w:t xml:space="preserve"> </w:t>
            </w:r>
            <w:r>
              <w:t xml:space="preserve">— Incumbent platforms (Bloomberg PORT, Intrado, Moody’s RMS) use pre-defined shock templates that cannot adapt to novel market events (e.g., COVID-19 supply chain collapse, SVB bank-run contagion)</w:t>
            </w:r>
          </w:p>
        </w:tc>
        <w:tc>
          <w:tcPr/>
          <w:p>
            <w:pPr>
              <w:pStyle w:val="Compact"/>
              <w:jc w:val="left"/>
            </w:pPr>
            <w:r>
              <w:t xml:space="preserve">Blind spots in tail-risk coverage</w:t>
            </w:r>
          </w:p>
        </w:tc>
      </w:tr>
      <w:tr>
        <w:tc>
          <w:tcPr/>
          <w:p>
            <w:pPr>
              <w:pStyle w:val="Compact"/>
              <w:jc w:val="left"/>
            </w:pPr>
            <w:r>
              <w:t xml:space="preserve">3</w:t>
            </w:r>
          </w:p>
        </w:tc>
        <w:tc>
          <w:tcPr/>
          <w:p>
            <w:pPr>
              <w:pStyle w:val="Compact"/>
              <w:jc w:val="left"/>
            </w:pPr>
            <w:r>
              <w:rPr>
                <w:bCs/>
                <w:b/>
              </w:rPr>
              <w:t xml:space="preserve">Siloed data &amp; model fragmentation</w:t>
            </w:r>
            <w:r>
              <w:t xml:space="preserve"> </w:t>
            </w:r>
            <w:r>
              <w:t xml:space="preserve">— Internal historical data, counterparty exposures, and proprietary valuation models are disconnected from scenario execution engines</w:t>
            </w:r>
          </w:p>
        </w:tc>
        <w:tc>
          <w:tcPr/>
          <w:p>
            <w:pPr>
              <w:pStyle w:val="Compact"/>
              <w:jc w:val="left"/>
            </w:pPr>
            <w:r>
              <w:t xml:space="preserve">Reconciliation overhead, version drift</w:t>
            </w:r>
          </w:p>
        </w:tc>
      </w:tr>
      <w:tr>
        <w:tc>
          <w:tcPr/>
          <w:p>
            <w:pPr>
              <w:pStyle w:val="Compact"/>
              <w:jc w:val="left"/>
            </w:pPr>
            <w:r>
              <w:t xml:space="preserve">4</w:t>
            </w:r>
          </w:p>
        </w:tc>
        <w:tc>
          <w:tcPr/>
          <w:p>
            <w:pPr>
              <w:pStyle w:val="Compact"/>
              <w:jc w:val="left"/>
            </w:pPr>
            <w:r>
              <w:rPr>
                <w:bCs/>
                <w:b/>
              </w:rPr>
              <w:t xml:space="preserve">Regulatory reporting bottleneck</w:t>
            </w:r>
            <w:r>
              <w:t xml:space="preserve"> </w:t>
            </w:r>
            <w:r>
              <w:t xml:space="preserve">— Producing Basel III, ECB ILAAP/ICAAP, and EBA stress test reports is largely manual; audit trail documentation requires weeks of analyst effort</w:t>
            </w:r>
          </w:p>
        </w:tc>
        <w:tc>
          <w:tcPr/>
          <w:p>
            <w:pPr>
              <w:pStyle w:val="Compact"/>
              <w:jc w:val="left"/>
            </w:pPr>
            <w:r>
              <w:t xml:space="preserve">Compliance risk, high cost</w:t>
            </w:r>
          </w:p>
        </w:tc>
      </w:tr>
      <w:tr>
        <w:tc>
          <w:tcPr/>
          <w:p>
            <w:pPr>
              <w:pStyle w:val="Compact"/>
              <w:jc w:val="left"/>
            </w:pPr>
            <w:r>
              <w:t xml:space="preserve">5</w:t>
            </w:r>
          </w:p>
        </w:tc>
        <w:tc>
          <w:tcPr/>
          <w:p>
            <w:pPr>
              <w:pStyle w:val="Compact"/>
              <w:jc w:val="left"/>
            </w:pPr>
            <w:r>
              <w:rPr>
                <w:bCs/>
                <w:b/>
              </w:rPr>
              <w:t xml:space="preserve">No real-time market signal ingestion</w:t>
            </w:r>
            <w:r>
              <w:t xml:space="preserve"> </w:t>
            </w:r>
            <w:r>
              <w:t xml:space="preserve">— Scenarios are built retrospectively; there is no automated pipeline that translates live market intelligence into testable hypotheses</w:t>
            </w:r>
          </w:p>
        </w:tc>
        <w:tc>
          <w:tcPr/>
          <w:p>
            <w:pPr>
              <w:pStyle w:val="Compact"/>
              <w:jc w:val="left"/>
            </w:pPr>
            <w:r>
              <w:t xml:space="preserve">Latency in risk response</w:t>
            </w:r>
          </w:p>
        </w:tc>
      </w:tr>
      <w:tr>
        <w:tc>
          <w:tcPr/>
          <w:p>
            <w:pPr>
              <w:pStyle w:val="Compact"/>
              <w:jc w:val="left"/>
            </w:pPr>
            <w:r>
              <w:t xml:space="preserve">6</w:t>
            </w:r>
          </w:p>
        </w:tc>
        <w:tc>
          <w:tcPr/>
          <w:p>
            <w:pPr>
              <w:pStyle w:val="Compact"/>
              <w:jc w:val="left"/>
            </w:pPr>
            <w:r>
              <w:rPr>
                <w:bCs/>
                <w:b/>
              </w:rPr>
              <w:t xml:space="preserve">Limited human oversight on AI-generated outputs</w:t>
            </w:r>
            <w:r>
              <w:t xml:space="preserve"> </w:t>
            </w:r>
            <w:r>
              <w:t xml:space="preserve">— Where automation exists, outputs are black-box; supervisors cannot validate or override individual assumptions</w:t>
            </w:r>
          </w:p>
        </w:tc>
        <w:tc>
          <w:tcPr/>
          <w:p>
            <w:pPr>
              <w:pStyle w:val="Compact"/>
              <w:jc w:val="left"/>
            </w:pPr>
            <w:r>
              <w:t xml:space="preserve">Regulatory non-compliance risk</w:t>
            </w:r>
          </w:p>
        </w:tc>
      </w:tr>
      <w:tr>
        <w:tc>
          <w:tcPr/>
          <w:p>
            <w:pPr>
              <w:pStyle w:val="Compact"/>
              <w:jc w:val="left"/>
            </w:pPr>
            <w:r>
              <w:t xml:space="preserve">7</w:t>
            </w:r>
          </w:p>
        </w:tc>
        <w:tc>
          <w:tcPr/>
          <w:p>
            <w:pPr>
              <w:pStyle w:val="Compact"/>
              <w:jc w:val="left"/>
            </w:pPr>
            <w:r>
              <w:rPr>
                <w:bCs/>
                <w:b/>
              </w:rPr>
              <w:t xml:space="preserve">Lack of pluggable model architecture</w:t>
            </w:r>
            <w:r>
              <w:t xml:space="preserve"> </w:t>
            </w:r>
            <w:r>
              <w:t xml:space="preserve">— Proprietary internal pricing models (e.g., FRTB internal models, ING Wholesale Banking credit models) cannot be injected into off-the-shelf stress testing tools</w:t>
            </w:r>
          </w:p>
        </w:tc>
        <w:tc>
          <w:tcPr/>
          <w:p>
            <w:pPr>
              <w:pStyle w:val="Compact"/>
              <w:jc w:val="left"/>
            </w:pPr>
            <w:r>
              <w:t xml:space="preserve">Lock-in to vendor assumptions</w:t>
            </w:r>
          </w:p>
        </w:tc>
      </w:tr>
      <w:tr>
        <w:tc>
          <w:tcPr/>
          <w:p>
            <w:pPr>
              <w:pStyle w:val="Compact"/>
              <w:jc w:val="left"/>
            </w:pPr>
            <w:r>
              <w:t xml:space="preserve">8</w:t>
            </w:r>
          </w:p>
        </w:tc>
        <w:tc>
          <w:tcPr/>
          <w:p>
            <w:pPr>
              <w:pStyle w:val="Compact"/>
              <w:jc w:val="left"/>
            </w:pPr>
            <w:r>
              <w:rPr>
                <w:bCs/>
                <w:b/>
              </w:rPr>
              <w:t xml:space="preserve">Synthetic data gap</w:t>
            </w:r>
            <w:r>
              <w:t xml:space="preserve"> </w:t>
            </w:r>
            <w:r>
              <w:t xml:space="preserve">— Testing with real portfolio data exposes sensitive client information; no safe sandbox environment exists for scenario experimentation</w:t>
            </w:r>
          </w:p>
        </w:tc>
        <w:tc>
          <w:tcPr/>
          <w:p>
            <w:pPr>
              <w:pStyle w:val="Compact"/>
              <w:jc w:val="left"/>
            </w:pPr>
            <w:r>
              <w:t xml:space="preserve">Data privacy risk, limited testing</w:t>
            </w:r>
          </w:p>
        </w:tc>
      </w:tr>
    </w:tbl>
    <w:bookmarkEnd w:id="21"/>
    <w:bookmarkStart w:id="22" w:name="regulatory-drivers"/>
    <w:p>
      <w:pPr>
        <w:pStyle w:val="Heading3"/>
      </w:pPr>
      <w:r>
        <w:t xml:space="preserve">Regulatory Drivers</w:t>
      </w:r>
    </w:p>
    <w:p>
      <w:pPr>
        <w:numPr>
          <w:ilvl w:val="0"/>
          <w:numId w:val="1001"/>
        </w:numPr>
        <w:pStyle w:val="Compact"/>
      </w:pPr>
      <w:r>
        <w:rPr>
          <w:bCs/>
          <w:b/>
        </w:rPr>
        <w:t xml:space="preserve">Basel III / Basel IV</w:t>
      </w:r>
      <w:r>
        <w:t xml:space="preserve"> </w:t>
      </w:r>
      <w:r>
        <w:t xml:space="preserve">— Pillar 2 internal capital adequacy, stressed VaR, FRTB sensitivity-based approach</w:t>
      </w:r>
    </w:p>
    <w:p>
      <w:pPr>
        <w:numPr>
          <w:ilvl w:val="0"/>
          <w:numId w:val="1001"/>
        </w:numPr>
        <w:pStyle w:val="Compact"/>
      </w:pPr>
      <w:r>
        <w:rPr>
          <w:bCs/>
          <w:b/>
        </w:rPr>
        <w:t xml:space="preserve">EBA/ECB Annual Stress Tests</w:t>
      </w:r>
      <w:r>
        <w:t xml:space="preserve"> </w:t>
      </w:r>
      <w:r>
        <w:t xml:space="preserve">— Standardised adverse scenario narratives requiring institution-specific projections</w:t>
      </w:r>
    </w:p>
    <w:p>
      <w:pPr>
        <w:numPr>
          <w:ilvl w:val="0"/>
          <w:numId w:val="1001"/>
        </w:numPr>
        <w:pStyle w:val="Compact"/>
      </w:pPr>
      <w:r>
        <w:rPr>
          <w:bCs/>
          <w:b/>
        </w:rPr>
        <w:t xml:space="preserve">ICAAP / ILAAP</w:t>
      </w:r>
      <w:r>
        <w:t xml:space="preserve"> </w:t>
      </w:r>
      <w:r>
        <w:t xml:space="preserve">— Internal documentation requiring full audit trail of model assumptions</w:t>
      </w:r>
    </w:p>
    <w:p>
      <w:pPr>
        <w:numPr>
          <w:ilvl w:val="0"/>
          <w:numId w:val="1001"/>
        </w:numPr>
        <w:pStyle w:val="Compact"/>
      </w:pPr>
      <w:r>
        <w:rPr>
          <w:bCs/>
          <w:b/>
        </w:rPr>
        <w:t xml:space="preserve">Liquidity Coverage Ratio (LCR) / Net Stable Funding Ratio (NSFR)</w:t>
      </w:r>
      <w:r>
        <w:t xml:space="preserve"> </w:t>
      </w:r>
      <w:r>
        <w:t xml:space="preserve">— Scenario-driven liquidity stress requirements</w:t>
      </w:r>
    </w:p>
    <w:p>
      <w:pPr>
        <w:numPr>
          <w:ilvl w:val="0"/>
          <w:numId w:val="1001"/>
        </w:numPr>
        <w:pStyle w:val="Compact"/>
      </w:pPr>
      <w:r>
        <w:rPr>
          <w:bCs/>
          <w:b/>
        </w:rPr>
        <w:t xml:space="preserve">DORA (Digital Operational Resilience Act)</w:t>
      </w:r>
      <w:r>
        <w:t xml:space="preserve"> </w:t>
      </w:r>
      <w:r>
        <w:t xml:space="preserve">— Operational stress scenarios for critical ICT systems</w:t>
      </w:r>
    </w:p>
    <w:p>
      <w:r>
        <w:pict>
          <v:rect style="width:0;height:1.5pt" o:hralign="center" o:hrstd="t" o:hr="t"/>
        </w:pict>
      </w:r>
    </w:p>
    <w:bookmarkEnd w:id="22"/>
    <w:bookmarkEnd w:id="23"/>
    <w:bookmarkStart w:id="25" w:name="redesign-opportunities"/>
    <w:p>
      <w:pPr>
        <w:pStyle w:val="Heading2"/>
      </w:pPr>
      <w:r>
        <w:t xml:space="preserve">2. Redesign Opportunities</w:t>
      </w:r>
    </w:p>
    <w:bookmarkStart w:id="24" w:name="X133398322796ed331643b2188b622a676de71e7"/>
    <w:p>
      <w:pPr>
        <w:pStyle w:val="Heading3"/>
      </w:pPr>
      <w:r>
        <w:t xml:space="preserve">AI-Driven Transformation of the Stress Testing Lifecycle</w:t>
      </w:r>
    </w:p>
    <w:p>
      <w:pPr>
        <w:pStyle w:val="SourceCode"/>
      </w:pPr>
      <w:r>
        <w:rPr>
          <w:rStyle w:val="VerbatimChar"/>
        </w:rPr>
        <w:t xml:space="preserve">CURRENT STATE (Manual, Fragmented)</w:t>
      </w:r>
      <w:r>
        <w:br/>
      </w:r>
      <w:r>
        <w:rPr>
          <w:rStyle w:val="VerbatimChar"/>
        </w:rPr>
        <w:t xml:space="preserve">────────────────────────────────────────────────────────</w:t>
      </w:r>
      <w:r>
        <w:br/>
      </w:r>
      <w:r>
        <w:rPr>
          <w:rStyle w:val="VerbatimChar"/>
        </w:rPr>
        <w:t xml:space="preserve">Market Data  →  Analyst collects manually</w:t>
      </w:r>
      <w:r>
        <w:br/>
      </w:r>
      <w:r>
        <w:rPr>
          <w:rStyle w:val="VerbatimChar"/>
        </w:rPr>
        <w:t xml:space="preserve">                 ↓  (days–weeks)</w:t>
      </w:r>
      <w:r>
        <w:br/>
      </w:r>
      <w:r>
        <w:rPr>
          <w:rStyle w:val="VerbatimChar"/>
        </w:rPr>
        <w:t xml:space="preserve">Scenario Build  →  Excel/Word-based templates</w:t>
      </w:r>
      <w:r>
        <w:br/>
      </w:r>
      <w:r>
        <w:rPr>
          <w:rStyle w:val="VerbatimChar"/>
        </w:rPr>
        <w:t xml:space="preserve">                 ↓  (iterations, approvals)</w:t>
      </w:r>
      <w:r>
        <w:br/>
      </w:r>
      <w:r>
        <w:rPr>
          <w:rStyle w:val="VerbatimChar"/>
        </w:rPr>
        <w:t xml:space="preserve">Model Execution →  Vendor black-box or local scripts</w:t>
      </w:r>
      <w:r>
        <w:br/>
      </w:r>
      <w:r>
        <w:rPr>
          <w:rStyle w:val="VerbatimChar"/>
        </w:rPr>
        <w:t xml:space="preserve">                 ↓  (overnight batch)</w:t>
      </w:r>
      <w:r>
        <w:br/>
      </w:r>
      <w:r>
        <w:rPr>
          <w:rStyle w:val="VerbatimChar"/>
        </w:rPr>
        <w:t xml:space="preserve">Reporting      →  Manual Word/PPT assembly</w:t>
      </w:r>
      <w:r>
        <w:br/>
      </w:r>
      <w:r>
        <w:rPr>
          <w:rStyle w:val="VerbatimChar"/>
        </w:rPr>
        <w:t xml:space="preserve">────────────────────────────────────────────────────────</w:t>
      </w:r>
      <w:r>
        <w:br/>
      </w:r>
      <w:r>
        <w:br/>
      </w:r>
      <w:r>
        <w:rPr>
          <w:rStyle w:val="VerbatimChar"/>
        </w:rPr>
        <w:t xml:space="preserve">FUTURE STATE (StressLess — Automated, AI-Augmented)</w:t>
      </w:r>
      <w:r>
        <w:br/>
      </w:r>
      <w:r>
        <w:rPr>
          <w:rStyle w:val="VerbatimChar"/>
        </w:rPr>
        <w:t xml:space="preserve">────────────────────────────────────────────────────────</w:t>
      </w:r>
      <w:r>
        <w:br/>
      </w:r>
      <w:r>
        <w:rPr>
          <w:rStyle w:val="VerbatimChar"/>
        </w:rPr>
        <w:t xml:space="preserve">Market Signals → AI Market Intelligence (real-time)</w:t>
      </w:r>
      <w:r>
        <w:br/>
      </w:r>
      <w:r>
        <w:rPr>
          <w:rStyle w:val="VerbatimChar"/>
        </w:rPr>
        <w:t xml:space="preserve">                 ↓  (minutes)</w:t>
      </w:r>
      <w:r>
        <w:br/>
      </w:r>
      <w:r>
        <w:rPr>
          <w:rStyle w:val="VerbatimChar"/>
        </w:rPr>
        <w:t xml:space="preserve">Scenario Design → LLM + HITL refinement</w:t>
      </w:r>
      <w:r>
        <w:br/>
      </w:r>
      <w:r>
        <w:rPr>
          <w:rStyle w:val="VerbatimChar"/>
        </w:rPr>
        <w:t xml:space="preserve">                 ↓  (hours)</w:t>
      </w:r>
      <w:r>
        <w:br/>
      </w:r>
      <w:r>
        <w:rPr>
          <w:rStyle w:val="VerbatimChar"/>
        </w:rPr>
        <w:t xml:space="preserve">Model Execution → Pluggable engine with ING models</w:t>
      </w:r>
      <w:r>
        <w:br/>
      </w:r>
      <w:r>
        <w:rPr>
          <w:rStyle w:val="VerbatimChar"/>
        </w:rPr>
        <w:t xml:space="preserve">                 ↓  (near real-time)</w:t>
      </w:r>
      <w:r>
        <w:br/>
      </w:r>
      <w:r>
        <w:rPr>
          <w:rStyle w:val="VerbatimChar"/>
        </w:rPr>
        <w:t xml:space="preserve">Reporting      → Auto-generated, audit-ready outputs</w:t>
      </w:r>
      <w:r>
        <w:br/>
      </w:r>
      <w:r>
        <w:rPr>
          <w:rStyle w:val="VerbatimChar"/>
        </w:rPr>
        <w:t xml:space="preserve">────────────────────────────────────────────────────────</w:t>
      </w:r>
    </w:p>
    <w:tbl>
      <w:tblPr>
        <w:tblStyle w:val="Table"/>
        <w:tblW w:type="pct" w:w="5000"/>
        <w:tblLook w:firstRow="1" w:lastRow="0" w:firstColumn="0" w:lastColumn="0" w:noHBand="0" w:noVBand="0" w:val="0020"/>
        <w:jc w:val="start"/>
      </w:tblPr>
      <w:tblGrid>
        <w:gridCol w:w="2917"/>
        <w:gridCol w:w="2640"/>
        <w:gridCol w:w="2362"/>
      </w:tblGrid>
      <w:tr>
        <w:trPr>
          <w:tblHeader w:val="true"/>
        </w:trPr>
        <w:tc>
          <w:tcPr/>
          <w:p>
            <w:pPr>
              <w:pStyle w:val="Compact"/>
              <w:jc w:val="left"/>
            </w:pPr>
            <w:r>
              <w:t xml:space="preserve">Redesign Opportunity</w:t>
            </w:r>
          </w:p>
        </w:tc>
        <w:tc>
          <w:tcPr/>
          <w:p>
            <w:pPr>
              <w:pStyle w:val="Compact"/>
              <w:jc w:val="left"/>
            </w:pPr>
            <w:r>
              <w:t xml:space="preserve">AI/Analytics Lever</w:t>
            </w:r>
          </w:p>
        </w:tc>
        <w:tc>
          <w:tcPr/>
          <w:p>
            <w:pPr>
              <w:pStyle w:val="Compact"/>
              <w:jc w:val="left"/>
            </w:pPr>
            <w:r>
              <w:t xml:space="preserve">Expected Outcome</w:t>
            </w:r>
          </w:p>
        </w:tc>
      </w:tr>
      <w:tr>
        <w:tc>
          <w:tcPr/>
          <w:p>
            <w:pPr>
              <w:pStyle w:val="Compact"/>
              <w:jc w:val="left"/>
            </w:pPr>
            <w:r>
              <w:t xml:space="preserve">Automated market signal ingestion</w:t>
            </w:r>
          </w:p>
        </w:tc>
        <w:tc>
          <w:tcPr/>
          <w:p>
            <w:pPr>
              <w:pStyle w:val="Compact"/>
              <w:jc w:val="left"/>
            </w:pPr>
            <w:r>
              <w:t xml:space="preserve">NLP news filtering + LLM post-classification</w:t>
            </w:r>
          </w:p>
        </w:tc>
        <w:tc>
          <w:tcPr/>
          <w:p>
            <w:pPr>
              <w:pStyle w:val="Compact"/>
              <w:jc w:val="left"/>
            </w:pPr>
            <w:r>
              <w:t xml:space="preserve">Eliminate 80% of manual data gathering</w:t>
            </w:r>
          </w:p>
        </w:tc>
      </w:tr>
      <w:tr>
        <w:tc>
          <w:tcPr/>
          <w:p>
            <w:pPr>
              <w:pStyle w:val="Compact"/>
              <w:jc w:val="left"/>
            </w:pPr>
            <w:r>
              <w:t xml:space="preserve">Dynamic scenario generation</w:t>
            </w:r>
          </w:p>
        </w:tc>
        <w:tc>
          <w:tcPr/>
          <w:p>
            <w:pPr>
              <w:pStyle w:val="Compact"/>
              <w:jc w:val="left"/>
            </w:pPr>
            <w:r>
              <w:t xml:space="preserve">GPT-4 scenario designer + human override</w:t>
            </w:r>
          </w:p>
        </w:tc>
        <w:tc>
          <w:tcPr/>
          <w:p>
            <w:pPr>
              <w:pStyle w:val="Compact"/>
              <w:jc w:val="left"/>
            </w:pPr>
            <w:r>
              <w:t xml:space="preserve">Reduce scenario build time from days to hours</w:t>
            </w:r>
          </w:p>
        </w:tc>
      </w:tr>
      <w:tr>
        <w:tc>
          <w:tcPr/>
          <w:p>
            <w:pPr>
              <w:pStyle w:val="Compact"/>
              <w:jc w:val="left"/>
            </w:pPr>
            <w:r>
              <w:t xml:space="preserve">Real-time event grouping</w:t>
            </w:r>
          </w:p>
        </w:tc>
        <w:tc>
          <w:tcPr/>
          <w:p>
            <w:pPr>
              <w:pStyle w:val="Compact"/>
              <w:jc w:val="left"/>
            </w:pPr>
            <w:r>
              <w:t xml:space="preserve">Clustering + event metric scoring</w:t>
            </w:r>
          </w:p>
        </w:tc>
        <w:tc>
          <w:tcPr/>
          <w:p>
            <w:pPr>
              <w:pStyle w:val="Compact"/>
              <w:jc w:val="left"/>
            </w:pPr>
            <w:r>
              <w:t xml:space="preserve">Consistent scenario taxonomy across portfolios</w:t>
            </w:r>
          </w:p>
        </w:tc>
      </w:tr>
      <w:tr>
        <w:tc>
          <w:tcPr/>
          <w:p>
            <w:pPr>
              <w:pStyle w:val="Compact"/>
              <w:jc w:val="left"/>
            </w:pPr>
            <w:r>
              <w:t xml:space="preserve">Pluggable model injection</w:t>
            </w:r>
          </w:p>
        </w:tc>
        <w:tc>
          <w:tcPr/>
          <w:p>
            <w:pPr>
              <w:pStyle w:val="Compact"/>
              <w:jc w:val="left"/>
            </w:pPr>
            <w:r>
              <w:t xml:space="preserve">Microservice API for proprietary valuation models</w:t>
            </w:r>
          </w:p>
        </w:tc>
        <w:tc>
          <w:tcPr/>
          <w:p>
            <w:pPr>
              <w:pStyle w:val="Compact"/>
              <w:jc w:val="left"/>
            </w:pPr>
            <w:r>
              <w:t xml:space="preserve">Remove vendor lock-in; ING models stay authoritative</w:t>
            </w:r>
          </w:p>
        </w:tc>
      </w:tr>
      <w:tr>
        <w:tc>
          <w:tcPr/>
          <w:p>
            <w:pPr>
              <w:pStyle w:val="Compact"/>
              <w:jc w:val="left"/>
            </w:pPr>
            <w:r>
              <w:t xml:space="preserve">Automated audit trail</w:t>
            </w:r>
          </w:p>
        </w:tc>
        <w:tc>
          <w:tcPr/>
          <w:p>
            <w:pPr>
              <w:pStyle w:val="Compact"/>
              <w:jc w:val="left"/>
            </w:pPr>
            <w:r>
              <w:t xml:space="preserve">Lineage tracking per scenario assumption</w:t>
            </w:r>
          </w:p>
        </w:tc>
        <w:tc>
          <w:tcPr/>
          <w:p>
            <w:pPr>
              <w:pStyle w:val="Compact"/>
              <w:jc w:val="left"/>
            </w:pPr>
            <w:r>
              <w:t xml:space="preserve">Supervisory reports generated in &lt;1 day</w:t>
            </w:r>
          </w:p>
        </w:tc>
      </w:tr>
      <w:tr>
        <w:tc>
          <w:tcPr/>
          <w:p>
            <w:pPr>
              <w:pStyle w:val="Compact"/>
              <w:jc w:val="left"/>
            </w:pPr>
            <w:r>
              <w:t xml:space="preserve">Synthetic portfolio generation</w:t>
            </w:r>
          </w:p>
        </w:tc>
        <w:tc>
          <w:tcPr/>
          <w:p>
            <w:pPr>
              <w:pStyle w:val="Compact"/>
              <w:jc w:val="left"/>
            </w:pPr>
            <w:r>
              <w:t xml:space="preserve">Variational autoencoder / diffusion models</w:t>
            </w:r>
          </w:p>
        </w:tc>
        <w:tc>
          <w:tcPr/>
          <w:p>
            <w:pPr>
              <w:pStyle w:val="Compact"/>
              <w:jc w:val="left"/>
            </w:pPr>
            <w:r>
              <w:t xml:space="preserve">Safe experimentation without exposing client data</w:t>
            </w:r>
          </w:p>
        </w:tc>
      </w:tr>
      <w:tr>
        <w:tc>
          <w:tcPr/>
          <w:p>
            <w:pPr>
              <w:pStyle w:val="Compact"/>
              <w:jc w:val="left"/>
            </w:pPr>
            <w:r>
              <w:t xml:space="preserve">Counterparty risk intelligence</w:t>
            </w:r>
          </w:p>
        </w:tc>
        <w:tc>
          <w:tcPr/>
          <w:p>
            <w:pPr>
              <w:pStyle w:val="Compact"/>
              <w:jc w:val="left"/>
            </w:pPr>
            <w:r>
              <w:t xml:space="preserve">LLM-driven exposure narratives</w:t>
            </w:r>
          </w:p>
        </w:tc>
        <w:tc>
          <w:tcPr/>
          <w:p>
            <w:pPr>
              <w:pStyle w:val="Compact"/>
              <w:jc w:val="left"/>
            </w:pPr>
            <w:r>
              <w:t xml:space="preserve">CRO-ready dashboards without manual write-ups</w:t>
            </w:r>
          </w:p>
        </w:tc>
      </w:tr>
    </w:tbl>
    <w:p>
      <w:r>
        <w:pict>
          <v:rect style="width:0;height:1.5pt" o:hralign="center" o:hrstd="t" o:hr="t"/>
        </w:pict>
      </w:r>
    </w:p>
    <w:bookmarkEnd w:id="24"/>
    <w:bookmarkEnd w:id="25"/>
    <w:bookmarkStart w:id="27" w:name="Xac283a3af08cf2a11dc0b75b26b098de5a3d7dd"/>
    <w:p>
      <w:pPr>
        <w:pStyle w:val="Heading2"/>
      </w:pPr>
      <w:r>
        <w:t xml:space="preserve">3. Key Process Overview with AI Opportunity Mapping</w:t>
      </w:r>
    </w:p>
    <w:bookmarkStart w:id="26" w:name="Xfb538ec44dc6cc9da2d6f9259f66d6711388206"/>
    <w:p>
      <w:pPr>
        <w:pStyle w:val="Heading3"/>
      </w:pPr>
      <w:r>
        <w:t xml:space="preserve">Stress Testing Workflow — StressLess Platform</w:t>
      </w:r>
    </w:p>
    <w:p>
      <w:pPr>
        <w:pStyle w:val="SourceCode"/>
      </w:pPr>
      <w:r>
        <w:rPr>
          <w:rStyle w:val="VerbatimChar"/>
        </w:rPr>
        <w:t xml:space="preserve">┌─────────────────────────────────────────────────────────────────────────────┐</w:t>
      </w:r>
      <w:r>
        <w:br/>
      </w:r>
      <w:r>
        <w:rPr>
          <w:rStyle w:val="VerbatimChar"/>
        </w:rPr>
        <w:t xml:space="preserve">│  STEP 1: DATA INGESTION &amp; CONTEXT SETTING                                   │</w:t>
      </w:r>
      <w:r>
        <w:br/>
      </w:r>
      <w:r>
        <w:rPr>
          <w:rStyle w:val="VerbatimChar"/>
        </w:rPr>
        <w:t xml:space="preserve">│  ┌──────────────────┐  ┌────────────────────┐  ┌──────────────────────┐    │</w:t>
      </w:r>
      <w:r>
        <w:br/>
      </w:r>
      <w:r>
        <w:rPr>
          <w:rStyle w:val="VerbatimChar"/>
        </w:rPr>
        <w:t xml:space="preserve">│  │  Public Data     │  │  Internal Data     │  │  ING Context         │    │</w:t>
      </w:r>
      <w:r>
        <w:br/>
      </w:r>
      <w:r>
        <w:rPr>
          <w:rStyle w:val="VerbatimChar"/>
        </w:rPr>
        <w:t xml:space="preserve">│  │  • Market feeds  │  │  • Historical P&amp;L  │  │  • Business strategy │    │</w:t>
      </w:r>
      <w:r>
        <w:br/>
      </w:r>
      <w:r>
        <w:rPr>
          <w:rStyle w:val="VerbatimChar"/>
        </w:rPr>
        <w:t xml:space="preserve">│  │  • Industry news │  │  • Portfolio data  │  │  • Regulatory limits │    │</w:t>
      </w:r>
      <w:r>
        <w:br/>
      </w:r>
      <w:r>
        <w:rPr>
          <w:rStyle w:val="VerbatimChar"/>
        </w:rPr>
        <w:t xml:space="preserve">│  │  • Macro indices │  │  • Past scenarios  │  │  • Risk appetite     │    │</w:t>
      </w:r>
      <w:r>
        <w:br/>
      </w:r>
      <w:r>
        <w:rPr>
          <w:rStyle w:val="VerbatimChar"/>
        </w:rPr>
        <w:t xml:space="preserve">│  └──────────────────┘  └────────────────────┘  └──────────────────────┘    │</w:t>
      </w:r>
      <w:r>
        <w:br/>
      </w:r>
      <w:r>
        <w:rPr>
          <w:rStyle w:val="VerbatimChar"/>
        </w:rPr>
        <w:t xml:space="preserve">│  ⚡ AI Opportunity: Automated feed aggregation, deduplication, relevance     │</w:t>
      </w:r>
      <w:r>
        <w:br/>
      </w:r>
      <w:r>
        <w:rPr>
          <w:rStyle w:val="VerbatimChar"/>
        </w:rPr>
        <w:t xml:space="preserve">│     scoring — eliminate analyst "data gathering" sprint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STEP 2: AI MARKET INTELLIGENCE (MI)                                        │</w:t>
      </w:r>
      <w:r>
        <w:br/>
      </w:r>
      <w:r>
        <w:rPr>
          <w:rStyle w:val="VerbatimChar"/>
        </w:rPr>
        <w:t xml:space="preserve">│  • NLP Filtering: Relevance classification of 10,000+ daily news items      │</w:t>
      </w:r>
      <w:r>
        <w:br/>
      </w:r>
      <w:r>
        <w:rPr>
          <w:rStyle w:val="VerbatimChar"/>
        </w:rPr>
        <w:t xml:space="preserve">│  • LLM Post-Classification: Map events to stress risk factors               │</w:t>
      </w:r>
      <w:r>
        <w:br/>
      </w:r>
      <w:r>
        <w:rPr>
          <w:rStyle w:val="VerbatimChar"/>
        </w:rPr>
        <w:t xml:space="preserve">│  • Event Grouping &amp; Metrics: Cluster correlated events into scenarios        │</w:t>
      </w:r>
      <w:r>
        <w:br/>
      </w:r>
      <w:r>
        <w:rPr>
          <w:rStyle w:val="VerbatimChar"/>
        </w:rPr>
        <w:t xml:space="preserve">│  ⚡ AI Opportunity: Replace 3–5 FTE analyst days/week → 30-min MI digest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STEP 3: SCENARIO DESIGNER &amp; HITL (Human-in-the-Loop)                      │</w:t>
      </w:r>
      <w:r>
        <w:br/>
      </w:r>
      <w:r>
        <w:rPr>
          <w:rStyle w:val="VerbatimChar"/>
        </w:rPr>
        <w:t xml:space="preserve">│  • GPT Interface: Natural-language scenario specification                   │</w:t>
      </w:r>
      <w:r>
        <w:br/>
      </w:r>
      <w:r>
        <w:rPr>
          <w:rStyle w:val="VerbatimChar"/>
        </w:rPr>
        <w:t xml:space="preserve">│  • AI Guardrails: Regulatory plausibility checks (ECB/EBA bounds)           │</w:t>
      </w:r>
      <w:r>
        <w:br/>
      </w:r>
      <w:r>
        <w:rPr>
          <w:rStyle w:val="VerbatimChar"/>
        </w:rPr>
        <w:t xml:space="preserve">│  • Portfolio/Data Injection: Link live portfolio snapshots                  │</w:t>
      </w:r>
      <w:r>
        <w:br/>
      </w:r>
      <w:r>
        <w:rPr>
          <w:rStyle w:val="VerbatimChar"/>
        </w:rPr>
        <w:t xml:space="preserve">│  • Scenario Generation: Parameterised shocks across risk factors            │</w:t>
      </w:r>
      <w:r>
        <w:br/>
      </w:r>
      <w:r>
        <w:rPr>
          <w:rStyle w:val="VerbatimChar"/>
        </w:rPr>
        <w:t xml:space="preserve">│  ⚡ AI Opportunity: Scenario creation time 5 days → 4 hours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STEP 4: EXECUTION &amp; REPORTING                                              │</w:t>
      </w:r>
      <w:r>
        <w:br/>
      </w:r>
      <w:r>
        <w:rPr>
          <w:rStyle w:val="VerbatimChar"/>
        </w:rPr>
        <w:t xml:space="preserve">│  • Mathematical Execution Engine: Vectorised portfolio revaluation          │</w:t>
      </w:r>
      <w:r>
        <w:br/>
      </w:r>
      <w:r>
        <w:rPr>
          <w:rStyle w:val="VerbatimChar"/>
        </w:rPr>
        <w:t xml:space="preserve">│  • Pluggable Portfolio Models: ING internal models via API injection        │</w:t>
      </w:r>
      <w:r>
        <w:br/>
      </w:r>
      <w:r>
        <w:rPr>
          <w:rStyle w:val="VerbatimChar"/>
        </w:rPr>
        <w:t xml:space="preserve">│  • Risk Manager / CRO Reporting: Auto-generated, explainable outputs        │</w:t>
      </w:r>
      <w:r>
        <w:br/>
      </w:r>
      <w:r>
        <w:rPr>
          <w:rStyle w:val="VerbatimChar"/>
        </w:rPr>
        <w:t xml:space="preserve">│  ⚡ AI Opportunity: Overnight batch → sub-hour results; manual report        │</w:t>
      </w:r>
      <w:r>
        <w:br/>
      </w:r>
      <w:r>
        <w:rPr>
          <w:rStyle w:val="VerbatimChar"/>
        </w:rPr>
        <w:t xml:space="preserve">│     assembly (2 weeks) → auto-generation (2 hours)                         │</w:t>
      </w:r>
      <w:r>
        <w:br/>
      </w:r>
      <w:r>
        <w:rPr>
          <w:rStyle w:val="VerbatimChar"/>
        </w:rPr>
        <w:t xml:space="preserve">└─────────────────────────────────────────────────────────────────────────────┘</w:t>
      </w:r>
    </w:p>
    <w:p>
      <w:r>
        <w:pict>
          <v:rect style="width:0;height:1.5pt" o:hralign="center" o:hrstd="t" o:hr="t"/>
        </w:pict>
      </w:r>
    </w:p>
    <w:bookmarkEnd w:id="26"/>
    <w:bookmarkEnd w:id="27"/>
    <w:bookmarkStart w:id="32" w:name="business-value-quantification"/>
    <w:p>
      <w:pPr>
        <w:pStyle w:val="Heading2"/>
      </w:pPr>
      <w:r>
        <w:t xml:space="preserve">4. Business Value Quantification</w:t>
      </w:r>
    </w:p>
    <w:bookmarkStart w:id="28" w:name="a.-fte-savings-estimate"/>
    <w:p>
      <w:pPr>
        <w:pStyle w:val="Heading3"/>
      </w:pPr>
      <w:r>
        <w:t xml:space="preserve">4a. FTE Savings Estimate</w:t>
      </w:r>
    </w:p>
    <w:tbl>
      <w:tblPr>
        <w:tblStyle w:val="Table"/>
        <w:tblW w:type="pct" w:w="5000"/>
        <w:tblLook w:firstRow="1" w:lastRow="0" w:firstColumn="0" w:lastColumn="0" w:noHBand="0" w:noVBand="0" w:val="0020"/>
        <w:jc w:val="start"/>
      </w:tblPr>
      <w:tblGrid>
        <w:gridCol w:w="1018"/>
        <w:gridCol w:w="2149"/>
        <w:gridCol w:w="2036"/>
        <w:gridCol w:w="1244"/>
        <w:gridCol w:w="1470"/>
      </w:tblGrid>
      <w:tr>
        <w:trPr>
          <w:tblHeader w:val="true"/>
        </w:trPr>
        <w:tc>
          <w:tcPr/>
          <w:p>
            <w:pPr>
              <w:pStyle w:val="Compact"/>
              <w:jc w:val="left"/>
            </w:pPr>
            <w:r>
              <w:t xml:space="preserve">Activity</w:t>
            </w:r>
          </w:p>
        </w:tc>
        <w:tc>
          <w:tcPr/>
          <w:p>
            <w:pPr>
              <w:pStyle w:val="Compact"/>
              <w:jc w:val="left"/>
            </w:pPr>
            <w:r>
              <w:t xml:space="preserve">Current FTE Effort</w:t>
            </w:r>
          </w:p>
        </w:tc>
        <w:tc>
          <w:tcPr/>
          <w:p>
            <w:pPr>
              <w:pStyle w:val="Compact"/>
              <w:jc w:val="left"/>
            </w:pPr>
            <w:r>
              <w:t xml:space="preserve">StressLess Effort</w:t>
            </w:r>
          </w:p>
        </w:tc>
        <w:tc>
          <w:tcPr/>
          <w:p>
            <w:pPr>
              <w:pStyle w:val="Compact"/>
              <w:jc w:val="left"/>
            </w:pPr>
            <w:r>
              <w:t xml:space="preserve">FTE Saved</w:t>
            </w:r>
          </w:p>
        </w:tc>
        <w:tc>
          <w:tcPr/>
          <w:p>
            <w:pPr>
              <w:pStyle w:val="Compact"/>
              <w:jc w:val="left"/>
            </w:pPr>
            <w:r>
              <w:t xml:space="preserve">% Reduction</w:t>
            </w:r>
          </w:p>
        </w:tc>
      </w:tr>
      <w:tr>
        <w:tc>
          <w:tcPr/>
          <w:p>
            <w:pPr>
              <w:pStyle w:val="Compact"/>
              <w:jc w:val="left"/>
            </w:pPr>
            <w:r>
              <w:t xml:space="preserve">Market data gathering &amp; curation</w:t>
            </w:r>
          </w:p>
        </w:tc>
        <w:tc>
          <w:tcPr/>
          <w:p>
            <w:pPr>
              <w:pStyle w:val="Compact"/>
              <w:jc w:val="left"/>
            </w:pPr>
            <w:r>
              <w:t xml:space="preserve">2.0 FTE</w:t>
            </w:r>
          </w:p>
        </w:tc>
        <w:tc>
          <w:tcPr/>
          <w:p>
            <w:pPr>
              <w:pStyle w:val="Compact"/>
              <w:jc w:val="left"/>
            </w:pPr>
            <w:r>
              <w:t xml:space="preserve">0.2 FTE</w:t>
            </w:r>
          </w:p>
        </w:tc>
        <w:tc>
          <w:tcPr/>
          <w:p>
            <w:pPr>
              <w:pStyle w:val="Compact"/>
              <w:jc w:val="left"/>
            </w:pPr>
            <w:r>
              <w:rPr>
                <w:bCs/>
                <w:b/>
              </w:rPr>
              <w:t xml:space="preserve">1.8 FTE</w:t>
            </w:r>
          </w:p>
        </w:tc>
        <w:tc>
          <w:tcPr/>
          <w:p>
            <w:pPr>
              <w:pStyle w:val="Compact"/>
              <w:jc w:val="left"/>
            </w:pPr>
            <w:r>
              <w:t xml:space="preserve">90%</w:t>
            </w:r>
          </w:p>
        </w:tc>
      </w:tr>
      <w:tr>
        <w:tc>
          <w:tcPr/>
          <w:p>
            <w:pPr>
              <w:pStyle w:val="Compact"/>
              <w:jc w:val="left"/>
            </w:pPr>
            <w:r>
              <w:t xml:space="preserve">Scenario design &amp; parameterisation</w:t>
            </w:r>
          </w:p>
        </w:tc>
        <w:tc>
          <w:tcPr/>
          <w:p>
            <w:pPr>
              <w:pStyle w:val="Compact"/>
              <w:jc w:val="left"/>
            </w:pPr>
            <w:r>
              <w:t xml:space="preserve">3.0 FTE</w:t>
            </w:r>
          </w:p>
        </w:tc>
        <w:tc>
          <w:tcPr/>
          <w:p>
            <w:pPr>
              <w:pStyle w:val="Compact"/>
              <w:jc w:val="left"/>
            </w:pPr>
            <w:r>
              <w:t xml:space="preserve">0.5 FTE</w:t>
            </w:r>
          </w:p>
        </w:tc>
        <w:tc>
          <w:tcPr/>
          <w:p>
            <w:pPr>
              <w:pStyle w:val="Compact"/>
              <w:jc w:val="left"/>
            </w:pPr>
            <w:r>
              <w:rPr>
                <w:bCs/>
                <w:b/>
              </w:rPr>
              <w:t xml:space="preserve">2.5 FTE</w:t>
            </w:r>
          </w:p>
        </w:tc>
        <w:tc>
          <w:tcPr/>
          <w:p>
            <w:pPr>
              <w:pStyle w:val="Compact"/>
              <w:jc w:val="left"/>
            </w:pPr>
            <w:r>
              <w:t xml:space="preserve">83%</w:t>
            </w:r>
          </w:p>
        </w:tc>
      </w:tr>
      <w:tr>
        <w:tc>
          <w:tcPr/>
          <w:p>
            <w:pPr>
              <w:pStyle w:val="Compact"/>
              <w:jc w:val="left"/>
            </w:pPr>
            <w:r>
              <w:t xml:space="preserve">Model execution &amp; reconciliation</w:t>
            </w:r>
          </w:p>
        </w:tc>
        <w:tc>
          <w:tcPr/>
          <w:p>
            <w:pPr>
              <w:pStyle w:val="Compact"/>
              <w:jc w:val="left"/>
            </w:pPr>
            <w:r>
              <w:t xml:space="preserve">1.5 FTE</w:t>
            </w:r>
          </w:p>
        </w:tc>
        <w:tc>
          <w:tcPr/>
          <w:p>
            <w:pPr>
              <w:pStyle w:val="Compact"/>
              <w:jc w:val="left"/>
            </w:pPr>
            <w:r>
              <w:t xml:space="preserve">0.3 FTE</w:t>
            </w:r>
          </w:p>
        </w:tc>
        <w:tc>
          <w:tcPr/>
          <w:p>
            <w:pPr>
              <w:pStyle w:val="Compact"/>
              <w:jc w:val="left"/>
            </w:pPr>
            <w:r>
              <w:rPr>
                <w:bCs/>
                <w:b/>
              </w:rPr>
              <w:t xml:space="preserve">1.2 FTE</w:t>
            </w:r>
          </w:p>
        </w:tc>
        <w:tc>
          <w:tcPr/>
          <w:p>
            <w:pPr>
              <w:pStyle w:val="Compact"/>
              <w:jc w:val="left"/>
            </w:pPr>
            <w:r>
              <w:t xml:space="preserve">80%</w:t>
            </w:r>
          </w:p>
        </w:tc>
      </w:tr>
      <w:tr>
        <w:tc>
          <w:tcPr/>
          <w:p>
            <w:pPr>
              <w:pStyle w:val="Compact"/>
              <w:jc w:val="left"/>
            </w:pPr>
            <w:r>
              <w:t xml:space="preserve">Report writing &amp; regulatory submissions</w:t>
            </w:r>
          </w:p>
        </w:tc>
        <w:tc>
          <w:tcPr/>
          <w:p>
            <w:pPr>
              <w:pStyle w:val="Compact"/>
              <w:jc w:val="left"/>
            </w:pPr>
            <w:r>
              <w:t xml:space="preserve">2.5 FTE</w:t>
            </w:r>
          </w:p>
        </w:tc>
        <w:tc>
          <w:tcPr/>
          <w:p>
            <w:pPr>
              <w:pStyle w:val="Compact"/>
              <w:jc w:val="left"/>
            </w:pPr>
            <w:r>
              <w:t xml:space="preserve">0.4 FTE</w:t>
            </w:r>
          </w:p>
        </w:tc>
        <w:tc>
          <w:tcPr/>
          <w:p>
            <w:pPr>
              <w:pStyle w:val="Compact"/>
              <w:jc w:val="left"/>
            </w:pPr>
            <w:r>
              <w:rPr>
                <w:bCs/>
                <w:b/>
              </w:rPr>
              <w:t xml:space="preserve">2.1 FTE</w:t>
            </w:r>
          </w:p>
        </w:tc>
        <w:tc>
          <w:tcPr/>
          <w:p>
            <w:pPr>
              <w:pStyle w:val="Compact"/>
              <w:jc w:val="left"/>
            </w:pPr>
            <w:r>
              <w:t xml:space="preserve">84%</w:t>
            </w:r>
          </w:p>
        </w:tc>
      </w:tr>
      <w:tr>
        <w:tc>
          <w:tcPr/>
          <w:p>
            <w:pPr>
              <w:pStyle w:val="Compact"/>
              <w:jc w:val="left"/>
            </w:pPr>
            <w:r>
              <w:t xml:space="preserve">Audit trail documentation</w:t>
            </w:r>
          </w:p>
        </w:tc>
        <w:tc>
          <w:tcPr/>
          <w:p>
            <w:pPr>
              <w:pStyle w:val="Compact"/>
              <w:jc w:val="left"/>
            </w:pPr>
            <w:r>
              <w:t xml:space="preserve">1.0 FTE</w:t>
            </w:r>
          </w:p>
        </w:tc>
        <w:tc>
          <w:tcPr/>
          <w:p>
            <w:pPr>
              <w:pStyle w:val="Compact"/>
              <w:jc w:val="left"/>
            </w:pPr>
            <w:r>
              <w:t xml:space="preserve">0.1 FTE</w:t>
            </w:r>
          </w:p>
        </w:tc>
        <w:tc>
          <w:tcPr/>
          <w:p>
            <w:pPr>
              <w:pStyle w:val="Compact"/>
              <w:jc w:val="left"/>
            </w:pPr>
            <w:r>
              <w:rPr>
                <w:bCs/>
                <w:b/>
              </w:rPr>
              <w:t xml:space="preserve">0.9 FTE</w:t>
            </w:r>
          </w:p>
        </w:tc>
        <w:tc>
          <w:tcPr/>
          <w:p>
            <w:pPr>
              <w:pStyle w:val="Compact"/>
              <w:jc w:val="left"/>
            </w:pPr>
            <w:r>
              <w:t xml:space="preserve">90%</w:t>
            </w:r>
          </w:p>
        </w:tc>
      </w:tr>
      <w:tr>
        <w:tc>
          <w:tcPr/>
          <w:p>
            <w:pPr>
              <w:pStyle w:val="Compact"/>
              <w:jc w:val="left"/>
            </w:pPr>
            <w:r>
              <w:rPr>
                <w:bCs/>
                <w:b/>
              </w:rPr>
              <w:t xml:space="preserve">Total</w:t>
            </w:r>
          </w:p>
        </w:tc>
        <w:tc>
          <w:tcPr/>
          <w:p>
            <w:pPr>
              <w:pStyle w:val="Compact"/>
              <w:jc w:val="left"/>
            </w:pPr>
            <w:r>
              <w:rPr>
                <w:bCs/>
                <w:b/>
              </w:rPr>
              <w:t xml:space="preserve">10.0 FTE</w:t>
            </w:r>
          </w:p>
        </w:tc>
        <w:tc>
          <w:tcPr/>
          <w:p>
            <w:pPr>
              <w:pStyle w:val="Compact"/>
              <w:jc w:val="left"/>
            </w:pPr>
            <w:r>
              <w:rPr>
                <w:bCs/>
                <w:b/>
              </w:rPr>
              <w:t xml:space="preserve">1.5 FTE</w:t>
            </w:r>
          </w:p>
        </w:tc>
        <w:tc>
          <w:tcPr/>
          <w:p>
            <w:pPr>
              <w:pStyle w:val="Compact"/>
              <w:jc w:val="left"/>
            </w:pPr>
            <w:r>
              <w:rPr>
                <w:bCs/>
                <w:b/>
              </w:rPr>
              <w:t xml:space="preserve">8.5 FTE</w:t>
            </w:r>
          </w:p>
        </w:tc>
        <w:tc>
          <w:tcPr/>
          <w:p>
            <w:pPr>
              <w:pStyle w:val="Compact"/>
              <w:jc w:val="left"/>
            </w:pPr>
            <w:r>
              <w:rPr>
                <w:bCs/>
                <w:b/>
              </w:rPr>
              <w:t xml:space="preserve">85%</w:t>
            </w:r>
          </w:p>
        </w:tc>
      </w:tr>
    </w:tbl>
    <w:p>
      <w:pPr>
        <w:pStyle w:val="BlockText"/>
      </w:pPr>
      <w:r>
        <w:rPr>
          <w:bCs/>
          <w:b/>
        </w:rPr>
        <w:t xml:space="preserve">Assumption</w:t>
      </w:r>
      <w:r>
        <w:t xml:space="preserve">: Based on a mid-size Risk Analytics team running 4 major stress test cycles per year (2× regulatory + 2× internal). ING Wholesale Banking risk team size benchmarked at 40–60 analysts.</w:t>
      </w:r>
    </w:p>
    <w:bookmarkEnd w:id="28"/>
    <w:bookmarkStart w:id="29" w:name="b.-hours-saved-per-stress-test-cycle"/>
    <w:p>
      <w:pPr>
        <w:pStyle w:val="Heading3"/>
      </w:pPr>
      <w:r>
        <w:t xml:space="preserve">4b. Hours Saved Per Stress Test Cycle</w:t>
      </w:r>
    </w:p>
    <w:tbl>
      <w:tblPr>
        <w:tblStyle w:val="Table"/>
        <w:tblW w:type="pct" w:w="5000"/>
        <w:tblLook w:firstRow="1" w:lastRow="0" w:firstColumn="0" w:lastColumn="0" w:noHBand="0" w:noVBand="0" w:val="0020"/>
        <w:jc w:val="start"/>
      </w:tblPr>
      <w:tblGrid>
        <w:gridCol w:w="707"/>
        <w:gridCol w:w="2404"/>
        <w:gridCol w:w="2970"/>
        <w:gridCol w:w="1838"/>
      </w:tblGrid>
      <w:tr>
        <w:trPr>
          <w:tblHeader w:val="true"/>
        </w:trPr>
        <w:tc>
          <w:tcPr/>
          <w:p>
            <w:pPr>
              <w:pStyle w:val="Compact"/>
              <w:jc w:val="left"/>
            </w:pPr>
            <w:r>
              <w:t xml:space="preserve">Task</w:t>
            </w:r>
          </w:p>
        </w:tc>
        <w:tc>
          <w:tcPr/>
          <w:p>
            <w:pPr>
              <w:pStyle w:val="Compact"/>
              <w:jc w:val="left"/>
            </w:pPr>
            <w:r>
              <w:t xml:space="preserve">Current Duration</w:t>
            </w:r>
          </w:p>
        </w:tc>
        <w:tc>
          <w:tcPr/>
          <w:p>
            <w:pPr>
              <w:pStyle w:val="Compact"/>
              <w:jc w:val="left"/>
            </w:pPr>
            <w:r>
              <w:t xml:space="preserve">StressLess Duration</w:t>
            </w:r>
          </w:p>
        </w:tc>
        <w:tc>
          <w:tcPr/>
          <w:p>
            <w:pPr>
              <w:pStyle w:val="Compact"/>
              <w:jc w:val="left"/>
            </w:pPr>
            <w:r>
              <w:t xml:space="preserve">Hours Saved</w:t>
            </w:r>
          </w:p>
        </w:tc>
      </w:tr>
      <w:tr>
        <w:tc>
          <w:tcPr/>
          <w:p>
            <w:pPr>
              <w:pStyle w:val="Compact"/>
              <w:jc w:val="left"/>
            </w:pPr>
            <w:r>
              <w:t xml:space="preserve">Data collection &amp; signal monitoring</w:t>
            </w:r>
          </w:p>
        </w:tc>
        <w:tc>
          <w:tcPr/>
          <w:p>
            <w:pPr>
              <w:pStyle w:val="Compact"/>
              <w:jc w:val="left"/>
            </w:pPr>
            <w:r>
              <w:t xml:space="preserve">40 hrs/cycle</w:t>
            </w:r>
          </w:p>
        </w:tc>
        <w:tc>
          <w:tcPr/>
          <w:p>
            <w:pPr>
              <w:pStyle w:val="Compact"/>
              <w:jc w:val="left"/>
            </w:pPr>
            <w:r>
              <w:t xml:space="preserve">2 hrs/cycle</w:t>
            </w:r>
          </w:p>
        </w:tc>
        <w:tc>
          <w:tcPr/>
          <w:p>
            <w:pPr>
              <w:pStyle w:val="Compact"/>
              <w:jc w:val="left"/>
            </w:pPr>
            <w:r>
              <w:rPr>
                <w:bCs/>
                <w:b/>
              </w:rPr>
              <w:t xml:space="preserve">38 hrs</w:t>
            </w:r>
          </w:p>
        </w:tc>
      </w:tr>
      <w:tr>
        <w:tc>
          <w:tcPr/>
          <w:p>
            <w:pPr>
              <w:pStyle w:val="Compact"/>
              <w:jc w:val="left"/>
            </w:pPr>
            <w:r>
              <w:t xml:space="preserve">Scenario narrative &amp; assumption build</w:t>
            </w:r>
          </w:p>
        </w:tc>
        <w:tc>
          <w:tcPr/>
          <w:p>
            <w:pPr>
              <w:pStyle w:val="Compact"/>
              <w:jc w:val="left"/>
            </w:pPr>
            <w:r>
              <w:t xml:space="preserve">80 hrs/cycle</w:t>
            </w:r>
          </w:p>
        </w:tc>
        <w:tc>
          <w:tcPr/>
          <w:p>
            <w:pPr>
              <w:pStyle w:val="Compact"/>
              <w:jc w:val="left"/>
            </w:pPr>
            <w:r>
              <w:t xml:space="preserve">8 hrs/cycle</w:t>
            </w:r>
          </w:p>
        </w:tc>
        <w:tc>
          <w:tcPr/>
          <w:p>
            <w:pPr>
              <w:pStyle w:val="Compact"/>
              <w:jc w:val="left"/>
            </w:pPr>
            <w:r>
              <w:rPr>
                <w:bCs/>
                <w:b/>
              </w:rPr>
              <w:t xml:space="preserve">72 hrs</w:t>
            </w:r>
          </w:p>
        </w:tc>
      </w:tr>
      <w:tr>
        <w:tc>
          <w:tcPr/>
          <w:p>
            <w:pPr>
              <w:pStyle w:val="Compact"/>
              <w:jc w:val="left"/>
            </w:pPr>
            <w:r>
              <w:t xml:space="preserve">Scenario execution (batch runs)</w:t>
            </w:r>
          </w:p>
        </w:tc>
        <w:tc>
          <w:tcPr/>
          <w:p>
            <w:pPr>
              <w:pStyle w:val="Compact"/>
              <w:jc w:val="left"/>
            </w:pPr>
            <w:r>
              <w:t xml:space="preserve">24 hrs/cycle</w:t>
            </w:r>
          </w:p>
        </w:tc>
        <w:tc>
          <w:tcPr/>
          <w:p>
            <w:pPr>
              <w:pStyle w:val="Compact"/>
              <w:jc w:val="left"/>
            </w:pPr>
            <w:r>
              <w:t xml:space="preserve">2 hrs/cycle</w:t>
            </w:r>
          </w:p>
        </w:tc>
        <w:tc>
          <w:tcPr/>
          <w:p>
            <w:pPr>
              <w:pStyle w:val="Compact"/>
              <w:jc w:val="left"/>
            </w:pPr>
            <w:r>
              <w:rPr>
                <w:bCs/>
                <w:b/>
              </w:rPr>
              <w:t xml:space="preserve">22 hrs</w:t>
            </w:r>
          </w:p>
        </w:tc>
      </w:tr>
      <w:tr>
        <w:tc>
          <w:tcPr/>
          <w:p>
            <w:pPr>
              <w:pStyle w:val="Compact"/>
              <w:jc w:val="left"/>
            </w:pPr>
            <w:r>
              <w:t xml:space="preserve">Portfolio model validation</w:t>
            </w:r>
          </w:p>
        </w:tc>
        <w:tc>
          <w:tcPr/>
          <w:p>
            <w:pPr>
              <w:pStyle w:val="Compact"/>
              <w:jc w:val="left"/>
            </w:pPr>
            <w:r>
              <w:t xml:space="preserve">16 hrs/cycle</w:t>
            </w:r>
          </w:p>
        </w:tc>
        <w:tc>
          <w:tcPr/>
          <w:p>
            <w:pPr>
              <w:pStyle w:val="Compact"/>
              <w:jc w:val="left"/>
            </w:pPr>
            <w:r>
              <w:t xml:space="preserve">4 hrs/cycle</w:t>
            </w:r>
          </w:p>
        </w:tc>
        <w:tc>
          <w:tcPr/>
          <w:p>
            <w:pPr>
              <w:pStyle w:val="Compact"/>
              <w:jc w:val="left"/>
            </w:pPr>
            <w:r>
              <w:rPr>
                <w:bCs/>
                <w:b/>
              </w:rPr>
              <w:t xml:space="preserve">12 hrs</w:t>
            </w:r>
          </w:p>
        </w:tc>
      </w:tr>
      <w:tr>
        <w:tc>
          <w:tcPr/>
          <w:p>
            <w:pPr>
              <w:pStyle w:val="Compact"/>
              <w:jc w:val="left"/>
            </w:pPr>
            <w:r>
              <w:t xml:space="preserve">Report generation (Risk/CRO)</w:t>
            </w:r>
          </w:p>
        </w:tc>
        <w:tc>
          <w:tcPr/>
          <w:p>
            <w:pPr>
              <w:pStyle w:val="Compact"/>
              <w:jc w:val="left"/>
            </w:pPr>
            <w:r>
              <w:t xml:space="preserve">60 hrs/cycle</w:t>
            </w:r>
          </w:p>
        </w:tc>
        <w:tc>
          <w:tcPr/>
          <w:p>
            <w:pPr>
              <w:pStyle w:val="Compact"/>
              <w:jc w:val="left"/>
            </w:pPr>
            <w:r>
              <w:t xml:space="preserve">4 hrs/cycle</w:t>
            </w:r>
          </w:p>
        </w:tc>
        <w:tc>
          <w:tcPr/>
          <w:p>
            <w:pPr>
              <w:pStyle w:val="Compact"/>
              <w:jc w:val="left"/>
            </w:pPr>
            <w:r>
              <w:rPr>
                <w:bCs/>
                <w:b/>
              </w:rPr>
              <w:t xml:space="preserve">56 hrs</w:t>
            </w:r>
          </w:p>
        </w:tc>
      </w:tr>
      <w:tr>
        <w:tc>
          <w:tcPr/>
          <w:p>
            <w:pPr>
              <w:pStyle w:val="Compact"/>
              <w:jc w:val="left"/>
            </w:pPr>
            <w:r>
              <w:t xml:space="preserve">Regulatory submission preparation</w:t>
            </w:r>
          </w:p>
        </w:tc>
        <w:tc>
          <w:tcPr/>
          <w:p>
            <w:pPr>
              <w:pStyle w:val="Compact"/>
              <w:jc w:val="left"/>
            </w:pPr>
            <w:r>
              <w:t xml:space="preserve">40 hrs/cycle</w:t>
            </w:r>
          </w:p>
        </w:tc>
        <w:tc>
          <w:tcPr/>
          <w:p>
            <w:pPr>
              <w:pStyle w:val="Compact"/>
              <w:jc w:val="left"/>
            </w:pPr>
            <w:r>
              <w:t xml:space="preserve">6 hrs/cycle</w:t>
            </w:r>
          </w:p>
        </w:tc>
        <w:tc>
          <w:tcPr/>
          <w:p>
            <w:pPr>
              <w:pStyle w:val="Compact"/>
              <w:jc w:val="left"/>
            </w:pPr>
            <w:r>
              <w:rPr>
                <w:bCs/>
                <w:b/>
              </w:rPr>
              <w:t xml:space="preserve">34 hrs</w:t>
            </w:r>
          </w:p>
        </w:tc>
      </w:tr>
      <w:tr>
        <w:tc>
          <w:tcPr/>
          <w:p>
            <w:pPr>
              <w:pStyle w:val="Compact"/>
              <w:jc w:val="left"/>
            </w:pPr>
            <w:r>
              <w:rPr>
                <w:bCs/>
                <w:b/>
              </w:rPr>
              <w:t xml:space="preserve">Total per cycle</w:t>
            </w:r>
          </w:p>
        </w:tc>
        <w:tc>
          <w:tcPr/>
          <w:p>
            <w:pPr>
              <w:pStyle w:val="Compact"/>
              <w:jc w:val="left"/>
            </w:pPr>
            <w:r>
              <w:rPr>
                <w:bCs/>
                <w:b/>
              </w:rPr>
              <w:t xml:space="preserve">260 hrs</w:t>
            </w:r>
          </w:p>
        </w:tc>
        <w:tc>
          <w:tcPr/>
          <w:p>
            <w:pPr>
              <w:pStyle w:val="Compact"/>
              <w:jc w:val="left"/>
            </w:pPr>
            <w:r>
              <w:rPr>
                <w:bCs/>
                <w:b/>
              </w:rPr>
              <w:t xml:space="preserve">26 hrs</w:t>
            </w:r>
          </w:p>
        </w:tc>
        <w:tc>
          <w:tcPr/>
          <w:p>
            <w:pPr>
              <w:pStyle w:val="Compact"/>
              <w:jc w:val="left"/>
            </w:pPr>
            <w:r>
              <w:rPr>
                <w:bCs/>
                <w:b/>
              </w:rPr>
              <w:t xml:space="preserve">234 hrs (90%)</w:t>
            </w:r>
          </w:p>
        </w:tc>
      </w:tr>
      <w:tr>
        <w:tc>
          <w:tcPr/>
          <w:p>
            <w:pPr>
              <w:pStyle w:val="Compact"/>
              <w:jc w:val="left"/>
            </w:pPr>
            <w:r>
              <w:rPr>
                <w:bCs/>
                <w:b/>
              </w:rPr>
              <w:t xml:space="preserve">Annual (4 cycles)</w:t>
            </w:r>
          </w:p>
        </w:tc>
        <w:tc>
          <w:tcPr/>
          <w:p>
            <w:pPr>
              <w:pStyle w:val="Compact"/>
              <w:jc w:val="left"/>
            </w:pPr>
            <w:r>
              <w:rPr>
                <w:bCs/>
                <w:b/>
              </w:rPr>
              <w:t xml:space="preserve">1,040 hrs</w:t>
            </w:r>
          </w:p>
        </w:tc>
        <w:tc>
          <w:tcPr/>
          <w:p>
            <w:pPr>
              <w:pStyle w:val="Compact"/>
              <w:jc w:val="left"/>
            </w:pPr>
            <w:r>
              <w:rPr>
                <w:bCs/>
                <w:b/>
              </w:rPr>
              <w:t xml:space="preserve">104 hrs</w:t>
            </w:r>
          </w:p>
        </w:tc>
        <w:tc>
          <w:tcPr/>
          <w:p>
            <w:pPr>
              <w:pStyle w:val="Compact"/>
              <w:jc w:val="left"/>
            </w:pPr>
            <w:r>
              <w:rPr>
                <w:bCs/>
                <w:b/>
              </w:rPr>
              <w:t xml:space="preserve">936 hrs</w:t>
            </w:r>
          </w:p>
        </w:tc>
      </w:tr>
    </w:tbl>
    <w:bookmarkEnd w:id="29"/>
    <w:bookmarkStart w:id="30" w:name="c.-cost-savings-model-annual-ing-scale"/>
    <w:p>
      <w:pPr>
        <w:pStyle w:val="Heading3"/>
      </w:pPr>
      <w:r>
        <w:t xml:space="preserve">4c. Cost Savings Model (Annual, ING Scale)</w:t>
      </w:r>
    </w:p>
    <w:tbl>
      <w:tblPr>
        <w:tblStyle w:val="Table"/>
        <w:tblW w:type="pct" w:w="5000"/>
        <w:tblLook w:firstRow="1" w:lastRow="0" w:firstColumn="0" w:lastColumn="0" w:noHBand="0" w:noVBand="0" w:val="0020"/>
        <w:jc w:val="start"/>
      </w:tblPr>
      <w:tblGrid>
        <w:gridCol w:w="1680"/>
        <w:gridCol w:w="2400"/>
        <w:gridCol w:w="2040"/>
        <w:gridCol w:w="1800"/>
      </w:tblGrid>
      <w:tr>
        <w:trPr>
          <w:tblHeader w:val="true"/>
        </w:trPr>
        <w:tc>
          <w:tcPr/>
          <w:p>
            <w:pPr>
              <w:pStyle w:val="Compact"/>
              <w:jc w:val="left"/>
            </w:pPr>
            <w:r>
              <w:t xml:space="preserve">Cost Category</w:t>
            </w:r>
          </w:p>
        </w:tc>
        <w:tc>
          <w:tcPr/>
          <w:p>
            <w:pPr>
              <w:pStyle w:val="Compact"/>
              <w:jc w:val="left"/>
            </w:pPr>
            <w:r>
              <w:t xml:space="preserve">Current Annual Cost</w:t>
            </w:r>
          </w:p>
        </w:tc>
        <w:tc>
          <w:tcPr/>
          <w:p>
            <w:pPr>
              <w:pStyle w:val="Compact"/>
              <w:jc w:val="left"/>
            </w:pPr>
            <w:r>
              <w:t xml:space="preserve">With StressLess</w:t>
            </w:r>
          </w:p>
        </w:tc>
        <w:tc>
          <w:tcPr/>
          <w:p>
            <w:pPr>
              <w:pStyle w:val="Compact"/>
              <w:jc w:val="right"/>
            </w:pPr>
            <w:r>
              <w:t xml:space="preserve">Annual Saving</w:t>
            </w:r>
          </w:p>
        </w:tc>
      </w:tr>
      <w:tr>
        <w:tc>
          <w:tcPr/>
          <w:p>
            <w:pPr>
              <w:pStyle w:val="Compact"/>
              <w:jc w:val="left"/>
            </w:pPr>
            <w:r>
              <w:t xml:space="preserve">Risk Analyst FTE cost (8.5 FTE @ €120K avg)</w:t>
            </w:r>
          </w:p>
        </w:tc>
        <w:tc>
          <w:tcPr/>
          <w:p>
            <w:pPr>
              <w:pStyle w:val="Compact"/>
              <w:jc w:val="left"/>
            </w:pPr>
            <w:r>
              <w:t xml:space="preserve">€1,020,000</w:t>
            </w:r>
          </w:p>
        </w:tc>
        <w:tc>
          <w:tcPr/>
          <w:p>
            <w:pPr>
              <w:pStyle w:val="Compact"/>
              <w:jc w:val="left"/>
            </w:pPr>
            <w:r>
              <w:t xml:space="preserve">€180,000</w:t>
            </w:r>
          </w:p>
        </w:tc>
        <w:tc>
          <w:tcPr/>
          <w:p>
            <w:pPr>
              <w:pStyle w:val="Compact"/>
              <w:jc w:val="right"/>
            </w:pPr>
            <w:r>
              <w:rPr>
                <w:bCs/>
                <w:b/>
              </w:rPr>
              <w:t xml:space="preserve">€840,000</w:t>
            </w:r>
          </w:p>
        </w:tc>
      </w:tr>
      <w:tr>
        <w:tc>
          <w:tcPr/>
          <w:p>
            <w:pPr>
              <w:pStyle w:val="Compact"/>
              <w:jc w:val="left"/>
            </w:pPr>
            <w:r>
              <w:t xml:space="preserve">Vendor tool licensing (Bloomberg PORT, Moody’s)</w:t>
            </w:r>
          </w:p>
        </w:tc>
        <w:tc>
          <w:tcPr/>
          <w:p>
            <w:pPr>
              <w:pStyle w:val="Compact"/>
              <w:jc w:val="left"/>
            </w:pPr>
            <w:r>
              <w:t xml:space="preserve">€350,000</w:t>
            </w:r>
          </w:p>
        </w:tc>
        <w:tc>
          <w:tcPr/>
          <w:p>
            <w:pPr>
              <w:pStyle w:val="Compact"/>
              <w:jc w:val="left"/>
            </w:pPr>
            <w:r>
              <w:t xml:space="preserve">€80,000</w:t>
            </w:r>
          </w:p>
        </w:tc>
        <w:tc>
          <w:tcPr/>
          <w:p>
            <w:pPr>
              <w:pStyle w:val="Compact"/>
              <w:jc w:val="right"/>
            </w:pPr>
            <w:r>
              <w:rPr>
                <w:bCs/>
                <w:b/>
              </w:rPr>
              <w:t xml:space="preserve">€270,000</w:t>
            </w:r>
          </w:p>
        </w:tc>
      </w:tr>
      <w:tr>
        <w:tc>
          <w:tcPr/>
          <w:p>
            <w:pPr>
              <w:pStyle w:val="Compact"/>
              <w:jc w:val="left"/>
            </w:pPr>
            <w:r>
              <w:t xml:space="preserve">Infrastructure (on-prem batch compute)</w:t>
            </w:r>
          </w:p>
        </w:tc>
        <w:tc>
          <w:tcPr/>
          <w:p>
            <w:pPr>
              <w:pStyle w:val="Compact"/>
              <w:jc w:val="left"/>
            </w:pPr>
            <w:r>
              <w:t xml:space="preserve">€200,000</w:t>
            </w:r>
          </w:p>
        </w:tc>
        <w:tc>
          <w:tcPr/>
          <w:p>
            <w:pPr>
              <w:pStyle w:val="Compact"/>
              <w:jc w:val="left"/>
            </w:pPr>
            <w:r>
              <w:t xml:space="preserve">€60,000</w:t>
            </w:r>
          </w:p>
        </w:tc>
        <w:tc>
          <w:tcPr/>
          <w:p>
            <w:pPr>
              <w:pStyle w:val="Compact"/>
              <w:jc w:val="right"/>
            </w:pPr>
            <w:r>
              <w:rPr>
                <w:bCs/>
                <w:b/>
              </w:rPr>
              <w:t xml:space="preserve">€140,000</w:t>
            </w:r>
          </w:p>
        </w:tc>
      </w:tr>
      <w:tr>
        <w:tc>
          <w:tcPr/>
          <w:p>
            <w:pPr>
              <w:pStyle w:val="Compact"/>
              <w:jc w:val="left"/>
            </w:pPr>
            <w:r>
              <w:t xml:space="preserve">Regulatory penalty risk mitigation (estimated)</w:t>
            </w:r>
          </w:p>
        </w:tc>
        <w:tc>
          <w:tcPr/>
          <w:p>
            <w:pPr>
              <w:pStyle w:val="Compact"/>
              <w:jc w:val="left"/>
            </w:pPr>
            <w:r>
              <w:t xml:space="preserve">€500,000</w:t>
            </w:r>
          </w:p>
        </w:tc>
        <w:tc>
          <w:tcPr/>
          <w:p>
            <w:pPr>
              <w:pStyle w:val="Compact"/>
              <w:jc w:val="left"/>
            </w:pPr>
            <w:r>
              <w:t xml:space="preserve">€50,000</w:t>
            </w:r>
          </w:p>
        </w:tc>
        <w:tc>
          <w:tcPr/>
          <w:p>
            <w:pPr>
              <w:pStyle w:val="Compact"/>
              <w:jc w:val="right"/>
            </w:pPr>
            <w:r>
              <w:rPr>
                <w:bCs/>
                <w:b/>
              </w:rPr>
              <w:t xml:space="preserve">€450,000</w:t>
            </w:r>
          </w:p>
        </w:tc>
      </w:tr>
      <w:tr>
        <w:tc>
          <w:tcPr/>
          <w:p>
            <w:pPr>
              <w:pStyle w:val="Compact"/>
              <w:jc w:val="left"/>
            </w:pPr>
            <w:r>
              <w:t xml:space="preserve">External consultant fees for EBA submissions</w:t>
            </w:r>
          </w:p>
        </w:tc>
        <w:tc>
          <w:tcPr/>
          <w:p>
            <w:pPr>
              <w:pStyle w:val="Compact"/>
              <w:jc w:val="left"/>
            </w:pPr>
            <w:r>
              <w:t xml:space="preserve">€300,000</w:t>
            </w:r>
          </w:p>
        </w:tc>
        <w:tc>
          <w:tcPr/>
          <w:p>
            <w:pPr>
              <w:pStyle w:val="Compact"/>
              <w:jc w:val="left"/>
            </w:pPr>
            <w:r>
              <w:t xml:space="preserve">€30,000</w:t>
            </w:r>
          </w:p>
        </w:tc>
        <w:tc>
          <w:tcPr/>
          <w:p>
            <w:pPr>
              <w:pStyle w:val="Compact"/>
              <w:jc w:val="right"/>
            </w:pPr>
            <w:r>
              <w:rPr>
                <w:bCs/>
                <w:b/>
              </w:rPr>
              <w:t xml:space="preserve">€270,000</w:t>
            </w:r>
          </w:p>
        </w:tc>
      </w:tr>
      <w:tr>
        <w:tc>
          <w:tcPr/>
          <w:p>
            <w:pPr>
              <w:pStyle w:val="Compact"/>
              <w:jc w:val="left"/>
            </w:pPr>
            <w:r>
              <w:rPr>
                <w:bCs/>
                <w:b/>
              </w:rPr>
              <w:t xml:space="preserve">Total Annual Saving</w:t>
            </w:r>
          </w:p>
        </w:tc>
        <w:tc>
          <w:tcPr/>
          <w:p>
            <w:pPr>
              <w:pStyle w:val="Compact"/>
            </w:pPr>
          </w:p>
        </w:tc>
        <w:tc>
          <w:tcPr/>
          <w:p>
            <w:pPr>
              <w:pStyle w:val="Compact"/>
            </w:pPr>
          </w:p>
        </w:tc>
        <w:tc>
          <w:tcPr/>
          <w:p>
            <w:pPr>
              <w:pStyle w:val="Compact"/>
              <w:jc w:val="right"/>
            </w:pPr>
            <w:r>
              <w:rPr>
                <w:bCs/>
                <w:b/>
              </w:rPr>
              <w:t xml:space="preserve">€1,970,000</w:t>
            </w:r>
          </w:p>
        </w:tc>
      </w:tr>
    </w:tbl>
    <w:p>
      <w:pPr>
        <w:pStyle w:val="BlockText"/>
      </w:pPr>
      <w:r>
        <w:rPr>
          <w:bCs/>
          <w:b/>
        </w:rPr>
        <w:t xml:space="preserve">3-Year ROI</w:t>
      </w:r>
      <w:r>
        <w:t xml:space="preserve">: Assuming StressLess platform cost of €600K/year (Enterprise tier), net saving =</w:t>
      </w:r>
      <w:r>
        <w:t xml:space="preserve"> </w:t>
      </w:r>
      <w:r>
        <w:rPr>
          <w:bCs/>
          <w:b/>
        </w:rPr>
        <w:t xml:space="preserve">€4.1M over 3 years</w:t>
      </w:r>
      <w:r>
        <w:t xml:space="preserve">.</w:t>
      </w:r>
    </w:p>
    <w:bookmarkEnd w:id="30"/>
    <w:bookmarkStart w:id="31" w:name="d.-productivity-boosters"/>
    <w:p>
      <w:pPr>
        <w:pStyle w:val="Heading3"/>
      </w:pPr>
      <w:r>
        <w:t xml:space="preserve">4d. Productivity Boosters</w:t>
      </w:r>
    </w:p>
    <w:tbl>
      <w:tblPr>
        <w:tblStyle w:val="Table"/>
        <w:tblW w:type="pct" w:w="5000"/>
        <w:tblLook w:firstRow="1" w:lastRow="0" w:firstColumn="0" w:lastColumn="0" w:noHBand="0" w:noVBand="0" w:val="0020"/>
        <w:jc w:val="start"/>
      </w:tblPr>
      <w:tblGrid>
        <w:gridCol w:w="2489"/>
        <w:gridCol w:w="1810"/>
        <w:gridCol w:w="1584"/>
        <w:gridCol w:w="2036"/>
      </w:tblGrid>
      <w:tr>
        <w:trPr>
          <w:tblHeader w:val="true"/>
        </w:trPr>
        <w:tc>
          <w:tcPr/>
          <w:p>
            <w:pPr>
              <w:pStyle w:val="Compact"/>
              <w:jc w:val="left"/>
            </w:pPr>
            <w:r>
              <w:t xml:space="preserve">Capability</w:t>
            </w:r>
          </w:p>
        </w:tc>
        <w:tc>
          <w:tcPr/>
          <w:p>
            <w:pPr>
              <w:pStyle w:val="Compact"/>
              <w:jc w:val="left"/>
            </w:pPr>
            <w:r>
              <w:t xml:space="preserve">Before</w:t>
            </w:r>
          </w:p>
        </w:tc>
        <w:tc>
          <w:tcPr/>
          <w:p>
            <w:pPr>
              <w:pStyle w:val="Compact"/>
              <w:jc w:val="left"/>
            </w:pPr>
            <w:r>
              <w:t xml:space="preserve">After</w:t>
            </w:r>
          </w:p>
        </w:tc>
        <w:tc>
          <w:tcPr/>
          <w:p>
            <w:pPr>
              <w:pStyle w:val="Compact"/>
              <w:jc w:val="left"/>
            </w:pPr>
            <w:r>
              <w:t xml:space="preserve">Booster</w:t>
            </w:r>
          </w:p>
        </w:tc>
      </w:tr>
      <w:tr>
        <w:tc>
          <w:tcPr/>
          <w:p>
            <w:pPr>
              <w:pStyle w:val="Compact"/>
              <w:jc w:val="left"/>
            </w:pPr>
            <w:r>
              <w:t xml:space="preserve">What-if scenario turnaround</w:t>
            </w:r>
          </w:p>
        </w:tc>
        <w:tc>
          <w:tcPr/>
          <w:p>
            <w:pPr>
              <w:pStyle w:val="Compact"/>
              <w:jc w:val="left"/>
            </w:pPr>
            <w:r>
              <w:t xml:space="preserve">3–5 business days</w:t>
            </w:r>
          </w:p>
        </w:tc>
        <w:tc>
          <w:tcPr/>
          <w:p>
            <w:pPr>
              <w:pStyle w:val="Compact"/>
              <w:jc w:val="left"/>
            </w:pPr>
            <w:r>
              <w:rPr>
                <w:bCs/>
                <w:b/>
              </w:rPr>
              <w:t xml:space="preserve">2–4 hours</w:t>
            </w:r>
          </w:p>
        </w:tc>
        <w:tc>
          <w:tcPr/>
          <w:p>
            <w:pPr>
              <w:pStyle w:val="Compact"/>
              <w:jc w:val="left"/>
            </w:pPr>
            <w:r>
              <w:t xml:space="preserve">10–15× faster</w:t>
            </w:r>
          </w:p>
        </w:tc>
      </w:tr>
      <w:tr>
        <w:tc>
          <w:tcPr/>
          <w:p>
            <w:pPr>
              <w:pStyle w:val="Compact"/>
              <w:jc w:val="left"/>
            </w:pPr>
            <w:r>
              <w:t xml:space="preserve">Real-time market shock reaction</w:t>
            </w:r>
          </w:p>
        </w:tc>
        <w:tc>
          <w:tcPr/>
          <w:p>
            <w:pPr>
              <w:pStyle w:val="Compact"/>
              <w:jc w:val="left"/>
            </w:pPr>
            <w:r>
              <w:t xml:space="preserve">Retrospective only</w:t>
            </w:r>
          </w:p>
        </w:tc>
        <w:tc>
          <w:tcPr/>
          <w:p>
            <w:pPr>
              <w:pStyle w:val="Compact"/>
              <w:jc w:val="left"/>
            </w:pPr>
            <w:r>
              <w:rPr>
                <w:bCs/>
                <w:b/>
              </w:rPr>
              <w:t xml:space="preserve">Live, within minutes</w:t>
            </w:r>
          </w:p>
        </w:tc>
        <w:tc>
          <w:tcPr/>
          <w:p>
            <w:pPr>
              <w:pStyle w:val="Compact"/>
              <w:jc w:val="left"/>
            </w:pPr>
            <w:r>
              <w:t xml:space="preserve">Proactive risk posture</w:t>
            </w:r>
          </w:p>
        </w:tc>
      </w:tr>
      <w:tr>
        <w:tc>
          <w:tcPr/>
          <w:p>
            <w:pPr>
              <w:pStyle w:val="Compact"/>
              <w:jc w:val="left"/>
            </w:pPr>
            <w:r>
              <w:t xml:space="preserve">EBA/ECB scenario template update</w:t>
            </w:r>
          </w:p>
        </w:tc>
        <w:tc>
          <w:tcPr/>
          <w:p>
            <w:pPr>
              <w:pStyle w:val="Compact"/>
              <w:jc w:val="left"/>
            </w:pPr>
            <w:r>
              <w:t xml:space="preserve">Manual, weeks</w:t>
            </w:r>
          </w:p>
        </w:tc>
        <w:tc>
          <w:tcPr/>
          <w:p>
            <w:pPr>
              <w:pStyle w:val="Compact"/>
              <w:jc w:val="left"/>
            </w:pPr>
            <w:r>
              <w:rPr>
                <w:bCs/>
                <w:b/>
              </w:rPr>
              <w:t xml:space="preserve">Auto-ingested, same day</w:t>
            </w:r>
          </w:p>
        </w:tc>
        <w:tc>
          <w:tcPr/>
          <w:p>
            <w:pPr>
              <w:pStyle w:val="Compact"/>
              <w:jc w:val="left"/>
            </w:pPr>
            <w:r>
              <w:t xml:space="preserve">Near-zero latency</w:t>
            </w:r>
          </w:p>
        </w:tc>
      </w:tr>
      <w:tr>
        <w:tc>
          <w:tcPr/>
          <w:p>
            <w:pPr>
              <w:pStyle w:val="Compact"/>
              <w:jc w:val="left"/>
            </w:pPr>
            <w:r>
              <w:t xml:space="preserve">CRO stress test briefing preparation</w:t>
            </w:r>
          </w:p>
        </w:tc>
        <w:tc>
          <w:tcPr/>
          <w:p>
            <w:pPr>
              <w:pStyle w:val="Compact"/>
              <w:jc w:val="left"/>
            </w:pPr>
            <w:r>
              <w:t xml:space="preserve">2 weeks</w:t>
            </w:r>
          </w:p>
        </w:tc>
        <w:tc>
          <w:tcPr/>
          <w:p>
            <w:pPr>
              <w:pStyle w:val="Compact"/>
              <w:jc w:val="left"/>
            </w:pPr>
            <w:r>
              <w:rPr>
                <w:bCs/>
                <w:b/>
              </w:rPr>
              <w:t xml:space="preserve">4 hours</w:t>
            </w:r>
          </w:p>
        </w:tc>
        <w:tc>
          <w:tcPr/>
          <w:p>
            <w:pPr>
              <w:pStyle w:val="Compact"/>
              <w:jc w:val="left"/>
            </w:pPr>
            <w:r>
              <w:t xml:space="preserve">20× faster</w:t>
            </w:r>
          </w:p>
        </w:tc>
      </w:tr>
      <w:tr>
        <w:tc>
          <w:tcPr/>
          <w:p>
            <w:pPr>
              <w:pStyle w:val="Compact"/>
              <w:jc w:val="left"/>
            </w:pPr>
            <w:r>
              <w:t xml:space="preserve">New analyst onboarding to stress testing</w:t>
            </w:r>
          </w:p>
        </w:tc>
        <w:tc>
          <w:tcPr/>
          <w:p>
            <w:pPr>
              <w:pStyle w:val="Compact"/>
              <w:jc w:val="left"/>
            </w:pPr>
            <w:r>
              <w:t xml:space="preserve">3–6 months</w:t>
            </w:r>
          </w:p>
        </w:tc>
        <w:tc>
          <w:tcPr/>
          <w:p>
            <w:pPr>
              <w:pStyle w:val="Compact"/>
              <w:jc w:val="left"/>
            </w:pPr>
            <w:r>
              <w:rPr>
                <w:bCs/>
                <w:b/>
              </w:rPr>
              <w:t xml:space="preserve">2–4 weeks</w:t>
            </w:r>
            <w:r>
              <w:t xml:space="preserve"> </w:t>
            </w:r>
            <w:r>
              <w:t xml:space="preserve">(guided LLM interface)</w:t>
            </w:r>
          </w:p>
        </w:tc>
        <w:tc>
          <w:tcPr/>
          <w:p>
            <w:pPr>
              <w:pStyle w:val="Compact"/>
              <w:jc w:val="left"/>
            </w:pPr>
            <w:r>
              <w:t xml:space="preserve">5× faster ramp-up</w:t>
            </w:r>
          </w:p>
        </w:tc>
      </w:tr>
      <w:tr>
        <w:tc>
          <w:tcPr/>
          <w:p>
            <w:pPr>
              <w:pStyle w:val="Compact"/>
              <w:jc w:val="left"/>
            </w:pPr>
            <w:r>
              <w:t xml:space="preserve">Backtesting new scenario methodology</w:t>
            </w:r>
          </w:p>
        </w:tc>
        <w:tc>
          <w:tcPr/>
          <w:p>
            <w:pPr>
              <w:pStyle w:val="Compact"/>
              <w:jc w:val="left"/>
            </w:pPr>
            <w:r>
              <w:t xml:space="preserve">Ad hoc, months</w:t>
            </w:r>
          </w:p>
        </w:tc>
        <w:tc>
          <w:tcPr/>
          <w:p>
            <w:pPr>
              <w:pStyle w:val="Compact"/>
              <w:jc w:val="left"/>
            </w:pPr>
            <w:r>
              <w:rPr>
                <w:bCs/>
                <w:b/>
              </w:rPr>
              <w:t xml:space="preserve">Automated, days</w:t>
            </w:r>
          </w:p>
        </w:tc>
        <w:tc>
          <w:tcPr/>
          <w:p>
            <w:pPr>
              <w:pStyle w:val="Compact"/>
              <w:jc w:val="left"/>
            </w:pPr>
            <w:r>
              <w:t xml:space="preserve">Continuous improvement loop</w:t>
            </w:r>
          </w:p>
        </w:tc>
      </w:tr>
    </w:tbl>
    <w:p>
      <w:r>
        <w:pict>
          <v:rect style="width:0;height:1.5pt" o:hralign="center" o:hrstd="t" o:hr="t"/>
        </w:pict>
      </w:r>
    </w:p>
    <w:bookmarkEnd w:id="31"/>
    <w:bookmarkEnd w:id="32"/>
    <w:bookmarkStart w:id="35" w:name="X63339b3f38d51e1f7d30fb3cdf041a0a0f3d583"/>
    <w:p>
      <w:pPr>
        <w:pStyle w:val="Heading2"/>
      </w:pPr>
      <w:r>
        <w:t xml:space="preserve">5. Unique Differentiators vs. Regulated Market Tools</w:t>
      </w:r>
    </w:p>
    <w:bookmarkStart w:id="33" w:name="competitive-scorecard"/>
    <w:p>
      <w:pPr>
        <w:pStyle w:val="Heading3"/>
      </w:pPr>
      <w:r>
        <w:t xml:space="preserve">Competitive Scorecard</w:t>
      </w:r>
    </w:p>
    <w:tbl>
      <w:tblPr>
        <w:tblStyle w:val="Table"/>
        <w:tblW w:type="pct" w:w="5000"/>
        <w:tblLook w:firstRow="1" w:lastRow="0" w:firstColumn="0" w:lastColumn="0" w:noHBand="0" w:noVBand="0" w:val="0020"/>
        <w:jc w:val="start"/>
      </w:tblPr>
      <w:tblGrid>
        <w:gridCol w:w="1177"/>
        <w:gridCol w:w="1284"/>
        <w:gridCol w:w="1712"/>
        <w:gridCol w:w="1391"/>
        <w:gridCol w:w="963"/>
        <w:gridCol w:w="1391"/>
      </w:tblGrid>
      <w:tr>
        <w:trPr>
          <w:tblHeader w:val="true"/>
        </w:trPr>
        <w:tc>
          <w:tcPr/>
          <w:p>
            <w:pPr>
              <w:pStyle w:val="Compact"/>
              <w:jc w:val="left"/>
            </w:pPr>
            <w:r>
              <w:t xml:space="preserve">Capability</w:t>
            </w:r>
          </w:p>
        </w:tc>
        <w:tc>
          <w:tcPr/>
          <w:p>
            <w:pPr>
              <w:pStyle w:val="Compact"/>
              <w:jc w:val="center"/>
            </w:pPr>
            <w:r>
              <w:t xml:space="preserve">StressLess</w:t>
            </w:r>
          </w:p>
        </w:tc>
        <w:tc>
          <w:tcPr/>
          <w:p>
            <w:pPr>
              <w:pStyle w:val="Compact"/>
              <w:jc w:val="center"/>
            </w:pPr>
            <w:r>
              <w:t xml:space="preserve">Bloomberg PORT</w:t>
            </w:r>
          </w:p>
        </w:tc>
        <w:tc>
          <w:tcPr/>
          <w:p>
            <w:pPr>
              <w:pStyle w:val="Compact"/>
              <w:jc w:val="center"/>
            </w:pPr>
            <w:r>
              <w:t xml:space="preserve">Moody’s RMS</w:t>
            </w:r>
          </w:p>
        </w:tc>
        <w:tc>
          <w:tcPr/>
          <w:p>
            <w:pPr>
              <w:pStyle w:val="Compact"/>
              <w:jc w:val="center"/>
            </w:pPr>
            <w:r>
              <w:t xml:space="preserve">Intrado</w:t>
            </w:r>
          </w:p>
        </w:tc>
        <w:tc>
          <w:tcPr/>
          <w:p>
            <w:pPr>
              <w:pStyle w:val="Compact"/>
              <w:jc w:val="center"/>
            </w:pPr>
            <w:r>
              <w:t xml:space="preserve">Oracle FSS</w:t>
            </w:r>
          </w:p>
        </w:tc>
      </w:tr>
      <w:tr>
        <w:tc>
          <w:tcPr/>
          <w:p>
            <w:pPr>
              <w:pStyle w:val="Compact"/>
              <w:jc w:val="left"/>
            </w:pPr>
            <w:r>
              <w:t xml:space="preserve">Real-time AI market signal ingestion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LLM-driven natural language scenario design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Human-in-the-Loop (HITL) scenario refinement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Partial</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Pluggable proprietary model injection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Partial</w:t>
            </w:r>
          </w:p>
        </w:tc>
      </w:tr>
      <w:tr>
        <w:tc>
          <w:tcPr/>
          <w:p>
            <w:pPr>
              <w:pStyle w:val="Compact"/>
              <w:jc w:val="left"/>
            </w:pPr>
            <w:r>
              <w:t xml:space="preserve">Explainable AI audit trail (regulatory-grade)</w:t>
            </w:r>
          </w:p>
        </w:tc>
        <w:tc>
          <w:tcPr/>
          <w:p>
            <w:pPr>
              <w:pStyle w:val="Compact"/>
              <w:jc w:val="center"/>
            </w:pPr>
            <w:r>
              <w:t xml:space="preserve">✅</w:t>
            </w:r>
          </w:p>
        </w:tc>
        <w:tc>
          <w:tcPr/>
          <w:p>
            <w:pPr>
              <w:pStyle w:val="Compact"/>
              <w:jc w:val="center"/>
            </w:pPr>
            <w:r>
              <w:t xml:space="preserve">Partial</w:t>
            </w:r>
          </w:p>
        </w:tc>
        <w:tc>
          <w:tcPr/>
          <w:p>
            <w:pPr>
              <w:pStyle w:val="Compact"/>
              <w:jc w:val="center"/>
            </w:pPr>
            <w:r>
              <w:t xml:space="preserve">Partial</w:t>
            </w:r>
          </w:p>
        </w:tc>
        <w:tc>
          <w:tcPr/>
          <w:p>
            <w:pPr>
              <w:pStyle w:val="Compact"/>
              <w:jc w:val="center"/>
            </w:pPr>
            <w:r>
              <w:t xml:space="preserve">❌</w:t>
            </w:r>
          </w:p>
        </w:tc>
        <w:tc>
          <w:tcPr/>
          <w:p>
            <w:pPr>
              <w:pStyle w:val="Compact"/>
              <w:jc w:val="center"/>
            </w:pPr>
            <w:r>
              <w:t xml:space="preserve">Partial</w:t>
            </w:r>
          </w:p>
        </w:tc>
      </w:tr>
      <w:tr>
        <w:tc>
          <w:tcPr/>
          <w:p>
            <w:pPr>
              <w:pStyle w:val="Compact"/>
              <w:jc w:val="left"/>
            </w:pPr>
            <w:r>
              <w:t xml:space="preserve">Synthetic data generation for safe testing</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Component/microservice exposure (API-first)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Regulatory Scenario Library (Basel/CCAR/ICAAP)</w:t>
            </w:r>
          </w:p>
        </w:tc>
        <w:tc>
          <w:tcPr/>
          <w:p>
            <w:pPr>
              <w:pStyle w:val="Compact"/>
              <w:jc w:val="center"/>
            </w:pPr>
            <w:r>
              <w:t xml:space="preserve">✅</w:t>
            </w:r>
          </w:p>
        </w:tc>
        <w:tc>
          <w:tcPr/>
          <w:p>
            <w:pPr>
              <w:pStyle w:val="Compact"/>
              <w:jc w:val="center"/>
            </w:pPr>
            <w:r>
              <w:t xml:space="preserve">Partial</w:t>
            </w:r>
          </w:p>
        </w:tc>
        <w:tc>
          <w:tcPr/>
          <w:p>
            <w:pPr>
              <w:pStyle w:val="Compact"/>
              <w:jc w:val="center"/>
            </w:pPr>
            <w:r>
              <w:t xml:space="preserve">✅</w:t>
            </w:r>
          </w:p>
        </w:tc>
        <w:tc>
          <w:tcPr/>
          <w:p>
            <w:pPr>
              <w:pStyle w:val="Compact"/>
              <w:jc w:val="center"/>
            </w:pPr>
            <w:r>
              <w:t xml:space="preserve">❌</w:t>
            </w:r>
          </w:p>
        </w:tc>
        <w:tc>
          <w:tcPr/>
          <w:p>
            <w:pPr>
              <w:pStyle w:val="Compact"/>
              <w:jc w:val="center"/>
            </w:pPr>
            <w:r>
              <w:t xml:space="preserve">Partial</w:t>
            </w:r>
          </w:p>
        </w:tc>
      </w:tr>
      <w:tr>
        <w:tc>
          <w:tcPr/>
          <w:p>
            <w:pPr>
              <w:pStyle w:val="Compact"/>
              <w:jc w:val="left"/>
            </w:pPr>
            <w:r>
              <w:t xml:space="preserve">Counterparty risk LLM narrative dashboard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LCR/NSFR automated calculator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Partial</w:t>
            </w:r>
          </w:p>
        </w:tc>
        <w:tc>
          <w:tcPr/>
          <w:p>
            <w:pPr>
              <w:pStyle w:val="Compact"/>
              <w:jc w:val="center"/>
            </w:pPr>
            <w:r>
              <w:t xml:space="preserve">❌</w:t>
            </w:r>
          </w:p>
        </w:tc>
        <w:tc>
          <w:tcPr/>
          <w:p>
            <w:pPr>
              <w:pStyle w:val="Compact"/>
              <w:jc w:val="center"/>
            </w:pPr>
            <w:r>
              <w:t xml:space="preserve">Partial</w:t>
            </w:r>
          </w:p>
        </w:tc>
      </w:tr>
      <w:tr>
        <w:tc>
          <w:tcPr/>
          <w:p>
            <w:pPr>
              <w:pStyle w:val="Compact"/>
              <w:jc w:val="left"/>
            </w:pPr>
            <w:r>
              <w:t xml:space="preserve">Concentration risk AI analyzer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Model Validation Workbench (automated backtesting)</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bookmarkEnd w:id="33"/>
    <w:bookmarkStart w:id="34" w:name="X5346eb566a21f748a5661ddc7045a9fa280e989"/>
    <w:p>
      <w:pPr>
        <w:pStyle w:val="Heading3"/>
      </w:pPr>
      <w:r>
        <w:t xml:space="preserve">Top 5 Unique Pain Points StressLess Uniquely Solves</w:t>
      </w:r>
    </w:p>
    <w:p>
      <w:pPr>
        <w:numPr>
          <w:ilvl w:val="0"/>
          <w:numId w:val="1002"/>
        </w:numPr>
      </w:pPr>
      <w:r>
        <w:rPr>
          <w:bCs/>
          <w:b/>
        </w:rPr>
        <w:t xml:space="preserve">Novel Event Blindness</w:t>
      </w:r>
      <w:r>
        <w:t xml:space="preserve"> </w:t>
      </w:r>
      <w:r>
        <w:t xml:space="preserve">— Competitors rely on historical shock libraries. StressLess ingests live unstructured data (news, central bank communications, social signals) and uses NLP + LLMs to translate them into testable stress parameters — meaning ING can stress-test for an SVB-style bank run</w:t>
      </w:r>
      <w:r>
        <w:t xml:space="preserve"> </w:t>
      </w:r>
      <w:r>
        <w:rPr>
          <w:iCs/>
          <w:i/>
        </w:rPr>
        <w:t xml:space="preserve">as it’s unfolding</w:t>
      </w:r>
      <w:r>
        <w:t xml:space="preserve">, not 6 months later.</w:t>
      </w:r>
    </w:p>
    <w:p>
      <w:pPr>
        <w:numPr>
          <w:ilvl w:val="0"/>
          <w:numId w:val="1002"/>
        </w:numPr>
      </w:pPr>
      <w:r>
        <w:rPr>
          <w:bCs/>
          <w:b/>
        </w:rPr>
        <w:t xml:space="preserve">Scenario Plausibility Without Regulatory Guardrail Expertise</w:t>
      </w:r>
      <w:r>
        <w:t xml:space="preserve"> </w:t>
      </w:r>
      <w:r>
        <w:t xml:space="preserve">— Junior analysts cannot easily verify if a custom scenario violates EBA severity bounds. StressLess embeds AI guardrails that flag implausible parameter combinations against regulatory benchmarks, preventing submissions that could trigger supervisory scrutiny.</w:t>
      </w:r>
    </w:p>
    <w:p>
      <w:pPr>
        <w:numPr>
          <w:ilvl w:val="0"/>
          <w:numId w:val="1002"/>
        </w:numPr>
      </w:pPr>
      <w:r>
        <w:rPr>
          <w:bCs/>
          <w:b/>
        </w:rPr>
        <w:t xml:space="preserve">Proprietary Model Lock-in</w:t>
      </w:r>
      <w:r>
        <w:t xml:space="preserve"> </w:t>
      </w:r>
      <w:r>
        <w:t xml:space="preserve">— ING’s FRTB internal models, credit portfolio models, and ALM engines cannot be inserted into Bloomberg or Moody’s. StressLess’s pluggable execution layer accepts model microservices via standard API contracts, making ING’s own intellectual property the authoritative calculation engine.</w:t>
      </w:r>
    </w:p>
    <w:p>
      <w:pPr>
        <w:numPr>
          <w:ilvl w:val="0"/>
          <w:numId w:val="1002"/>
        </w:numPr>
      </w:pPr>
      <w:r>
        <w:rPr>
          <w:bCs/>
          <w:b/>
        </w:rPr>
        <w:t xml:space="preserve">Audit Trail Opacity</w:t>
      </w:r>
      <w:r>
        <w:t xml:space="preserve"> </w:t>
      </w:r>
      <w:r>
        <w:t xml:space="preserve">— Under ECB/EBA supervisory review, institutions must reconstruct</w:t>
      </w:r>
      <w:r>
        <w:t xml:space="preserve"> </w:t>
      </w:r>
      <w:r>
        <w:rPr>
          <w:iCs/>
          <w:i/>
        </w:rPr>
        <w:t xml:space="preserve">why</w:t>
      </w:r>
      <w:r>
        <w:t xml:space="preserve"> </w:t>
      </w:r>
      <w:r>
        <w:t xml:space="preserve">a particular shock magnitude was chosen. StressLess auto-documents the full decision lineage: data source → NLP classification → LLM rationale → analyst override → execution parameter — creating a regulator-ready audit trail automatically.</w:t>
      </w:r>
    </w:p>
    <w:p>
      <w:pPr>
        <w:numPr>
          <w:ilvl w:val="0"/>
          <w:numId w:val="1002"/>
        </w:numPr>
      </w:pPr>
      <w:r>
        <w:rPr>
          <w:bCs/>
          <w:b/>
        </w:rPr>
        <w:t xml:space="preserve">Safe Experimentation Without Data Exposure</w:t>
      </w:r>
      <w:r>
        <w:t xml:space="preserve"> </w:t>
      </w:r>
      <w:r>
        <w:t xml:space="preserve">— Testing new stress methodologies against real client portfolio data risks GDPR violations and accidental disclosure. The Synthetic Data Generator module creates statistically faithful portfolio replicas, enabling unlimited experimentation in a safe sandbox.</w:t>
      </w:r>
    </w:p>
    <w:p>
      <w:r>
        <w:pict>
          <v:rect style="width:0;height:1.5pt" o:hralign="center" o:hrstd="t" o:hr="t"/>
        </w:pict>
      </w:r>
    </w:p>
    <w:bookmarkEnd w:id="34"/>
    <w:bookmarkEnd w:id="35"/>
    <w:bookmarkStart w:id="37" w:name="X5f4d608e25ad121c5adf2160c16c77948de1689"/>
    <w:p>
      <w:pPr>
        <w:pStyle w:val="Heading2"/>
      </w:pPr>
      <w:r>
        <w:t xml:space="preserve">6. Additional Components to Include in StressLess</w:t>
      </w:r>
    </w:p>
    <w:bookmarkStart w:id="36" w:name="recommended-module-roadmap"/>
    <w:p>
      <w:pPr>
        <w:pStyle w:val="Heading3"/>
      </w:pPr>
      <w:r>
        <w:t xml:space="preserve">Recommended Module Roadmap</w:t>
      </w:r>
    </w:p>
    <w:tbl>
      <w:tblPr>
        <w:tblStyle w:val="Table"/>
        <w:tblW w:type="pct" w:w="5000"/>
        <w:tblLook w:firstRow="1" w:lastRow="0" w:firstColumn="0" w:lastColumn="0" w:noHBand="0" w:noVBand="0" w:val="0020"/>
        <w:jc w:val="start"/>
      </w:tblPr>
      <w:tblGrid>
        <w:gridCol w:w="1473"/>
        <w:gridCol w:w="2210"/>
        <w:gridCol w:w="2394"/>
        <w:gridCol w:w="1841"/>
      </w:tblGrid>
      <w:tr>
        <w:trPr>
          <w:tblHeader w:val="true"/>
        </w:trPr>
        <w:tc>
          <w:tcPr/>
          <w:p>
            <w:pPr>
              <w:pStyle w:val="Compact"/>
              <w:jc w:val="left"/>
            </w:pPr>
            <w:r>
              <w:t xml:space="preserve">Module</w:t>
            </w:r>
          </w:p>
        </w:tc>
        <w:tc>
          <w:tcPr/>
          <w:p>
            <w:pPr>
              <w:pStyle w:val="Compact"/>
              <w:jc w:val="left"/>
            </w:pPr>
            <w:r>
              <w:t xml:space="preserve">Description</w:t>
            </w:r>
          </w:p>
        </w:tc>
        <w:tc>
          <w:tcPr/>
          <w:p>
            <w:pPr>
              <w:pStyle w:val="Compact"/>
              <w:jc w:val="left"/>
            </w:pPr>
            <w:r>
              <w:t xml:space="preserve">Target User</w:t>
            </w:r>
          </w:p>
        </w:tc>
        <w:tc>
          <w:tcPr/>
          <w:p>
            <w:pPr>
              <w:pStyle w:val="Compact"/>
              <w:jc w:val="left"/>
            </w:pPr>
            <w:r>
              <w:t xml:space="preserve">Priority</w:t>
            </w:r>
          </w:p>
        </w:tc>
      </w:tr>
      <w:tr>
        <w:tc>
          <w:tcPr/>
          <w:p>
            <w:pPr>
              <w:pStyle w:val="Compact"/>
              <w:jc w:val="left"/>
            </w:pPr>
            <w:r>
              <w:rPr>
                <w:bCs/>
                <w:b/>
              </w:rPr>
              <w:t xml:space="preserve">Regulatory Scenario Library</w:t>
            </w:r>
          </w:p>
        </w:tc>
        <w:tc>
          <w:tcPr/>
          <w:p>
            <w:pPr>
              <w:pStyle w:val="Compact"/>
              <w:jc w:val="left"/>
            </w:pPr>
            <w:r>
              <w:t xml:space="preserve">Pre-built Basel III, CCAR, ICAAP, EBA adverse/severe scenarios with auto-update when regulators publish new templates</w:t>
            </w:r>
          </w:p>
        </w:tc>
        <w:tc>
          <w:tcPr/>
          <w:p>
            <w:pPr>
              <w:pStyle w:val="Compact"/>
              <w:jc w:val="left"/>
            </w:pPr>
            <w:r>
              <w:t xml:space="preserve">Risk Analysts, Regulatory Affairs</w:t>
            </w:r>
          </w:p>
        </w:tc>
        <w:tc>
          <w:tcPr/>
          <w:p>
            <w:pPr>
              <w:pStyle w:val="Compact"/>
              <w:jc w:val="left"/>
            </w:pPr>
            <w:r>
              <w:t xml:space="preserve">🔴 High</w:t>
            </w:r>
          </w:p>
        </w:tc>
      </w:tr>
      <w:tr>
        <w:tc>
          <w:tcPr/>
          <w:p>
            <w:pPr>
              <w:pStyle w:val="Compact"/>
              <w:jc w:val="left"/>
            </w:pPr>
            <w:r>
              <w:rPr>
                <w:bCs/>
                <w:b/>
              </w:rPr>
              <w:t xml:space="preserve">Counterparty Risk Dashboard</w:t>
            </w:r>
          </w:p>
        </w:tc>
        <w:tc>
          <w:tcPr/>
          <w:p>
            <w:pPr>
              <w:pStyle w:val="Compact"/>
              <w:jc w:val="left"/>
            </w:pPr>
            <w:r>
              <w:t xml:space="preserve">Real-time exposure aggregation + LLM-generated risk narratives per counterparty; flags covenant breaches</w:t>
            </w:r>
          </w:p>
        </w:tc>
        <w:tc>
          <w:tcPr/>
          <w:p>
            <w:pPr>
              <w:pStyle w:val="Compact"/>
              <w:jc w:val="left"/>
            </w:pPr>
            <w:r>
              <w:t xml:space="preserve">Credit Risk, CRO office</w:t>
            </w:r>
          </w:p>
        </w:tc>
        <w:tc>
          <w:tcPr/>
          <w:p>
            <w:pPr>
              <w:pStyle w:val="Compact"/>
              <w:jc w:val="left"/>
            </w:pPr>
            <w:r>
              <w:t xml:space="preserve">🔴 High</w:t>
            </w:r>
          </w:p>
        </w:tc>
      </w:tr>
      <w:tr>
        <w:tc>
          <w:tcPr/>
          <w:p>
            <w:pPr>
              <w:pStyle w:val="Compact"/>
              <w:jc w:val="left"/>
            </w:pPr>
            <w:r>
              <w:rPr>
                <w:bCs/>
                <w:b/>
              </w:rPr>
              <w:t xml:space="preserve">LCR / NSFR Calculator</w:t>
            </w:r>
          </w:p>
        </w:tc>
        <w:tc>
          <w:tcPr/>
          <w:p>
            <w:pPr>
              <w:pStyle w:val="Compact"/>
              <w:jc w:val="left"/>
            </w:pPr>
            <w:r>
              <w:t xml:space="preserve">Automated, parameterisable liquidity stress calculator with audit-ready output for supervisory reporting</w:t>
            </w:r>
          </w:p>
        </w:tc>
        <w:tc>
          <w:tcPr/>
          <w:p>
            <w:pPr>
              <w:pStyle w:val="Compact"/>
              <w:jc w:val="left"/>
            </w:pPr>
            <w:r>
              <w:t xml:space="preserve">Treasury, ALM teams</w:t>
            </w:r>
          </w:p>
        </w:tc>
        <w:tc>
          <w:tcPr/>
          <w:p>
            <w:pPr>
              <w:pStyle w:val="Compact"/>
              <w:jc w:val="left"/>
            </w:pPr>
            <w:r>
              <w:t xml:space="preserve">🔴 High</w:t>
            </w:r>
          </w:p>
        </w:tc>
      </w:tr>
      <w:tr>
        <w:tc>
          <w:tcPr/>
          <w:p>
            <w:pPr>
              <w:pStyle w:val="Compact"/>
              <w:jc w:val="left"/>
            </w:pPr>
            <w:r>
              <w:rPr>
                <w:bCs/>
                <w:b/>
              </w:rPr>
              <w:t xml:space="preserve">Concentration Risk Analyzer</w:t>
            </w:r>
          </w:p>
        </w:tc>
        <w:tc>
          <w:tcPr/>
          <w:p>
            <w:pPr>
              <w:pStyle w:val="Compact"/>
              <w:jc w:val="left"/>
            </w:pPr>
            <w:r>
              <w:t xml:space="preserve">AI-driven identification of sector, geography, and counterparty concentration outliers in portfolios</w:t>
            </w:r>
          </w:p>
        </w:tc>
        <w:tc>
          <w:tcPr/>
          <w:p>
            <w:pPr>
              <w:pStyle w:val="Compact"/>
              <w:jc w:val="left"/>
            </w:pPr>
            <w:r>
              <w:t xml:space="preserve">Portfolio Risk, CRO</w:t>
            </w:r>
          </w:p>
        </w:tc>
        <w:tc>
          <w:tcPr/>
          <w:p>
            <w:pPr>
              <w:pStyle w:val="Compact"/>
              <w:jc w:val="left"/>
            </w:pPr>
            <w:r>
              <w:t xml:space="preserve">🟡 Medium</w:t>
            </w:r>
          </w:p>
        </w:tc>
      </w:tr>
      <w:tr>
        <w:tc>
          <w:tcPr/>
          <w:p>
            <w:pPr>
              <w:pStyle w:val="Compact"/>
              <w:jc w:val="left"/>
            </w:pPr>
            <w:r>
              <w:rPr>
                <w:bCs/>
                <w:b/>
              </w:rPr>
              <w:t xml:space="preserve">Model Validation Workbench</w:t>
            </w:r>
          </w:p>
        </w:tc>
        <w:tc>
          <w:tcPr/>
          <w:p>
            <w:pPr>
              <w:pStyle w:val="Compact"/>
              <w:jc w:val="left"/>
            </w:pPr>
            <w:r>
              <w:t xml:space="preserve">Automated model calibration, backtesting harness, and challenger model comparison; generates MRM documentation</w:t>
            </w:r>
          </w:p>
        </w:tc>
        <w:tc>
          <w:tcPr/>
          <w:p>
            <w:pPr>
              <w:pStyle w:val="Compact"/>
              <w:jc w:val="left"/>
            </w:pPr>
            <w:r>
              <w:t xml:space="preserve">Model Risk Management</w:t>
            </w:r>
          </w:p>
        </w:tc>
        <w:tc>
          <w:tcPr/>
          <w:p>
            <w:pPr>
              <w:pStyle w:val="Compact"/>
              <w:jc w:val="left"/>
            </w:pPr>
            <w:r>
              <w:t xml:space="preserve">🟡 Medium</w:t>
            </w:r>
          </w:p>
        </w:tc>
      </w:tr>
      <w:tr>
        <w:tc>
          <w:tcPr/>
          <w:p>
            <w:pPr>
              <w:pStyle w:val="Compact"/>
              <w:jc w:val="left"/>
            </w:pPr>
            <w:r>
              <w:rPr>
                <w:bCs/>
                <w:b/>
              </w:rPr>
              <w:t xml:space="preserve">Synthetic Data Generator</w:t>
            </w:r>
          </w:p>
        </w:tc>
        <w:tc>
          <w:tcPr/>
          <w:p>
            <w:pPr>
              <w:pStyle w:val="Compact"/>
              <w:jc w:val="left"/>
            </w:pPr>
            <w:r>
              <w:t xml:space="preserve">Generates GDPR-safe synthetic portfolios preserving statistical properties for safe stress test experimentation</w:t>
            </w:r>
          </w:p>
        </w:tc>
        <w:tc>
          <w:tcPr/>
          <w:p>
            <w:pPr>
              <w:pStyle w:val="Compact"/>
              <w:jc w:val="left"/>
            </w:pPr>
            <w:r>
              <w:t xml:space="preserve">Quants, Model Validators</w:t>
            </w:r>
          </w:p>
        </w:tc>
        <w:tc>
          <w:tcPr/>
          <w:p>
            <w:pPr>
              <w:pStyle w:val="Compact"/>
              <w:jc w:val="left"/>
            </w:pPr>
            <w:r>
              <w:t xml:space="preserve">🟡 Medium</w:t>
            </w:r>
          </w:p>
        </w:tc>
      </w:tr>
      <w:tr>
        <w:tc>
          <w:tcPr/>
          <w:p>
            <w:pPr>
              <w:pStyle w:val="Compact"/>
              <w:jc w:val="left"/>
            </w:pPr>
            <w:r>
              <w:rPr>
                <w:bCs/>
                <w:b/>
              </w:rPr>
              <w:t xml:space="preserve">Climate Risk Scenario Module</w:t>
            </w:r>
          </w:p>
        </w:tc>
        <w:tc>
          <w:tcPr/>
          <w:p>
            <w:pPr>
              <w:pStyle w:val="Compact"/>
              <w:jc w:val="left"/>
            </w:pPr>
            <w:r>
              <w:t xml:space="preserve">NGFS-aligned climate transition &amp; physical risk scenarios with sector-level exposure mapping</w:t>
            </w:r>
          </w:p>
        </w:tc>
        <w:tc>
          <w:tcPr/>
          <w:p>
            <w:pPr>
              <w:pStyle w:val="Compact"/>
              <w:jc w:val="left"/>
            </w:pPr>
            <w:r>
              <w:t xml:space="preserve">ESG / Sustainability Risk</w:t>
            </w:r>
          </w:p>
        </w:tc>
        <w:tc>
          <w:tcPr/>
          <w:p>
            <w:pPr>
              <w:pStyle w:val="Compact"/>
              <w:jc w:val="left"/>
            </w:pPr>
            <w:r>
              <w:t xml:space="preserve">🟢 Future</w:t>
            </w:r>
          </w:p>
        </w:tc>
      </w:tr>
      <w:tr>
        <w:tc>
          <w:tcPr/>
          <w:p>
            <w:pPr>
              <w:pStyle w:val="Compact"/>
              <w:jc w:val="left"/>
            </w:pPr>
            <w:r>
              <w:rPr>
                <w:bCs/>
                <w:b/>
              </w:rPr>
              <w:t xml:space="preserve">Operational Risk Stress Module</w:t>
            </w:r>
          </w:p>
        </w:tc>
        <w:tc>
          <w:tcPr/>
          <w:p>
            <w:pPr>
              <w:pStyle w:val="Compact"/>
              <w:jc w:val="left"/>
            </w:pPr>
            <w:r>
              <w:t xml:space="preserve">Scenario-based capital add-on estimation for operational risks (cyber, conduct, model) under Basel IV AMA</w:t>
            </w:r>
          </w:p>
        </w:tc>
        <w:tc>
          <w:tcPr/>
          <w:p>
            <w:pPr>
              <w:pStyle w:val="Compact"/>
              <w:jc w:val="left"/>
            </w:pPr>
            <w:r>
              <w:t xml:space="preserve">Operational Risk</w:t>
            </w:r>
          </w:p>
        </w:tc>
        <w:tc>
          <w:tcPr/>
          <w:p>
            <w:pPr>
              <w:pStyle w:val="Compact"/>
              <w:jc w:val="left"/>
            </w:pPr>
            <w:r>
              <w:t xml:space="preserve">🟢 Future</w:t>
            </w:r>
          </w:p>
        </w:tc>
      </w:tr>
      <w:tr>
        <w:tc>
          <w:tcPr/>
          <w:p>
            <w:pPr>
              <w:pStyle w:val="Compact"/>
              <w:jc w:val="left"/>
            </w:pPr>
            <w:r>
              <w:rPr>
                <w:bCs/>
                <w:b/>
              </w:rPr>
              <w:t xml:space="preserve">Cross-Asset Correlation Engine</w:t>
            </w:r>
          </w:p>
        </w:tc>
        <w:tc>
          <w:tcPr/>
          <w:p>
            <w:pPr>
              <w:pStyle w:val="Compact"/>
              <w:jc w:val="left"/>
            </w:pPr>
            <w:r>
              <w:t xml:space="preserve">Dynamic correlation matrix update under stress conditions; replaces static historical correlations</w:t>
            </w:r>
          </w:p>
        </w:tc>
        <w:tc>
          <w:tcPr/>
          <w:p>
            <w:pPr>
              <w:pStyle w:val="Compact"/>
              <w:jc w:val="left"/>
            </w:pPr>
            <w:r>
              <w:t xml:space="preserve">Market Risk</w:t>
            </w:r>
          </w:p>
        </w:tc>
        <w:tc>
          <w:tcPr/>
          <w:p>
            <w:pPr>
              <w:pStyle w:val="Compact"/>
              <w:jc w:val="left"/>
            </w:pPr>
            <w:r>
              <w:t xml:space="preserve">🟡 Medium</w:t>
            </w:r>
          </w:p>
        </w:tc>
      </w:tr>
      <w:tr>
        <w:tc>
          <w:tcPr/>
          <w:p>
            <w:pPr>
              <w:pStyle w:val="Compact"/>
              <w:jc w:val="left"/>
            </w:pPr>
            <w:r>
              <w:rPr>
                <w:bCs/>
                <w:b/>
              </w:rPr>
              <w:t xml:space="preserve">Regulatory Change Tracker</w:t>
            </w:r>
          </w:p>
        </w:tc>
        <w:tc>
          <w:tcPr/>
          <w:p>
            <w:pPr>
              <w:pStyle w:val="Compact"/>
              <w:jc w:val="left"/>
            </w:pPr>
            <w:r>
              <w:t xml:space="preserve">LLM-monitored regulatory feed; auto-flags new EBA/ECB/FCA guidance that requires scenario updates</w:t>
            </w:r>
          </w:p>
        </w:tc>
        <w:tc>
          <w:tcPr/>
          <w:p>
            <w:pPr>
              <w:pStyle w:val="Compact"/>
              <w:jc w:val="left"/>
            </w:pPr>
            <w:r>
              <w:t xml:space="preserve">Compliance, Risk Governance</w:t>
            </w:r>
          </w:p>
        </w:tc>
        <w:tc>
          <w:tcPr/>
          <w:p>
            <w:pPr>
              <w:pStyle w:val="Compact"/>
              <w:jc w:val="left"/>
            </w:pPr>
            <w:r>
              <w:t xml:space="preserve">🟡 Medium</w:t>
            </w:r>
          </w:p>
        </w:tc>
      </w:tr>
    </w:tbl>
    <w:p>
      <w:r>
        <w:pict>
          <v:rect style="width:0;height:1.5pt" o:hralign="center" o:hrstd="t" o:hr="t"/>
        </w:pict>
      </w:r>
    </w:p>
    <w:bookmarkEnd w:id="36"/>
    <w:bookmarkEnd w:id="37"/>
    <w:bookmarkStart w:id="44" w:name="component-monetization-go-to-market"/>
    <w:p>
      <w:pPr>
        <w:pStyle w:val="Heading2"/>
      </w:pPr>
      <w:r>
        <w:t xml:space="preserve">7. Component Monetization &amp; Go-to-Market</w:t>
      </w:r>
    </w:p>
    <w:bookmarkStart w:id="38" w:name="a.-saas-pricing-tiers"/>
    <w:p>
      <w:pPr>
        <w:pStyle w:val="Heading3"/>
      </w:pPr>
      <w:r>
        <w:t xml:space="preserve">7a. SaaS Pricing Tiers</w:t>
      </w:r>
    </w:p>
    <w:tbl>
      <w:tblPr>
        <w:tblStyle w:val="Table"/>
        <w:tblW w:type="pct" w:w="5000"/>
        <w:tblLook w:firstRow="1" w:lastRow="0" w:firstColumn="0" w:lastColumn="0" w:noHBand="0" w:noVBand="0" w:val="0020"/>
        <w:jc w:val="start"/>
      </w:tblPr>
      <w:tblGrid>
        <w:gridCol w:w="709"/>
        <w:gridCol w:w="2364"/>
        <w:gridCol w:w="2009"/>
        <w:gridCol w:w="2837"/>
      </w:tblGrid>
      <w:tr>
        <w:trPr>
          <w:tblHeader w:val="true"/>
        </w:trPr>
        <w:tc>
          <w:tcPr/>
          <w:p>
            <w:pPr>
              <w:pStyle w:val="Compact"/>
              <w:jc w:val="left"/>
            </w:pPr>
            <w:r>
              <w:t xml:space="preserve">Tier</w:t>
            </w:r>
          </w:p>
        </w:tc>
        <w:tc>
          <w:tcPr/>
          <w:p>
            <w:pPr>
              <w:pStyle w:val="Compact"/>
              <w:jc w:val="left"/>
            </w:pPr>
            <w:r>
              <w:t xml:space="preserve">Components Included</w:t>
            </w:r>
          </w:p>
        </w:tc>
        <w:tc>
          <w:tcPr/>
          <w:p>
            <w:pPr>
              <w:pStyle w:val="Compact"/>
              <w:jc w:val="left"/>
            </w:pPr>
            <w:r>
              <w:t xml:space="preserve">Target Segment</w:t>
            </w:r>
          </w:p>
        </w:tc>
        <w:tc>
          <w:tcPr/>
          <w:p>
            <w:pPr>
              <w:pStyle w:val="Compact"/>
              <w:jc w:val="right"/>
            </w:pPr>
            <w:r>
              <w:t xml:space="preserve">Indicative Annual Price</w:t>
            </w:r>
          </w:p>
        </w:tc>
      </w:tr>
      <w:tr>
        <w:tc>
          <w:tcPr/>
          <w:p>
            <w:pPr>
              <w:pStyle w:val="Compact"/>
              <w:jc w:val="left"/>
            </w:pPr>
            <w:r>
              <w:rPr>
                <w:bCs/>
                <w:b/>
              </w:rPr>
              <w:t xml:space="preserve">Core</w:t>
            </w:r>
          </w:p>
        </w:tc>
        <w:tc>
          <w:tcPr/>
          <w:p>
            <w:pPr>
              <w:pStyle w:val="Compact"/>
              <w:jc w:val="left"/>
            </w:pPr>
            <w:r>
              <w:t xml:space="preserve">Scenario Designer (batch), Execution Engine, Standard Reporting</w:t>
            </w:r>
          </w:p>
        </w:tc>
        <w:tc>
          <w:tcPr/>
          <w:p>
            <w:pPr>
              <w:pStyle w:val="Compact"/>
              <w:jc w:val="left"/>
            </w:pPr>
            <w:r>
              <w:t xml:space="preserve">Regional banks, Internal pilots</w:t>
            </w:r>
          </w:p>
        </w:tc>
        <w:tc>
          <w:tcPr/>
          <w:p>
            <w:pPr>
              <w:pStyle w:val="Compact"/>
              <w:jc w:val="right"/>
            </w:pPr>
            <w:r>
              <w:t xml:space="preserve">€80,000</w:t>
            </w:r>
          </w:p>
        </w:tc>
      </w:tr>
      <w:tr>
        <w:tc>
          <w:tcPr/>
          <w:p>
            <w:pPr>
              <w:pStyle w:val="Compact"/>
              <w:jc w:val="left"/>
            </w:pPr>
            <w:r>
              <w:rPr>
                <w:bCs/>
                <w:b/>
              </w:rPr>
              <w:t xml:space="preserve">Pro</w:t>
            </w:r>
          </w:p>
        </w:tc>
        <w:tc>
          <w:tcPr/>
          <w:p>
            <w:pPr>
              <w:pStyle w:val="Compact"/>
              <w:jc w:val="left"/>
            </w:pPr>
            <w:r>
              <w:t xml:space="preserve">Core + AI Market Intelligence (real-time), HITL refinement, Regulatory Scenario Library, LCR Calculator</w:t>
            </w:r>
          </w:p>
        </w:tc>
        <w:tc>
          <w:tcPr/>
          <w:p>
            <w:pPr>
              <w:pStyle w:val="Compact"/>
              <w:jc w:val="left"/>
            </w:pPr>
            <w:r>
              <w:t xml:space="preserve">Mid-size banks, ING business lines</w:t>
            </w:r>
          </w:p>
        </w:tc>
        <w:tc>
          <w:tcPr/>
          <w:p>
            <w:pPr>
              <w:pStyle w:val="Compact"/>
              <w:jc w:val="right"/>
            </w:pPr>
            <w:r>
              <w:t xml:space="preserve">€250,000</w:t>
            </w:r>
          </w:p>
        </w:tc>
      </w:tr>
      <w:tr>
        <w:tc>
          <w:tcPr/>
          <w:p>
            <w:pPr>
              <w:pStyle w:val="Compact"/>
              <w:jc w:val="left"/>
            </w:pPr>
            <w:r>
              <w:rPr>
                <w:bCs/>
                <w:b/>
              </w:rPr>
              <w:t xml:space="preserve">Enterprise</w:t>
            </w:r>
          </w:p>
        </w:tc>
        <w:tc>
          <w:tcPr/>
          <w:p>
            <w:pPr>
              <w:pStyle w:val="Compact"/>
              <w:jc w:val="left"/>
            </w:pPr>
            <w:r>
              <w:t xml:space="preserve">Full platform + Custom model injection, Counterparty Dashboard, Synthetic Data Generator, Model Validation Workbench, SLA + dedicated support</w:t>
            </w:r>
          </w:p>
        </w:tc>
        <w:tc>
          <w:tcPr/>
          <w:p>
            <w:pPr>
              <w:pStyle w:val="Compact"/>
              <w:jc w:val="left"/>
            </w:pPr>
            <w:r>
              <w:t xml:space="preserve">Tier-1 banks, ING Group-wide</w:t>
            </w:r>
          </w:p>
        </w:tc>
        <w:tc>
          <w:tcPr/>
          <w:p>
            <w:pPr>
              <w:pStyle w:val="Compact"/>
              <w:jc w:val="right"/>
            </w:pPr>
            <w:r>
              <w:t xml:space="preserve">€600,000</w:t>
            </w:r>
          </w:p>
        </w:tc>
      </w:tr>
      <w:tr>
        <w:tc>
          <w:tcPr/>
          <w:p>
            <w:pPr>
              <w:pStyle w:val="Compact"/>
              <w:jc w:val="left"/>
            </w:pPr>
            <w:r>
              <w:rPr>
                <w:bCs/>
                <w:b/>
              </w:rPr>
              <w:t xml:space="preserve">AI Market Intelligence (Standalone API)</w:t>
            </w:r>
          </w:p>
        </w:tc>
        <w:tc>
          <w:tcPr/>
          <w:p>
            <w:pPr>
              <w:pStyle w:val="Compact"/>
              <w:jc w:val="left"/>
            </w:pPr>
            <w:r>
              <w:t xml:space="preserve">MI module only — real-time signal ingestion, NLP filtering, event classification API</w:t>
            </w:r>
          </w:p>
        </w:tc>
        <w:tc>
          <w:tcPr/>
          <w:p>
            <w:pPr>
              <w:pStyle w:val="Compact"/>
              <w:jc w:val="left"/>
            </w:pPr>
            <w:r>
              <w:t xml:space="preserve">Fintechs, hedge funds, data teams</w:t>
            </w:r>
          </w:p>
        </w:tc>
        <w:tc>
          <w:tcPr/>
          <w:p>
            <w:pPr>
              <w:pStyle w:val="Compact"/>
              <w:jc w:val="right"/>
            </w:pPr>
            <w:r>
              <w:t xml:space="preserve">€40,000</w:t>
            </w:r>
          </w:p>
        </w:tc>
      </w:tr>
      <w:tr>
        <w:tc>
          <w:tcPr/>
          <w:p>
            <w:pPr>
              <w:pStyle w:val="Compact"/>
              <w:jc w:val="left"/>
            </w:pPr>
            <w:r>
              <w:rPr>
                <w:bCs/>
                <w:b/>
              </w:rPr>
              <w:t xml:space="preserve">Add-on Modules</w:t>
            </w:r>
          </w:p>
        </w:tc>
        <w:tc>
          <w:tcPr/>
          <w:p>
            <w:pPr>
              <w:pStyle w:val="Compact"/>
              <w:jc w:val="left"/>
            </w:pPr>
            <w:r>
              <w:t xml:space="preserve">Climate Risk, Concentration Analyzer, Operational Risk, Correlation Engine (per module)</w:t>
            </w:r>
          </w:p>
        </w:tc>
        <w:tc>
          <w:tcPr/>
          <w:p>
            <w:pPr>
              <w:pStyle w:val="Compact"/>
              <w:jc w:val="left"/>
            </w:pPr>
            <w:r>
              <w:t xml:space="preserve">Any tier</w:t>
            </w:r>
          </w:p>
        </w:tc>
        <w:tc>
          <w:tcPr/>
          <w:p>
            <w:pPr>
              <w:pStyle w:val="Compact"/>
              <w:jc w:val="right"/>
            </w:pPr>
            <w:r>
              <w:t xml:space="preserve">€25,000/module</w:t>
            </w:r>
          </w:p>
        </w:tc>
      </w:tr>
    </w:tbl>
    <w:bookmarkEnd w:id="38"/>
    <w:bookmarkStart w:id="39" w:name="X2ac617f165f060d340c2bad1c433b838cc5e7f9"/>
    <w:p>
      <w:pPr>
        <w:pStyle w:val="Heading3"/>
      </w:pPr>
      <w:r>
        <w:t xml:space="preserve">7b. Standalone Component Microservice Architecture</w:t>
      </w:r>
    </w:p>
    <w:p>
      <w:pPr>
        <w:pStyle w:val="SourceCode"/>
      </w:pPr>
      <w:r>
        <w:rPr>
          <w:rStyle w:val="VerbatimChar"/>
        </w:rPr>
        <w:t xml:space="preserve">                        ┌───────────────────────────────┐</w:t>
      </w:r>
      <w:r>
        <w:br/>
      </w:r>
      <w:r>
        <w:rPr>
          <w:rStyle w:val="VerbatimChar"/>
        </w:rPr>
        <w:t xml:space="preserve">                        │      StressLess Platform       │</w:t>
      </w:r>
      <w:r>
        <w:br/>
      </w:r>
      <w:r>
        <w:rPr>
          <w:rStyle w:val="VerbatimChar"/>
        </w:rPr>
        <w:t xml:space="preserve">                        │        (Full Suite)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w:t>
      </w:r>
      <w:r>
        <w:br/>
      </w:r>
      <w:r>
        <w:rPr>
          <w:rStyle w:val="VerbatimChar"/>
        </w:rPr>
        <w:t xml:space="preserve">│   AI Market      │       │  Scenario Designer │       │  Execution       │</w:t>
      </w:r>
      <w:r>
        <w:br/>
      </w:r>
      <w:r>
        <w:rPr>
          <w:rStyle w:val="VerbatimChar"/>
        </w:rPr>
        <w:t xml:space="preserve">│   Intelligence   │       │  + HITL API        │       │  Engine API      │</w:t>
      </w:r>
      <w:r>
        <w:br/>
      </w:r>
      <w:r>
        <w:rPr>
          <w:rStyle w:val="VerbatimChar"/>
        </w:rPr>
        <w:t xml:space="preserve">│   (REST/gRPC API)│       │  (REST API)        │       │  (REST API)      │</w:t>
      </w:r>
      <w:r>
        <w:br/>
      </w:r>
      <w:r>
        <w:rPr>
          <w:rStyle w:val="VerbatimChar"/>
        </w:rPr>
        <w:t xml:space="preserve">│                  │       │                   │       │                  │</w:t>
      </w:r>
      <w:r>
        <w:br/>
      </w:r>
      <w:r>
        <w:rPr>
          <w:rStyle w:val="VerbatimChar"/>
        </w:rPr>
        <w:t xml:space="preserve">│  • /signals      │       │  • /scenarios/    │       │  • /run          │</w:t>
      </w:r>
      <w:r>
        <w:br/>
      </w:r>
      <w:r>
        <w:rPr>
          <w:rStyle w:val="VerbatimChar"/>
        </w:rPr>
        <w:t xml:space="preserve">│  • /classify     │       │    generate       │       │  • /results      │</w:t>
      </w:r>
      <w:r>
        <w:br/>
      </w:r>
      <w:r>
        <w:rPr>
          <w:rStyle w:val="VerbatimChar"/>
        </w:rPr>
        <w:t xml:space="preserve">│  • /events       │       │  • /scenarios/    │       │  • /reports      │</w:t>
      </w:r>
      <w:r>
        <w:br/>
      </w:r>
      <w:r>
        <w:rPr>
          <w:rStyle w:val="VerbatimChar"/>
        </w:rPr>
        <w:t xml:space="preserve">│  • /metrics      │       │    validate       │       │  • /models/inject│</w:t>
      </w:r>
      <w:r>
        <w:br/>
      </w:r>
      <w:r>
        <w:rPr>
          <w:rStyle w:val="VerbatimChar"/>
        </w:rPr>
        <w:t xml:space="preserve">└──────────────────┘       └───────────────────┘       └──────────────────┘</w:t>
      </w:r>
    </w:p>
    <w:p>
      <w:pPr>
        <w:pStyle w:val="BlockText"/>
      </w:pPr>
      <w:r>
        <w:rPr>
          <w:bCs/>
          <w:b/>
        </w:rPr>
        <w:t xml:space="preserve">Recommended immediate action</w:t>
      </w:r>
      <w:r>
        <w:t xml:space="preserve">: Expose the AI Market Intelligence module as a standalone REST API. Current user interest confirms market pull. Time-to-market: 6–8 weeks with existing MI codebase refactored behind an API gateway.</w:t>
      </w:r>
    </w:p>
    <w:bookmarkEnd w:id="39"/>
    <w:bookmarkStart w:id="43" w:name="c.-go-to-market-roadmap"/>
    <w:p>
      <w:pPr>
        <w:pStyle w:val="Heading3"/>
      </w:pPr>
      <w:r>
        <w:t xml:space="preserve">7c. Go-to-Market Roadmap</w:t>
      </w:r>
    </w:p>
    <w:bookmarkStart w:id="40" w:name="X0b6ee2d1b72ba93a5796c605ffd3d9a9c5883db"/>
    <w:p>
      <w:pPr>
        <w:pStyle w:val="Heading4"/>
      </w:pPr>
      <w:r>
        <w:t xml:space="preserve">Phase 1 — Core Stress Testing Platform (Months 1–6)</w:t>
      </w:r>
    </w:p>
    <w:p>
      <w:pPr>
        <w:numPr>
          <w:ilvl w:val="0"/>
          <w:numId w:val="1003"/>
        </w:numPr>
        <w:pStyle w:val="Compact"/>
      </w:pPr>
      <w:r>
        <w:t xml:space="preserve">Deploy full StressLess platform as internal ING tool (Wholesale Banking / Market Risk)</w:t>
      </w:r>
    </w:p>
    <w:p>
      <w:pPr>
        <w:numPr>
          <w:ilvl w:val="0"/>
          <w:numId w:val="1003"/>
        </w:numPr>
        <w:pStyle w:val="Compact"/>
      </w:pPr>
      <w:r>
        <w:t xml:space="preserve">Run 1 full EBA stress test cycle on StressLess to generate validated case study metrics</w:t>
      </w:r>
    </w:p>
    <w:p>
      <w:pPr>
        <w:numPr>
          <w:ilvl w:val="0"/>
          <w:numId w:val="1003"/>
        </w:numPr>
        <w:pStyle w:val="Compact"/>
      </w:pPr>
      <w:r>
        <w:t xml:space="preserve">Collect quantified FTE/hours savings data for external sales narrative</w:t>
      </w:r>
    </w:p>
    <w:p>
      <w:pPr>
        <w:numPr>
          <w:ilvl w:val="0"/>
          <w:numId w:val="1003"/>
        </w:numPr>
        <w:pStyle w:val="Compact"/>
      </w:pPr>
      <w:r>
        <w:t xml:space="preserve">Deliverable: Internal case study + ROI validation report</w:t>
      </w:r>
    </w:p>
    <w:bookmarkEnd w:id="40"/>
    <w:bookmarkStart w:id="41" w:name="X93b008a018ea6cb859d45bb07ecddddd929dcc3"/>
    <w:p>
      <w:pPr>
        <w:pStyle w:val="Heading4"/>
      </w:pPr>
      <w:r>
        <w:t xml:space="preserve">Phase 2 — Component Commercialisation (Months 6–12)</w:t>
      </w:r>
    </w:p>
    <w:p>
      <w:pPr>
        <w:numPr>
          <w:ilvl w:val="0"/>
          <w:numId w:val="1004"/>
        </w:numPr>
        <w:pStyle w:val="Compact"/>
      </w:pPr>
      <w:r>
        <w:t xml:space="preserve">Launch</w:t>
      </w:r>
      <w:r>
        <w:t xml:space="preserve"> </w:t>
      </w:r>
      <w:r>
        <w:rPr>
          <w:bCs/>
          <w:b/>
        </w:rPr>
        <w:t xml:space="preserve">AI Market Intelligence API</w:t>
      </w:r>
      <w:r>
        <w:t xml:space="preserve"> </w:t>
      </w:r>
      <w:r>
        <w:t xml:space="preserve">as standalone SaaS (existing interested users as beta cohort)</w:t>
      </w:r>
    </w:p>
    <w:p>
      <w:pPr>
        <w:numPr>
          <w:ilvl w:val="0"/>
          <w:numId w:val="1004"/>
        </w:numPr>
        <w:pStyle w:val="Compact"/>
      </w:pPr>
      <w:r>
        <w:t xml:space="preserve">Release</w:t>
      </w:r>
      <w:r>
        <w:t xml:space="preserve"> </w:t>
      </w:r>
      <w:r>
        <w:rPr>
          <w:bCs/>
          <w:b/>
        </w:rPr>
        <w:t xml:space="preserve">Regulatory Scenario Library</w:t>
      </w:r>
      <w:r>
        <w:t xml:space="preserve"> </w:t>
      </w:r>
      <w:r>
        <w:t xml:space="preserve">as a managed subscription feed</w:t>
      </w:r>
    </w:p>
    <w:p>
      <w:pPr>
        <w:numPr>
          <w:ilvl w:val="0"/>
          <w:numId w:val="1004"/>
        </w:numPr>
        <w:pStyle w:val="Compact"/>
      </w:pPr>
      <w:r>
        <w:t xml:space="preserve">Pilot</w:t>
      </w:r>
      <w:r>
        <w:t xml:space="preserve"> </w:t>
      </w:r>
      <w:r>
        <w:rPr>
          <w:bCs/>
          <w:b/>
        </w:rPr>
        <w:t xml:space="preserve">Pro tier</w:t>
      </w:r>
      <w:r>
        <w:t xml:space="preserve"> </w:t>
      </w:r>
      <w:r>
        <w:t xml:space="preserve">with 2–3 external Tier-2 European banks through ING Ventures / FinTech partnerships</w:t>
      </w:r>
    </w:p>
    <w:p>
      <w:pPr>
        <w:numPr>
          <w:ilvl w:val="0"/>
          <w:numId w:val="1004"/>
        </w:numPr>
        <w:pStyle w:val="Compact"/>
      </w:pPr>
      <w:r>
        <w:t xml:space="preserve">Deliverable: 3 paying external customers, validated API pricing model</w:t>
      </w:r>
    </w:p>
    <w:bookmarkEnd w:id="41"/>
    <w:bookmarkStart w:id="42" w:name="Xf7b194bfd9c008d553defe45629a69661d52c9b"/>
    <w:p>
      <w:pPr>
        <w:pStyle w:val="Heading4"/>
      </w:pPr>
      <w:r>
        <w:t xml:space="preserve">Phase 3 — Platform Ecosystem &amp; Marketplace (Months 12–24)</w:t>
      </w:r>
    </w:p>
    <w:p>
      <w:pPr>
        <w:numPr>
          <w:ilvl w:val="0"/>
          <w:numId w:val="1005"/>
        </w:numPr>
        <w:pStyle w:val="Compact"/>
      </w:pPr>
      <w:r>
        <w:t xml:space="preserve">Launch Enterprise tier with full custom model injection support</w:t>
      </w:r>
    </w:p>
    <w:p>
      <w:pPr>
        <w:numPr>
          <w:ilvl w:val="0"/>
          <w:numId w:val="1005"/>
        </w:numPr>
        <w:pStyle w:val="Compact"/>
      </w:pPr>
      <w:r>
        <w:t xml:space="preserve">Open</w:t>
      </w:r>
      <w:r>
        <w:t xml:space="preserve"> </w:t>
      </w:r>
      <w:r>
        <w:rPr>
          <w:bCs/>
          <w:b/>
        </w:rPr>
        <w:t xml:space="preserve">partner model marketplace</w:t>
      </w:r>
      <w:r>
        <w:t xml:space="preserve">: allow third-party quant firms to publish models consumable via Execution Engine</w:t>
      </w:r>
    </w:p>
    <w:p>
      <w:pPr>
        <w:numPr>
          <w:ilvl w:val="0"/>
          <w:numId w:val="1005"/>
        </w:numPr>
        <w:pStyle w:val="Compact"/>
      </w:pPr>
      <w:r>
        <w:t xml:space="preserve">Introduce</w:t>
      </w:r>
      <w:r>
        <w:t xml:space="preserve"> </w:t>
      </w:r>
      <w:r>
        <w:rPr>
          <w:bCs/>
          <w:b/>
        </w:rPr>
        <w:t xml:space="preserve">Climate Risk Module</w:t>
      </w:r>
      <w:r>
        <w:t xml:space="preserve"> </w:t>
      </w:r>
      <w:r>
        <w:t xml:space="preserve">aligned to ECB climate stress test timeline</w:t>
      </w:r>
    </w:p>
    <w:p>
      <w:pPr>
        <w:numPr>
          <w:ilvl w:val="0"/>
          <w:numId w:val="1005"/>
        </w:numPr>
        <w:pStyle w:val="Compact"/>
      </w:pPr>
      <w:r>
        <w:t xml:space="preserve">Explore white-labelling for ING’s banking-as-a-service clients</w:t>
      </w:r>
    </w:p>
    <w:p>
      <w:pPr>
        <w:numPr>
          <w:ilvl w:val="0"/>
          <w:numId w:val="1005"/>
        </w:numPr>
        <w:pStyle w:val="Compact"/>
      </w:pPr>
      <w:r>
        <w:t xml:space="preserve">Target: €5M ARR, 10+ financial institution clients</w:t>
      </w:r>
    </w:p>
    <w:p>
      <w:r>
        <w:pict>
          <v:rect style="width:0;height:1.5pt" o:hralign="center" o:hrstd="t" o:hr="t"/>
        </w:pict>
      </w:r>
    </w:p>
    <w:bookmarkEnd w:id="42"/>
    <w:bookmarkEnd w:id="43"/>
    <w:bookmarkEnd w:id="44"/>
    <w:bookmarkStart w:id="45" w:name="requests-for-support"/>
    <w:p>
      <w:pPr>
        <w:pStyle w:val="Heading2"/>
      </w:pPr>
      <w:r>
        <w:t xml:space="preserve">8. Requests for Support</w:t>
      </w:r>
    </w:p>
    <w:tbl>
      <w:tblPr>
        <w:tblStyle w:val="Table"/>
        <w:tblW w:type="pct" w:w="5000"/>
        <w:tblLook w:firstRow="1" w:lastRow="0" w:firstColumn="0" w:lastColumn="0" w:noHBand="0" w:noVBand="0" w:val="0020"/>
        <w:jc w:val="start"/>
      </w:tblPr>
      <w:tblGrid>
        <w:gridCol w:w="2782"/>
        <w:gridCol w:w="2996"/>
        <w:gridCol w:w="2140"/>
      </w:tblGrid>
      <w:tr>
        <w:trPr>
          <w:tblHeader w:val="true"/>
        </w:trPr>
        <w:tc>
          <w:tcPr/>
          <w:p>
            <w:pPr>
              <w:pStyle w:val="Compact"/>
              <w:jc w:val="left"/>
            </w:pPr>
            <w:r>
              <w:t xml:space="preserve">Support Area</w:t>
            </w:r>
          </w:p>
        </w:tc>
        <w:tc>
          <w:tcPr/>
          <w:p>
            <w:pPr>
              <w:pStyle w:val="Compact"/>
              <w:jc w:val="left"/>
            </w:pPr>
            <w:r>
              <w:t xml:space="preserve">What’s Needed</w:t>
            </w:r>
          </w:p>
        </w:tc>
        <w:tc>
          <w:tcPr/>
          <w:p>
            <w:pPr>
              <w:pStyle w:val="Compact"/>
              <w:jc w:val="left"/>
            </w:pPr>
            <w:r>
              <w:t xml:space="preserve">Priority</w:t>
            </w:r>
          </w:p>
        </w:tc>
      </w:tr>
      <w:tr>
        <w:tc>
          <w:tcPr/>
          <w:p>
            <w:pPr>
              <w:pStyle w:val="Compact"/>
              <w:jc w:val="left"/>
            </w:pPr>
            <w:r>
              <w:rPr>
                <w:bCs/>
                <w:b/>
              </w:rPr>
              <w:t xml:space="preserve">Cloud Infrastructure</w:t>
            </w:r>
          </w:p>
        </w:tc>
        <w:tc>
          <w:tcPr/>
          <w:p>
            <w:pPr>
              <w:pStyle w:val="Compact"/>
              <w:jc w:val="left"/>
            </w:pPr>
            <w:r>
              <w:t xml:space="preserve">Scalable compute for vectorised portfolio revaluation (GPU/CPU burst capacity); Azure / AWS preferred</w:t>
            </w:r>
          </w:p>
        </w:tc>
        <w:tc>
          <w:tcPr/>
          <w:p>
            <w:pPr>
              <w:pStyle w:val="Compact"/>
              <w:jc w:val="left"/>
            </w:pPr>
            <w:r>
              <w:t xml:space="preserve">🔴 Critical</w:t>
            </w:r>
          </w:p>
        </w:tc>
      </w:tr>
      <w:tr>
        <w:tc>
          <w:tcPr/>
          <w:p>
            <w:pPr>
              <w:pStyle w:val="Compact"/>
              <w:jc w:val="left"/>
            </w:pPr>
            <w:r>
              <w:rPr>
                <w:bCs/>
                <w:b/>
              </w:rPr>
              <w:t xml:space="preserve">Data Licensing</w:t>
            </w:r>
          </w:p>
        </w:tc>
        <w:tc>
          <w:tcPr/>
          <w:p>
            <w:pPr>
              <w:pStyle w:val="Compact"/>
              <w:jc w:val="left"/>
            </w:pPr>
            <w:r>
              <w:t xml:space="preserve">Bloomberg/Reuters market data feed access for AI Market Intelligence ingestion pipeline</w:t>
            </w:r>
          </w:p>
        </w:tc>
        <w:tc>
          <w:tcPr/>
          <w:p>
            <w:pPr>
              <w:pStyle w:val="Compact"/>
              <w:jc w:val="left"/>
            </w:pPr>
            <w:r>
              <w:t xml:space="preserve">🔴 Critical</w:t>
            </w:r>
          </w:p>
        </w:tc>
      </w:tr>
      <w:tr>
        <w:tc>
          <w:tcPr/>
          <w:p>
            <w:pPr>
              <w:pStyle w:val="Compact"/>
              <w:jc w:val="left"/>
            </w:pPr>
            <w:r>
              <w:rPr>
                <w:bCs/>
                <w:b/>
              </w:rPr>
              <w:t xml:space="preserve">LLM API Access</w:t>
            </w:r>
          </w:p>
        </w:tc>
        <w:tc>
          <w:tcPr/>
          <w:p>
            <w:pPr>
              <w:pStyle w:val="Compact"/>
              <w:jc w:val="left"/>
            </w:pPr>
            <w:r>
              <w:t xml:space="preserve">OpenAI GPT-4o / Azure OpenAI for scenario designer and post-classification modules</w:t>
            </w:r>
          </w:p>
        </w:tc>
        <w:tc>
          <w:tcPr/>
          <w:p>
            <w:pPr>
              <w:pStyle w:val="Compact"/>
              <w:jc w:val="left"/>
            </w:pPr>
            <w:r>
              <w:t xml:space="preserve">🔴 Critical</w:t>
            </w:r>
          </w:p>
        </w:tc>
      </w:tr>
      <w:tr>
        <w:tc>
          <w:tcPr/>
          <w:p>
            <w:pPr>
              <w:pStyle w:val="Compact"/>
              <w:jc w:val="left"/>
            </w:pPr>
            <w:r>
              <w:rPr>
                <w:bCs/>
                <w:b/>
              </w:rPr>
              <w:t xml:space="preserve">Risk Team Partnership</w:t>
            </w:r>
          </w:p>
        </w:tc>
        <w:tc>
          <w:tcPr/>
          <w:p>
            <w:pPr>
              <w:pStyle w:val="Compact"/>
              <w:jc w:val="left"/>
            </w:pPr>
            <w:r>
              <w:t xml:space="preserve">ING Wholesale Banking risk team buy-in for 1 pilot stress test cycle (EBA 2025 preparation)</w:t>
            </w:r>
          </w:p>
        </w:tc>
        <w:tc>
          <w:tcPr/>
          <w:p>
            <w:pPr>
              <w:pStyle w:val="Compact"/>
              <w:jc w:val="left"/>
            </w:pPr>
            <w:r>
              <w:t xml:space="preserve">🔴 Critical</w:t>
            </w:r>
          </w:p>
        </w:tc>
      </w:tr>
      <w:tr>
        <w:tc>
          <w:tcPr/>
          <w:p>
            <w:pPr>
              <w:pStyle w:val="Compact"/>
              <w:jc w:val="left"/>
            </w:pPr>
            <w:r>
              <w:rPr>
                <w:bCs/>
                <w:b/>
              </w:rPr>
              <w:t xml:space="preserve">Regulatory Affairs Input</w:t>
            </w:r>
          </w:p>
        </w:tc>
        <w:tc>
          <w:tcPr/>
          <w:p>
            <w:pPr>
              <w:pStyle w:val="Compact"/>
              <w:jc w:val="left"/>
            </w:pPr>
            <w:r>
              <w:t xml:space="preserve">Mapping of ING’s current Basel/ICAAP reporting templates for auto-generation module</w:t>
            </w:r>
          </w:p>
        </w:tc>
        <w:tc>
          <w:tcPr/>
          <w:p>
            <w:pPr>
              <w:pStyle w:val="Compact"/>
              <w:jc w:val="left"/>
            </w:pPr>
            <w:r>
              <w:t xml:space="preserve">🟡 High</w:t>
            </w:r>
          </w:p>
        </w:tc>
      </w:tr>
      <w:tr>
        <w:tc>
          <w:tcPr/>
          <w:p>
            <w:pPr>
              <w:pStyle w:val="Compact"/>
              <w:jc w:val="left"/>
            </w:pPr>
            <w:r>
              <w:rPr>
                <w:bCs/>
                <w:b/>
              </w:rPr>
              <w:t xml:space="preserve">Model Risk Management</w:t>
            </w:r>
          </w:p>
        </w:tc>
        <w:tc>
          <w:tcPr/>
          <w:p>
            <w:pPr>
              <w:pStyle w:val="Compact"/>
              <w:jc w:val="left"/>
            </w:pPr>
            <w:r>
              <w:t xml:space="preserve">Formal MRM approval process for LLM-based scenario generation (AI governance framework)</w:t>
            </w:r>
          </w:p>
        </w:tc>
        <w:tc>
          <w:tcPr/>
          <w:p>
            <w:pPr>
              <w:pStyle w:val="Compact"/>
              <w:jc w:val="left"/>
            </w:pPr>
            <w:r>
              <w:t xml:space="preserve">🟡 High</w:t>
            </w:r>
          </w:p>
        </w:tc>
      </w:tr>
      <w:tr>
        <w:tc>
          <w:tcPr/>
          <w:p>
            <w:pPr>
              <w:pStyle w:val="Compact"/>
              <w:jc w:val="left"/>
            </w:pPr>
            <w:r>
              <w:rPr>
                <w:bCs/>
                <w:b/>
              </w:rPr>
              <w:t xml:space="preserve">Data Privacy / GDPR</w:t>
            </w:r>
          </w:p>
        </w:tc>
        <w:tc>
          <w:tcPr/>
          <w:p>
            <w:pPr>
              <w:pStyle w:val="Compact"/>
              <w:jc w:val="left"/>
            </w:pPr>
            <w:r>
              <w:t xml:space="preserve">Legal review of synthetic data generator and market signal ingestion pipeline</w:t>
            </w:r>
          </w:p>
        </w:tc>
        <w:tc>
          <w:tcPr/>
          <w:p>
            <w:pPr>
              <w:pStyle w:val="Compact"/>
              <w:jc w:val="left"/>
            </w:pPr>
            <w:r>
              <w:t xml:space="preserve">🟡 High</w:t>
            </w:r>
          </w:p>
        </w:tc>
      </w:tr>
      <w:tr>
        <w:tc>
          <w:tcPr/>
          <w:p>
            <w:pPr>
              <w:pStyle w:val="Compact"/>
              <w:jc w:val="left"/>
            </w:pPr>
            <w:r>
              <w:rPr>
                <w:bCs/>
                <w:b/>
              </w:rPr>
              <w:t xml:space="preserve">API Platform Team</w:t>
            </w:r>
          </w:p>
        </w:tc>
        <w:tc>
          <w:tcPr/>
          <w:p>
            <w:pPr>
              <w:pStyle w:val="Compact"/>
              <w:jc w:val="left"/>
            </w:pPr>
            <w:r>
              <w:t xml:space="preserve">Support exposing MI as standalone API via ING’s API gateway / developer portal</w:t>
            </w:r>
          </w:p>
        </w:tc>
        <w:tc>
          <w:tcPr/>
          <w:p>
            <w:pPr>
              <w:pStyle w:val="Compact"/>
              <w:jc w:val="left"/>
            </w:pPr>
            <w:r>
              <w:t xml:space="preserve">🟡 High</w:t>
            </w:r>
          </w:p>
        </w:tc>
      </w:tr>
      <w:tr>
        <w:tc>
          <w:tcPr/>
          <w:p>
            <w:pPr>
              <w:pStyle w:val="Compact"/>
              <w:jc w:val="left"/>
            </w:pPr>
            <w:r>
              <w:rPr>
                <w:bCs/>
                <w:b/>
              </w:rPr>
              <w:t xml:space="preserve">Budget Allocation</w:t>
            </w:r>
          </w:p>
        </w:tc>
        <w:tc>
          <w:tcPr/>
          <w:p>
            <w:pPr>
              <w:pStyle w:val="Compact"/>
              <w:jc w:val="left"/>
            </w:pPr>
            <w:r>
              <w:t xml:space="preserve">Initial build budget for Phase 1 (estimated €400K–€600K engineering + infra)</w:t>
            </w:r>
          </w:p>
        </w:tc>
        <w:tc>
          <w:tcPr/>
          <w:p>
            <w:pPr>
              <w:pStyle w:val="Compact"/>
              <w:jc w:val="left"/>
            </w:pPr>
            <w:r>
              <w:t xml:space="preserve">🟡 High</w:t>
            </w:r>
          </w:p>
        </w:tc>
      </w:tr>
    </w:tbl>
    <w:p>
      <w:r>
        <w:pict>
          <v:rect style="width:0;height:1.5pt" o:hralign="center" o:hrstd="t" o:hr="t"/>
        </w:pict>
      </w:r>
    </w:p>
    <w:bookmarkEnd w:id="45"/>
    <w:bookmarkStart w:id="48" w:name="summary-recommendation"/>
    <w:p>
      <w:pPr>
        <w:pStyle w:val="Heading2"/>
      </w:pPr>
      <w:r>
        <w:t xml:space="preserve">9. Summary &amp; Recommendation</w:t>
      </w:r>
    </w:p>
    <w:p>
      <w:pPr>
        <w:pStyle w:val="FirstParagraph"/>
      </w:pPr>
      <w:r>
        <w:t xml:space="preserve">StressLess is not an incremental improvement on existing stress testing tools — it is a</w:t>
      </w:r>
      <w:r>
        <w:t xml:space="preserve"> </w:t>
      </w:r>
      <w:r>
        <w:rPr>
          <w:bCs/>
          <w:b/>
        </w:rPr>
        <w:t xml:space="preserve">paradigm shift</w:t>
      </w:r>
      <w:r>
        <w:t xml:space="preserve"> </w:t>
      </w:r>
      <w:r>
        <w:t xml:space="preserve">from backward-looking, manual, siloed stress testing to</w:t>
      </w:r>
      <w:r>
        <w:t xml:space="preserve"> </w:t>
      </w:r>
      <w:r>
        <w:rPr>
          <w:bCs/>
          <w:b/>
        </w:rPr>
        <w:t xml:space="preserve">forward-looking, AI-augmented, modular risk intelligence</w:t>
      </w:r>
      <w:r>
        <w:t xml:space="preserve">.</w:t>
      </w:r>
    </w:p>
    <w:bookmarkStart w:id="46" w:name="why-act-now"/>
    <w:p>
      <w:pPr>
        <w:pStyle w:val="Heading3"/>
      </w:pPr>
      <w:r>
        <w:t xml:space="preserve">Why Act Now?</w:t>
      </w:r>
    </w:p>
    <w:p>
      <w:pPr>
        <w:numPr>
          <w:ilvl w:val="0"/>
          <w:numId w:val="1006"/>
        </w:numPr>
        <w:pStyle w:val="Compact"/>
      </w:pPr>
      <w:r>
        <w:rPr>
          <w:bCs/>
          <w:b/>
        </w:rPr>
        <w:t xml:space="preserve">Regulatory pressure is accelerating</w:t>
      </w:r>
      <w:r>
        <w:t xml:space="preserve"> </w:t>
      </w:r>
      <w:r>
        <w:t xml:space="preserve">— EBA 2025 stress tests, DORA operational resilience, NGFS climate scenarios all increase the volume and complexity of stress testing obligations</w:t>
      </w:r>
    </w:p>
    <w:p>
      <w:pPr>
        <w:numPr>
          <w:ilvl w:val="0"/>
          <w:numId w:val="1006"/>
        </w:numPr>
        <w:pStyle w:val="Compact"/>
      </w:pPr>
      <w:r>
        <w:rPr>
          <w:bCs/>
          <w:b/>
        </w:rPr>
        <w:t xml:space="preserve">Window of differentiation</w:t>
      </w:r>
      <w:r>
        <w:t xml:space="preserve"> </w:t>
      </w:r>
      <w:r>
        <w:t xml:space="preserve">— No major competitor offers real-time NLP market signal ingestion + LLM scenario design + pluggable proprietary model architecture in a single platform</w:t>
      </w:r>
    </w:p>
    <w:p>
      <w:pPr>
        <w:numPr>
          <w:ilvl w:val="0"/>
          <w:numId w:val="1006"/>
        </w:numPr>
        <w:pStyle w:val="Compact"/>
      </w:pPr>
      <w:r>
        <w:rPr>
          <w:bCs/>
          <w:b/>
        </w:rPr>
        <w:t xml:space="preserve">Internal ROI is compelling</w:t>
      </w:r>
      <w:r>
        <w:t xml:space="preserve"> </w:t>
      </w:r>
      <w:r>
        <w:t xml:space="preserve">— €1.97M annual saving vs ~€600K platform cost =</w:t>
      </w:r>
      <w:r>
        <w:t xml:space="preserve"> </w:t>
      </w:r>
      <w:r>
        <w:rPr>
          <w:bCs/>
          <w:b/>
        </w:rPr>
        <w:t xml:space="preserve">3.3× first-year ROI</w:t>
      </w:r>
    </w:p>
    <w:p>
      <w:pPr>
        <w:numPr>
          <w:ilvl w:val="0"/>
          <w:numId w:val="1006"/>
        </w:numPr>
        <w:pStyle w:val="Compact"/>
      </w:pPr>
      <w:r>
        <w:rPr>
          <w:bCs/>
          <w:b/>
        </w:rPr>
        <w:t xml:space="preserve">External revenue opportunity</w:t>
      </w:r>
      <w:r>
        <w:t xml:space="preserve"> </w:t>
      </w:r>
      <w:r>
        <w:t xml:space="preserve">— AI Market Intelligence standalone API targets a €2–5B global risk analytics market with immediate inbound interest confirmed</w:t>
      </w:r>
    </w:p>
    <w:p>
      <w:pPr>
        <w:numPr>
          <w:ilvl w:val="0"/>
          <w:numId w:val="1006"/>
        </w:numPr>
        <w:pStyle w:val="Compact"/>
      </w:pPr>
      <w:r>
        <w:rPr>
          <w:bCs/>
          <w:b/>
        </w:rPr>
        <w:t xml:space="preserve">ING as reference client</w:t>
      </w:r>
      <w:r>
        <w:t xml:space="preserve"> </w:t>
      </w:r>
      <w:r>
        <w:t xml:space="preserve">— Internal deployment creates the validated case study needed to win Tier-1 external bank clients</w:t>
      </w:r>
    </w:p>
    <w:bookmarkEnd w:id="46"/>
    <w:bookmarkStart w:id="47" w:name="recommended-next-steps"/>
    <w:p>
      <w:pPr>
        <w:pStyle w:val="Heading3"/>
      </w:pPr>
      <w:r>
        <w:t xml:space="preserve">Recommended Next Steps</w:t>
      </w:r>
    </w:p>
    <w:p>
      <w:pPr>
        <w:numPr>
          <w:ilvl w:val="0"/>
          <w:numId w:val="1007"/>
        </w:numPr>
        <w:pStyle w:val="Compact"/>
      </w:pPr>
      <w:r>
        <w:t xml:space="preserve">☐ Secure internal ING pilot commitment (Market Risk / Wholesale Banking)</w:t>
      </w:r>
    </w:p>
    <w:p>
      <w:pPr>
        <w:numPr>
          <w:ilvl w:val="0"/>
          <w:numId w:val="1007"/>
        </w:numPr>
        <w:pStyle w:val="Compact"/>
      </w:pPr>
      <w:r>
        <w:t xml:space="preserve">☐ Stand up AI Market Intelligence API (beta) for interested external users</w:t>
      </w:r>
    </w:p>
    <w:p>
      <w:pPr>
        <w:numPr>
          <w:ilvl w:val="0"/>
          <w:numId w:val="1007"/>
        </w:numPr>
        <w:pStyle w:val="Compact"/>
      </w:pPr>
      <w:r>
        <w:t xml:space="preserve">☐ Complete Phase 1 build with dedicated squad (4–6 engineers, 2 risk domain experts)</w:t>
      </w:r>
    </w:p>
    <w:p>
      <w:pPr>
        <w:numPr>
          <w:ilvl w:val="0"/>
          <w:numId w:val="1007"/>
        </w:numPr>
        <w:pStyle w:val="Compact"/>
      </w:pPr>
      <w:r>
        <w:t xml:space="preserve">☐ File for AI governance / MRM approval of LLM scenario generation component</w:t>
      </w:r>
    </w:p>
    <w:p>
      <w:pPr>
        <w:numPr>
          <w:ilvl w:val="0"/>
          <w:numId w:val="1007"/>
        </w:numPr>
        <w:pStyle w:val="Compact"/>
      </w:pPr>
      <w:r>
        <w:t xml:space="preserve">☐ Develop external sales collateral based on this business case</w:t>
      </w:r>
    </w:p>
    <w:p>
      <w:r>
        <w:pict>
          <v:rect style="width:0;height:1.5pt" o:hralign="center" o:hrstd="t" o:hr="t"/>
        </w:pict>
      </w:r>
    </w:p>
    <w:p>
      <w:pPr>
        <w:pStyle w:val="FirstParagraph"/>
      </w:pPr>
      <w:r>
        <w:rPr>
          <w:iCs/>
          <w:i/>
        </w:rPr>
        <w:t xml:space="preserve">Document prepared for StressLess Product Strategy | Confidential | ING Innovation &amp; AI</w:t>
      </w:r>
    </w:p>
    <w:bookmarkEnd w:id="47"/>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2026-07-13T15:53:51Z</dcterms:created>
  <dcterms:modified xsi:type="dcterms:W3CDTF">2026-07-13T15:53:51Z</dcterms:modified>
</cp:coreProperties>
</file>

<file path=docProps/custom.xml><?xml version="1.0" encoding="utf-8"?>
<Properties xmlns="http://schemas.openxmlformats.org/officeDocument/2006/custom-properties" xmlns:vt="http://schemas.openxmlformats.org/officeDocument/2006/docPropsVTypes"/>
</file>