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in this video tutorial you will learn how to create a Popunder ad. </w:t>
        <w:br w:type="textWrapping"/>
        <w:t xml:space="preserve">To set up a Popunder creative type, fill in the banner’s Name and settings.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Bid Price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Frequency Cap (24 Hours)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Frequency Cap (30 days)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also u can use </w:t>
        <w:br w:type="textWrapping"/>
        <w:t xml:space="preserve"> </w:t>
        <w:br w:type="textWrapping"/>
        <w:t xml:space="preserve">Macros List</w:t>
        <w:br w:type="textWrapping"/>
        <w:br w:type="textWrapping"/>
        <w:t xml:space="preserve">once all set here you are ready to create the campaign and get it running just press the create a campaign button and the campaign will start in a few minutes. </w:t>
        <w:br w:type="textWrapping"/>
        <w:t xml:space="preserve">for any questions or help please visit our support center </w:t>
        <w:br w:type="textWrapping"/>
        <w:t xml:space="preserve">thank you for watching.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