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B347D" w14:textId="77777777" w:rsidR="00AC1459" w:rsidRDefault="00AC1459" w:rsidP="00AC1459">
      <w:pPr>
        <w:pStyle w:val="a3"/>
        <w:jc w:val="center"/>
      </w:pPr>
      <w:r>
        <w:rPr>
          <w:b/>
          <w:bCs/>
        </w:rPr>
        <w:t>УСЛОВНЫЕ ГРАФИЧЕСКИЕ ОБОЗНАЧЕНИЯ В СХЕМАХ, ПРИНЯТЫЕ В ЖУРНАЛЕ “РАДИО”</w:t>
      </w:r>
    </w:p>
    <w:p w14:paraId="1F4953F0" w14:textId="77777777" w:rsidR="00AC1459" w:rsidRDefault="00AC1459" w:rsidP="00AC1459">
      <w:pPr>
        <w:pStyle w:val="a3"/>
      </w:pPr>
      <w:r>
        <w:t>Отбирая материалы для публикации в журнале, редакция руководствуется прежде всего актуальностью тематики и интересом для широкого круга чита</w:t>
      </w:r>
      <w:r>
        <w:softHyphen/>
        <w:t>телей. Но, разумеется, мы обращаем внимание и на степень их соответствия требованиям, предъявляемым к авто</w:t>
      </w:r>
      <w:r>
        <w:softHyphen/>
        <w:t>рам. Чем выше эта степень, тем меньше возникает вопросов при редактирова</w:t>
      </w:r>
      <w:r>
        <w:softHyphen/>
        <w:t>нии, тем легче и быстрее можно подго</w:t>
      </w:r>
      <w:r>
        <w:softHyphen/>
        <w:t>товить статью к печати.</w:t>
      </w:r>
    </w:p>
    <w:p w14:paraId="5B25DE53" w14:textId="77777777" w:rsidR="00AC1459" w:rsidRDefault="00AC1459" w:rsidP="00AC1459">
      <w:pPr>
        <w:pStyle w:val="a3"/>
      </w:pPr>
      <w:r>
        <w:t xml:space="preserve">Сегодня речь </w:t>
      </w:r>
      <w:proofErr w:type="spellStart"/>
      <w:r>
        <w:t>пойдет</w:t>
      </w:r>
      <w:proofErr w:type="spellEnd"/>
      <w:r>
        <w:t xml:space="preserve"> о такой важной части статьи, как принципиальная элек</w:t>
      </w:r>
      <w:r>
        <w:softHyphen/>
        <w:t>трическая и структурная схемы описы</w:t>
      </w:r>
      <w:r>
        <w:softHyphen/>
        <w:t xml:space="preserve">ваемого устройства. </w:t>
      </w:r>
      <w:proofErr w:type="spellStart"/>
      <w:r>
        <w:t>Начнем</w:t>
      </w:r>
      <w:proofErr w:type="spellEnd"/>
      <w:r>
        <w:t xml:space="preserve"> с того, что схему желательно вычерчивать шари</w:t>
      </w:r>
      <w:r>
        <w:softHyphen/>
        <w:t>ковой авторучкой с помощью линейки и трафаретов. Конечно, можно исполь</w:t>
      </w:r>
      <w:r>
        <w:softHyphen/>
        <w:t xml:space="preserve">зовать </w:t>
      </w:r>
      <w:proofErr w:type="spellStart"/>
      <w:r>
        <w:t>чертежные</w:t>
      </w:r>
      <w:proofErr w:type="spellEnd"/>
      <w:r>
        <w:t xml:space="preserve"> инструменты и тушь, но это более </w:t>
      </w:r>
      <w:proofErr w:type="spellStart"/>
      <w:r>
        <w:t>трудоемко</w:t>
      </w:r>
      <w:proofErr w:type="spellEnd"/>
      <w:r>
        <w:t xml:space="preserve"> и вряд ли целе</w:t>
      </w:r>
      <w:r>
        <w:softHyphen/>
        <w:t>сообразно. Разумеется, схема может быть выполнена и в электронном виде, но и в этом случае начертание и разме</w:t>
      </w:r>
      <w:r>
        <w:softHyphen/>
        <w:t xml:space="preserve">ры условных графических обозначений (далее для краткости — УГО) элементов должны быть такими, как указано на с. 40, 41. Схемы следует выполнять с </w:t>
      </w:r>
      <w:proofErr w:type="spellStart"/>
      <w:r>
        <w:t>учетом</w:t>
      </w:r>
      <w:proofErr w:type="spellEnd"/>
      <w:r>
        <w:t xml:space="preserve"> требований по разрешению:</w:t>
      </w:r>
    </w:p>
    <w:p w14:paraId="56CF0293" w14:textId="77777777" w:rsidR="00AC1459" w:rsidRDefault="00AC1459" w:rsidP="00AC1459">
      <w:pPr>
        <w:pStyle w:val="a3"/>
      </w:pPr>
      <w:r>
        <w:t>в масштабе, принятом в журнале, раз</w:t>
      </w:r>
      <w:r>
        <w:softHyphen/>
        <w:t xml:space="preserve">решение должно быть не менее 300 </w:t>
      </w:r>
      <w:proofErr w:type="spellStart"/>
      <w:r>
        <w:t>dpi</w:t>
      </w:r>
      <w:proofErr w:type="spellEnd"/>
      <w:r>
        <w:t xml:space="preserve"> (300 точек на дюйм). Формат файлов со схемами — </w:t>
      </w:r>
      <w:r>
        <w:rPr>
          <w:b/>
          <w:bCs/>
        </w:rPr>
        <w:t>.</w:t>
      </w:r>
      <w:proofErr w:type="spellStart"/>
      <w:r>
        <w:rPr>
          <w:b/>
          <w:bCs/>
        </w:rPr>
        <w:t>bmp</w:t>
      </w:r>
      <w:proofErr w:type="spellEnd"/>
      <w:r>
        <w:t xml:space="preserve"> или </w:t>
      </w:r>
      <w:r>
        <w:rPr>
          <w:b/>
          <w:bCs/>
        </w:rPr>
        <w:t>.</w:t>
      </w:r>
      <w:proofErr w:type="spellStart"/>
      <w:r>
        <w:rPr>
          <w:b/>
          <w:bCs/>
        </w:rPr>
        <w:t>tif</w:t>
      </w:r>
      <w:proofErr w:type="spellEnd"/>
    </w:p>
    <w:p w14:paraId="5EA294DF" w14:textId="77777777" w:rsidR="00AC1459" w:rsidRDefault="00AC1459" w:rsidP="00AC1459">
      <w:pPr>
        <w:pStyle w:val="a3"/>
      </w:pPr>
      <w:r>
        <w:t>Составляя схему устройства, следует придерживаться общепринятого пра</w:t>
      </w:r>
      <w:r>
        <w:softHyphen/>
        <w:t>вила: вход — слева, выход — справа. Несоблюдение этого правила вынуж</w:t>
      </w:r>
      <w:r>
        <w:softHyphen/>
        <w:t xml:space="preserve">дает редактора перестраивать схему, а это чревато возникновением ошибок схемотехнического характера и, кроме того, </w:t>
      </w:r>
      <w:proofErr w:type="spellStart"/>
      <w:r>
        <w:t>приведет</w:t>
      </w:r>
      <w:proofErr w:type="spellEnd"/>
      <w:r>
        <w:t xml:space="preserve"> к перенумерации эле</w:t>
      </w:r>
      <w:r>
        <w:softHyphen/>
        <w:t xml:space="preserve">ментов, что тоже может породить ошибки (особенно в том случае, если в статье приводится и </w:t>
      </w:r>
      <w:proofErr w:type="spellStart"/>
      <w:r>
        <w:t>чертеж</w:t>
      </w:r>
      <w:proofErr w:type="spellEnd"/>
      <w:r>
        <w:t xml:space="preserve"> печатной платы).</w:t>
      </w:r>
    </w:p>
    <w:p w14:paraId="1E361631" w14:textId="77777777" w:rsidR="00AC1459" w:rsidRDefault="00AC1459" w:rsidP="00AC1459">
      <w:pPr>
        <w:pStyle w:val="a3"/>
      </w:pPr>
      <w:r>
        <w:t>УГО наиболее часто встречающихся в схемах элементов и их размеры в мас</w:t>
      </w:r>
      <w:r>
        <w:softHyphen/>
        <w:t>штабе 1:1 (в журнале — 1:2, т. е. в два раза меньше) приведены на с. 40, 41. Об особенностях применения некото</w:t>
      </w:r>
      <w:r>
        <w:softHyphen/>
        <w:t>рых из них будет сказано далее, а сей</w:t>
      </w:r>
      <w:r>
        <w:softHyphen/>
        <w:t xml:space="preserve">час — </w:t>
      </w:r>
      <w:proofErr w:type="spellStart"/>
      <w:r>
        <w:t>еще</w:t>
      </w:r>
      <w:proofErr w:type="spellEnd"/>
      <w:r>
        <w:t xml:space="preserve"> несколько слов об общих требованиях к схемам. Возле каждого элемента (желательно сверху или спра</w:t>
      </w:r>
      <w:r>
        <w:softHyphen/>
        <w:t>ва) должно быть указано его позицион</w:t>
      </w:r>
      <w:r>
        <w:softHyphen/>
        <w:t>ное обозначение (</w:t>
      </w:r>
      <w:proofErr w:type="spellStart"/>
      <w:r>
        <w:t>R1</w:t>
      </w:r>
      <w:proofErr w:type="spellEnd"/>
      <w:r>
        <w:t xml:space="preserve">, </w:t>
      </w:r>
      <w:proofErr w:type="spellStart"/>
      <w:r>
        <w:t>R2</w:t>
      </w:r>
      <w:proofErr w:type="spellEnd"/>
      <w:r>
        <w:t xml:space="preserve">..., </w:t>
      </w:r>
      <w:proofErr w:type="spellStart"/>
      <w:r>
        <w:t>C1</w:t>
      </w:r>
      <w:proofErr w:type="spellEnd"/>
      <w:r>
        <w:t xml:space="preserve">, </w:t>
      </w:r>
      <w:proofErr w:type="spellStart"/>
      <w:r>
        <w:t>C2</w:t>
      </w:r>
      <w:proofErr w:type="spellEnd"/>
      <w:r>
        <w:t xml:space="preserve"> и т. д.). Нумеровать элементы необхо</w:t>
      </w:r>
      <w:r>
        <w:softHyphen/>
        <w:t>димо слева направо — сверху вниз, на</w:t>
      </w:r>
      <w:r>
        <w:softHyphen/>
        <w:t>пример, так:</w:t>
      </w:r>
    </w:p>
    <w:p w14:paraId="1BFE0DDA" w14:textId="77777777" w:rsidR="00AC1459" w:rsidRDefault="00AC1459" w:rsidP="00AC1459">
      <w:pPr>
        <w:pStyle w:val="a3"/>
      </w:pPr>
      <w:proofErr w:type="spellStart"/>
      <w:r>
        <w:t>R1</w:t>
      </w:r>
      <w:proofErr w:type="spellEnd"/>
      <w:r>
        <w:t xml:space="preserve"> </w:t>
      </w:r>
      <w:proofErr w:type="spellStart"/>
      <w:r>
        <w:t>R4</w:t>
      </w:r>
      <w:proofErr w:type="spellEnd"/>
      <w:r>
        <w:t xml:space="preserve"> </w:t>
      </w:r>
      <w:proofErr w:type="spellStart"/>
      <w:r>
        <w:t>R7</w:t>
      </w:r>
      <w:proofErr w:type="spellEnd"/>
      <w:r>
        <w:t xml:space="preserve"> </w:t>
      </w:r>
      <w:proofErr w:type="spellStart"/>
      <w:r>
        <w:t>R9</w:t>
      </w:r>
      <w:proofErr w:type="spellEnd"/>
    </w:p>
    <w:p w14:paraId="7C661293" w14:textId="77777777" w:rsidR="00AC1459" w:rsidRDefault="00AC1459" w:rsidP="00AC1459">
      <w:pPr>
        <w:pStyle w:val="a3"/>
      </w:pPr>
      <w:proofErr w:type="spellStart"/>
      <w:r>
        <w:t>R2</w:t>
      </w:r>
      <w:proofErr w:type="spellEnd"/>
      <w:r>
        <w:t xml:space="preserve"> </w:t>
      </w:r>
      <w:proofErr w:type="spellStart"/>
      <w:r>
        <w:t>R5</w:t>
      </w:r>
      <w:proofErr w:type="spellEnd"/>
    </w:p>
    <w:p w14:paraId="72E37BF3" w14:textId="77777777" w:rsidR="00AC1459" w:rsidRDefault="00AC1459" w:rsidP="00AC1459">
      <w:pPr>
        <w:pStyle w:val="a3"/>
      </w:pPr>
      <w:proofErr w:type="spellStart"/>
      <w:r>
        <w:t>RЗ</w:t>
      </w:r>
      <w:proofErr w:type="spellEnd"/>
      <w:r>
        <w:t xml:space="preserve"> </w:t>
      </w:r>
      <w:proofErr w:type="spellStart"/>
      <w:r>
        <w:t>R6</w:t>
      </w:r>
      <w:proofErr w:type="spellEnd"/>
      <w:r>
        <w:t xml:space="preserve"> </w:t>
      </w:r>
      <w:proofErr w:type="spellStart"/>
      <w:r>
        <w:t>R8</w:t>
      </w:r>
      <w:proofErr w:type="spellEnd"/>
      <w:r>
        <w:t xml:space="preserve"> </w:t>
      </w:r>
      <w:proofErr w:type="spellStart"/>
      <w:r>
        <w:t>R10</w:t>
      </w:r>
      <w:proofErr w:type="spellEnd"/>
      <w:r>
        <w:t>...</w:t>
      </w:r>
    </w:p>
    <w:p w14:paraId="1C16FE82" w14:textId="77777777" w:rsidR="00AC1459" w:rsidRDefault="00AC1459" w:rsidP="00AC1459">
      <w:pPr>
        <w:pStyle w:val="a3"/>
      </w:pPr>
      <w:r>
        <w:t>Рядом с УГО резисторов и конден</w:t>
      </w:r>
      <w:r>
        <w:softHyphen/>
        <w:t>саторов проставляют общепринятым способом их номиналы. Сопротивле</w:t>
      </w:r>
      <w:r>
        <w:softHyphen/>
        <w:t xml:space="preserve">ние до 999 Ом указывают в омах без обозначения единицы измерения, от 1 до 999 кОм — в килоомах (используют </w:t>
      </w:r>
      <w:proofErr w:type="spellStart"/>
      <w:r>
        <w:t>сокращенное</w:t>
      </w:r>
      <w:proofErr w:type="spellEnd"/>
      <w:r>
        <w:t xml:space="preserve"> обозначение — букву "к"), от 1 МОм и выше — в мегаомах (обозначают буквой "М"). Так, номи</w:t>
      </w:r>
      <w:r>
        <w:softHyphen/>
        <w:t>нал 2,2 на схеме обозначает 2,2 Ом;</w:t>
      </w:r>
    </w:p>
    <w:p w14:paraId="392E83FD" w14:textId="77777777" w:rsidR="00AC1459" w:rsidRDefault="00AC1459" w:rsidP="00AC1459">
      <w:pPr>
        <w:pStyle w:val="a3"/>
      </w:pPr>
      <w:r>
        <w:t xml:space="preserve">330 — 330 Ом; 1,2 к — 1,2 </w:t>
      </w:r>
      <w:proofErr w:type="spellStart"/>
      <w:r>
        <w:t>к0м</w:t>
      </w:r>
      <w:proofErr w:type="spellEnd"/>
      <w:r>
        <w:t xml:space="preserve">; 3,6 М — 3,6 МОм. </w:t>
      </w:r>
      <w:proofErr w:type="spellStart"/>
      <w:r>
        <w:t>Емкость</w:t>
      </w:r>
      <w:proofErr w:type="spellEnd"/>
      <w:r>
        <w:t xml:space="preserve"> до 9 999 пФ указыва</w:t>
      </w:r>
      <w:r>
        <w:softHyphen/>
        <w:t>ют в пикофарадах без обозначения единицы измерения, а начиная со зна</w:t>
      </w:r>
      <w:r>
        <w:softHyphen/>
        <w:t>чения 10000 пФ — в микрофарадах (используют буквы "</w:t>
      </w:r>
      <w:proofErr w:type="spellStart"/>
      <w:r>
        <w:t>мк</w:t>
      </w:r>
      <w:proofErr w:type="spellEnd"/>
      <w:r>
        <w:t>"). Номинал 5,1 обозначает 5,1 пФ; 430 — 430 пФ;</w:t>
      </w:r>
    </w:p>
    <w:p w14:paraId="488A54AE" w14:textId="77777777" w:rsidR="00AC1459" w:rsidRDefault="00AC1459" w:rsidP="00AC1459">
      <w:pPr>
        <w:pStyle w:val="a3"/>
      </w:pPr>
      <w:r>
        <w:t xml:space="preserve">9100 — 9 100 пФ; 0,01 </w:t>
      </w:r>
      <w:proofErr w:type="spellStart"/>
      <w:r>
        <w:t>мк</w:t>
      </w:r>
      <w:proofErr w:type="spellEnd"/>
      <w:r>
        <w:t xml:space="preserve"> — 0,01 мкФ;</w:t>
      </w:r>
    </w:p>
    <w:p w14:paraId="7DDF73E5" w14:textId="77777777" w:rsidR="00AC1459" w:rsidRDefault="00AC1459" w:rsidP="00AC1459">
      <w:pPr>
        <w:pStyle w:val="a3"/>
      </w:pPr>
      <w:r>
        <w:lastRenderedPageBreak/>
        <w:t xml:space="preserve">470 </w:t>
      </w:r>
      <w:proofErr w:type="spellStart"/>
      <w:r>
        <w:t>мк</w:t>
      </w:r>
      <w:proofErr w:type="spellEnd"/>
      <w:r>
        <w:t xml:space="preserve"> — 470 мкФ и т. д. Для оксидных конденсаторов (а иногда и для конден</w:t>
      </w:r>
      <w:r>
        <w:softHyphen/>
        <w:t>саторов других видов, если важно об</w:t>
      </w:r>
      <w:r>
        <w:softHyphen/>
        <w:t xml:space="preserve">ратить внимание на этот параметр) указывают номинальное напряжение, присоединяя его через знак умножения (например, 100 </w:t>
      </w:r>
      <w:proofErr w:type="spellStart"/>
      <w:r>
        <w:t>мк</w:t>
      </w:r>
      <w:proofErr w:type="spellEnd"/>
      <w:r>
        <w:t xml:space="preserve"> х 400 В).</w:t>
      </w:r>
    </w:p>
    <w:p w14:paraId="006E0C7C" w14:textId="77777777" w:rsidR="00AC1459" w:rsidRDefault="00AC1459" w:rsidP="00AC1459">
      <w:pPr>
        <w:pStyle w:val="a3"/>
      </w:pPr>
      <w:r>
        <w:t>Номинальное значение основного параметра желательно указывать и у катушек индуктивности, особенно промышленного изготовления (напри</w:t>
      </w:r>
      <w:r>
        <w:softHyphen/>
        <w:t xml:space="preserve">мер, унифицированных дросселей </w:t>
      </w:r>
      <w:proofErr w:type="spellStart"/>
      <w:r>
        <w:t>ДП</w:t>
      </w:r>
      <w:proofErr w:type="spellEnd"/>
      <w:r>
        <w:t xml:space="preserve">, </w:t>
      </w:r>
      <w:proofErr w:type="spellStart"/>
      <w:r>
        <w:t>ДПМ</w:t>
      </w:r>
      <w:proofErr w:type="spellEnd"/>
      <w:r>
        <w:t xml:space="preserve"> и т. п.). Индуктивность до 999 </w:t>
      </w:r>
      <w:proofErr w:type="spellStart"/>
      <w:r>
        <w:t>мкГн</w:t>
      </w:r>
      <w:proofErr w:type="spellEnd"/>
      <w:r>
        <w:t xml:space="preserve"> обозначают в микрогенри (обозначение на схемах — </w:t>
      </w:r>
      <w:proofErr w:type="spellStart"/>
      <w:r>
        <w:t>мкГн</w:t>
      </w:r>
      <w:proofErr w:type="spellEnd"/>
      <w:r>
        <w:t xml:space="preserve">), от 1 до 999 </w:t>
      </w:r>
      <w:proofErr w:type="spellStart"/>
      <w:r>
        <w:t>мГн</w:t>
      </w:r>
      <w:proofErr w:type="spellEnd"/>
      <w:r>
        <w:t xml:space="preserve"> — в миллигенри (</w:t>
      </w:r>
      <w:proofErr w:type="spellStart"/>
      <w:r>
        <w:t>мГн</w:t>
      </w:r>
      <w:proofErr w:type="spellEnd"/>
      <w:r>
        <w:t>), от 1 Гн и выше — в генри (Гн).</w:t>
      </w:r>
    </w:p>
    <w:p w14:paraId="18E1A0EE" w14:textId="77777777" w:rsidR="00AC1459" w:rsidRDefault="00AC1459" w:rsidP="00AC1459">
      <w:pPr>
        <w:pStyle w:val="a3"/>
      </w:pPr>
      <w:r>
        <w:t>Внутри УГО постоянных резисторов указывают мощность рассеяния, возле УГО диодов, транзисторов, микросхем и некоторых других элементов (оптронов, акустических головок, цифровых индикаторов, стрелочных измеритель</w:t>
      </w:r>
      <w:r>
        <w:softHyphen/>
        <w:t>ных приборов) — их полное обозначе</w:t>
      </w:r>
      <w:r>
        <w:softHyphen/>
        <w:t>ние (с буквенным индексом), а у выво</w:t>
      </w:r>
      <w:r>
        <w:softHyphen/>
        <w:t xml:space="preserve">дов микросхем и контактов </w:t>
      </w:r>
      <w:proofErr w:type="spellStart"/>
      <w:r>
        <w:t>разъемных</w:t>
      </w:r>
      <w:proofErr w:type="spellEnd"/>
      <w:r>
        <w:t xml:space="preserve"> соединителей (вилок и розеток) — их номера. Кроме того, рядом с УГО изме</w:t>
      </w:r>
      <w:r>
        <w:softHyphen/>
        <w:t>рительного прибора желательно ука</w:t>
      </w:r>
      <w:r>
        <w:softHyphen/>
        <w:t xml:space="preserve">зать предельные значения измеряемой величины (например, </w:t>
      </w:r>
      <w:proofErr w:type="gramStart"/>
      <w:r>
        <w:t>О...</w:t>
      </w:r>
      <w:proofErr w:type="gramEnd"/>
      <w:r>
        <w:t>100 мкА). Для облегчения повторения и налажи</w:t>
      </w:r>
      <w:r>
        <w:softHyphen/>
        <w:t>вания конструкций желательно указать на схеме переменные напряжения на вторичных обмотках трансформаторов питания, режимы работы транзисторов и микросхем (возле их выводов) по по</w:t>
      </w:r>
      <w:r>
        <w:softHyphen/>
        <w:t>стоянному току, осциллограммы сигна</w:t>
      </w:r>
      <w:r>
        <w:softHyphen/>
        <w:t>лов в характерных точках устройства.</w:t>
      </w:r>
    </w:p>
    <w:p w14:paraId="22E78090" w14:textId="77777777" w:rsidR="00AC1459" w:rsidRDefault="00AC1459" w:rsidP="00AC1459">
      <w:pPr>
        <w:pStyle w:val="a3"/>
      </w:pPr>
      <w:r>
        <w:t>Поблизости от УГО элементов, ис</w:t>
      </w:r>
      <w:r>
        <w:softHyphen/>
        <w:t>пользуемых в качестве органов управ</w:t>
      </w:r>
      <w:r>
        <w:softHyphen/>
        <w:t>ления (переменные резисторы, пере</w:t>
      </w:r>
      <w:r>
        <w:softHyphen/>
        <w:t>ключатели и т. п.), присоединения (</w:t>
      </w:r>
      <w:proofErr w:type="spellStart"/>
      <w:r>
        <w:t>разъемные</w:t>
      </w:r>
      <w:proofErr w:type="spellEnd"/>
      <w:r>
        <w:t xml:space="preserve"> соединители, гнезда, за</w:t>
      </w:r>
      <w:r>
        <w:softHyphen/>
        <w:t>жимы) и индикаторов (лампы накалива</w:t>
      </w:r>
      <w:r>
        <w:softHyphen/>
        <w:t xml:space="preserve">ния, светодиоды, </w:t>
      </w:r>
      <w:proofErr w:type="spellStart"/>
      <w:r>
        <w:t>звукоизлучатели</w:t>
      </w:r>
      <w:proofErr w:type="spellEnd"/>
      <w:r>
        <w:t xml:space="preserve"> и т. п.), указывают надписи и знаки, по</w:t>
      </w:r>
      <w:r>
        <w:softHyphen/>
        <w:t>ясняющие их функциональное назначе</w:t>
      </w:r>
      <w:r>
        <w:softHyphen/>
        <w:t>ние в устройстве.</w:t>
      </w:r>
    </w:p>
    <w:p w14:paraId="263BD8D6" w14:textId="77777777" w:rsidR="00AC1459" w:rsidRDefault="00AC1459" w:rsidP="00AC1459">
      <w:pPr>
        <w:pStyle w:val="a3"/>
      </w:pPr>
      <w:r>
        <w:t>Ну, а теперь — об особенностях применения УГО некоторых элементов в схемах. Знаки регулирования (на</w:t>
      </w:r>
      <w:r>
        <w:softHyphen/>
        <w:t>клонная линия со стрелкой у конденса</w:t>
      </w:r>
      <w:r>
        <w:softHyphen/>
        <w:t xml:space="preserve">торов переменной </w:t>
      </w:r>
      <w:proofErr w:type="spellStart"/>
      <w:r>
        <w:t>емкости</w:t>
      </w:r>
      <w:proofErr w:type="spellEnd"/>
      <w:r>
        <w:t xml:space="preserve">, такая же линия с засечкой на верхнем конце у </w:t>
      </w:r>
      <w:proofErr w:type="spellStart"/>
      <w:r>
        <w:t>подстроечных</w:t>
      </w:r>
      <w:proofErr w:type="spellEnd"/>
      <w:r>
        <w:t xml:space="preserve"> конденсаторов, </w:t>
      </w:r>
      <w:proofErr w:type="spellStart"/>
      <w:r>
        <w:t>подст-роечников</w:t>
      </w:r>
      <w:proofErr w:type="spellEnd"/>
      <w:r>
        <w:t xml:space="preserve"> катушек индуктивности и наклонная линия с изломом внизу у нелинейных резисторов — терморе</w:t>
      </w:r>
      <w:r>
        <w:softHyphen/>
        <w:t>зисторов, варисторов и т. д.), а также знаки фотоэлектрического эффекта (наклонные стрелки, направленные слева сверху — вниз направо в УГО фото</w:t>
      </w:r>
      <w:r>
        <w:softHyphen/>
        <w:t>резистора, фотодиода и т. п. приборов) и оптического излучения (наклонные</w:t>
      </w:r>
    </w:p>
    <w:p w14:paraId="60FA54A2" w14:textId="77777777" w:rsidR="00AC1459" w:rsidRDefault="00AC1459" w:rsidP="00AC1459">
      <w:pPr>
        <w:pStyle w:val="a3"/>
      </w:pPr>
      <w:r>
        <w:t>стрелки, направленные слева снизу — вверх направо в УГО светодиодов) не должны изменять своей ориентации при повороте основного символа на любой угол. Иными словами, символ, например, диода в УГО светодиода мо</w:t>
      </w:r>
      <w:r>
        <w:softHyphen/>
        <w:t xml:space="preserve">жет быть </w:t>
      </w:r>
      <w:proofErr w:type="spellStart"/>
      <w:r>
        <w:t>изображен</w:t>
      </w:r>
      <w:proofErr w:type="spellEnd"/>
      <w:r>
        <w:t xml:space="preserve"> горизонтально, вертикально, катодом влево, вправо, вверх, вниз (как удобно для построения схемы), но стрелки оптического излуче</w:t>
      </w:r>
      <w:r>
        <w:softHyphen/>
        <w:t>ния во всех случаях должны быть на</w:t>
      </w:r>
      <w:r>
        <w:softHyphen/>
        <w:t>правлены от него вверх направо.</w:t>
      </w:r>
    </w:p>
    <w:p w14:paraId="7E8DA699" w14:textId="77777777" w:rsidR="00AC1459" w:rsidRDefault="00AC1459" w:rsidP="00AC1459">
      <w:pPr>
        <w:pStyle w:val="a3"/>
      </w:pPr>
      <w:r>
        <w:t>Своего рода "привязанностью" обла</w:t>
      </w:r>
      <w:r>
        <w:softHyphen/>
        <w:t xml:space="preserve">дают </w:t>
      </w:r>
      <w:proofErr w:type="spellStart"/>
      <w:r>
        <w:t>черточка</w:t>
      </w:r>
      <w:proofErr w:type="spellEnd"/>
      <w:r>
        <w:t>, перпендикулярная ли</w:t>
      </w:r>
      <w:r>
        <w:softHyphen/>
        <w:t>нии-символу катода в УГО стабилитрона, и симметричная засечка на конце сим</w:t>
      </w:r>
      <w:r>
        <w:softHyphen/>
        <w:t xml:space="preserve">вола катода в УГО диода-ограничителя напряжения: при любой ориентации этих УГО они поворачиваются вместе с ними, как "приклеенные". Сохраняют "привязку" к основному символу при повороте УГО и наклонные </w:t>
      </w:r>
      <w:proofErr w:type="spellStart"/>
      <w:r>
        <w:t>черточки</w:t>
      </w:r>
      <w:proofErr w:type="spellEnd"/>
      <w:r>
        <w:t>, обозначающие мощность рассеяния резистора менее 0,5 Вт.</w:t>
      </w:r>
    </w:p>
    <w:p w14:paraId="1B3D38B7" w14:textId="77777777" w:rsidR="00AC1459" w:rsidRDefault="00AC1459" w:rsidP="00AC1459">
      <w:pPr>
        <w:pStyle w:val="a3"/>
      </w:pPr>
      <w:r>
        <w:t>Линии-выводы эмиттера и коллектора в УГО биполярного транзистора (за пре</w:t>
      </w:r>
      <w:r>
        <w:softHyphen/>
        <w:t>делами окружности, символизирующей его корпус) можно располагать как пер</w:t>
      </w:r>
      <w:r>
        <w:softHyphen/>
        <w:t>пендикулярно линии-выводу базы, так и параллельно ей — в некоторых случа</w:t>
      </w:r>
      <w:r>
        <w:softHyphen/>
        <w:t xml:space="preserve">ях это позволяет "уплотнить" схему, сделать </w:t>
      </w:r>
      <w:proofErr w:type="spellStart"/>
      <w:r>
        <w:t>ее</w:t>
      </w:r>
      <w:proofErr w:type="spellEnd"/>
      <w:r>
        <w:t xml:space="preserve"> компактнее. Излом линии электрической связи, идущей к </w:t>
      </w:r>
      <w:r>
        <w:lastRenderedPageBreak/>
        <w:t>базе та</w:t>
      </w:r>
      <w:r>
        <w:softHyphen/>
        <w:t>кого транзистора, а также к символам затвора, истока и стока полевого тран</w:t>
      </w:r>
      <w:r>
        <w:softHyphen/>
        <w:t>зистора, допускается на расстоянии не менее 5 мм от окружности-корпуса (в масштабе 1:1).</w:t>
      </w:r>
    </w:p>
    <w:p w14:paraId="16B58525" w14:textId="77777777" w:rsidR="00AC1459" w:rsidRDefault="00AC1459" w:rsidP="00AC1459">
      <w:pPr>
        <w:pStyle w:val="a3"/>
      </w:pPr>
      <w:r>
        <w:t>Число полуокружностей, составляю</w:t>
      </w:r>
      <w:r>
        <w:softHyphen/>
        <w:t xml:space="preserve">щих символы катушки индуктивности, входящей в колебательный контур, и дросселя, установлено равным </w:t>
      </w:r>
      <w:proofErr w:type="spellStart"/>
      <w:r>
        <w:t>четы</w:t>
      </w:r>
      <w:r>
        <w:softHyphen/>
        <w:t>рем</w:t>
      </w:r>
      <w:proofErr w:type="spellEnd"/>
      <w:r>
        <w:t>, а в символах обмоток асинхронно</w:t>
      </w:r>
      <w:r>
        <w:softHyphen/>
        <w:t xml:space="preserve">го электродвигателя — </w:t>
      </w:r>
      <w:proofErr w:type="spellStart"/>
      <w:r>
        <w:t>трем</w:t>
      </w:r>
      <w:proofErr w:type="spellEnd"/>
      <w:r>
        <w:t>. В катуш</w:t>
      </w:r>
      <w:r>
        <w:softHyphen/>
        <w:t>ках связи и обмотках трансформаторов их число не нормируется и может быть любым (по необходимости). Жирной точкой у одного из выводов обозначают начало обмотки.</w:t>
      </w:r>
    </w:p>
    <w:p w14:paraId="4CC1ACEA" w14:textId="77777777" w:rsidR="00AC1459" w:rsidRDefault="00AC1459" w:rsidP="00AC1459">
      <w:pPr>
        <w:pStyle w:val="a3"/>
      </w:pPr>
      <w:r>
        <w:t>Знаки, характеризующие принцип действия звукового преобразователя, могут быть внесены не только в УГО мик</w:t>
      </w:r>
      <w:r>
        <w:softHyphen/>
        <w:t>рофонов, как показано на с. 41, но и в УГО телефона, головки громкоговорителя, в этом случае их размеры соответствен</w:t>
      </w:r>
      <w:r>
        <w:softHyphen/>
        <w:t>но увеличивают.</w:t>
      </w:r>
    </w:p>
    <w:p w14:paraId="3D1369FF" w14:textId="77777777" w:rsidR="00AC1459" w:rsidRDefault="00AC1459" w:rsidP="00AC1459">
      <w:pPr>
        <w:pStyle w:val="a3"/>
      </w:pPr>
      <w:r>
        <w:t>Если необходимо изобразить состав</w:t>
      </w:r>
      <w:r>
        <w:softHyphen/>
        <w:t xml:space="preserve">ные части оптрона (источник излучения и </w:t>
      </w:r>
      <w:proofErr w:type="spellStart"/>
      <w:r>
        <w:t>приемник</w:t>
      </w:r>
      <w:proofErr w:type="spellEnd"/>
      <w:r>
        <w:t>) в разных местах схемы, символ корпуса разрывают (у каждой из частей оставляют полуокружность, оканчивающуюся короткими отрезками прямых линий), а знак оптического взаи</w:t>
      </w:r>
      <w:r>
        <w:softHyphen/>
        <w:t xml:space="preserve">модействия (две стрелки, параллельные длинной стороне корпуса) заменяют знаками фотоэлектрического эффекта и оптического излучения (наклонные стрелки, как в УГО фото- и светодиода). Позиционные обозначения источника излучения и </w:t>
      </w:r>
      <w:proofErr w:type="spellStart"/>
      <w:r>
        <w:t>приемника</w:t>
      </w:r>
      <w:proofErr w:type="spellEnd"/>
      <w:r>
        <w:t xml:space="preserve"> строят на осно</w:t>
      </w:r>
      <w:r>
        <w:softHyphen/>
        <w:t xml:space="preserve">ве позиционного обозначения оптрона (например, светодиод — </w:t>
      </w:r>
      <w:proofErr w:type="spellStart"/>
      <w:r>
        <w:t>U1.1</w:t>
      </w:r>
      <w:proofErr w:type="spellEnd"/>
      <w:r>
        <w:t xml:space="preserve">, </w:t>
      </w:r>
      <w:proofErr w:type="spellStart"/>
      <w:r>
        <w:t>фототи-ристор</w:t>
      </w:r>
      <w:proofErr w:type="spellEnd"/>
      <w:r>
        <w:t xml:space="preserve"> — </w:t>
      </w:r>
      <w:proofErr w:type="spellStart"/>
      <w:r>
        <w:t>U1.2</w:t>
      </w:r>
      <w:proofErr w:type="spellEnd"/>
      <w:r>
        <w:t>).</w:t>
      </w:r>
    </w:p>
    <w:p w14:paraId="2CD61F13" w14:textId="77777777" w:rsidR="00AC1459" w:rsidRDefault="00AC1459" w:rsidP="00AC1459">
      <w:pPr>
        <w:pStyle w:val="a3"/>
      </w:pPr>
      <w:r>
        <w:rPr>
          <w:noProof/>
        </w:rPr>
        <w:lastRenderedPageBreak/>
        <w:drawing>
          <wp:inline distT="0" distB="0" distL="0" distR="0" wp14:anchorId="43FBF976" wp14:editId="349E087F">
            <wp:extent cx="6105525" cy="8420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E1A9" w14:textId="77777777" w:rsidR="00AC1459" w:rsidRDefault="00AC1459" w:rsidP="00AC1459">
      <w:pPr>
        <w:pStyle w:val="a3"/>
      </w:pPr>
      <w:r>
        <w:rPr>
          <w:noProof/>
        </w:rPr>
        <w:lastRenderedPageBreak/>
        <w:drawing>
          <wp:inline distT="0" distB="0" distL="0" distR="0" wp14:anchorId="2DB8C7CE" wp14:editId="24D5F13F">
            <wp:extent cx="6134100" cy="8401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EE5B" w14:textId="77777777" w:rsidR="00AC1459" w:rsidRDefault="00AC1459" w:rsidP="00AC1459">
      <w:pPr>
        <w:pStyle w:val="a3"/>
      </w:pPr>
      <w:r>
        <w:t xml:space="preserve">Аналогично поступают и при </w:t>
      </w:r>
      <w:proofErr w:type="spellStart"/>
      <w:r>
        <w:t>разне</w:t>
      </w:r>
      <w:r>
        <w:softHyphen/>
        <w:t>сенном</w:t>
      </w:r>
      <w:proofErr w:type="spellEnd"/>
      <w:r>
        <w:t xml:space="preserve"> способе изображения электро</w:t>
      </w:r>
      <w:r>
        <w:softHyphen/>
        <w:t>магнитного реле (когда его обмотку и контакты для удобства построения изображают в разных местах схемы):</w:t>
      </w:r>
    </w:p>
    <w:p w14:paraId="018FEA5C" w14:textId="77777777" w:rsidR="00AC1459" w:rsidRDefault="00AC1459" w:rsidP="00AC1459">
      <w:pPr>
        <w:pStyle w:val="a3"/>
      </w:pPr>
      <w:r>
        <w:lastRenderedPageBreak/>
        <w:t>контактам присваивают обозначение, состоящее из позиционного обозначе</w:t>
      </w:r>
      <w:r>
        <w:softHyphen/>
        <w:t>ния реле и условного номера контакт</w:t>
      </w:r>
      <w:r>
        <w:softHyphen/>
        <w:t xml:space="preserve">ной группы (например, реле </w:t>
      </w:r>
      <w:proofErr w:type="spellStart"/>
      <w:r>
        <w:t>К1</w:t>
      </w:r>
      <w:proofErr w:type="spellEnd"/>
      <w:r>
        <w:t xml:space="preserve"> может иметь контактные группы </w:t>
      </w:r>
      <w:proofErr w:type="spellStart"/>
      <w:r>
        <w:t>К1.1</w:t>
      </w:r>
      <w:proofErr w:type="spellEnd"/>
      <w:r>
        <w:t xml:space="preserve">, </w:t>
      </w:r>
      <w:proofErr w:type="spellStart"/>
      <w:r>
        <w:t>К1.2</w:t>
      </w:r>
      <w:proofErr w:type="spellEnd"/>
      <w:r>
        <w:t xml:space="preserve">, </w:t>
      </w:r>
      <w:proofErr w:type="spellStart"/>
      <w:r>
        <w:t>К1.3</w:t>
      </w:r>
      <w:proofErr w:type="spellEnd"/>
      <w:r>
        <w:t xml:space="preserve"> и т. д.). Точно также нумеруют сек</w:t>
      </w:r>
      <w:r>
        <w:softHyphen/>
        <w:t xml:space="preserve">ции выключателей, переключателей (например, </w:t>
      </w:r>
      <w:proofErr w:type="spellStart"/>
      <w:r>
        <w:t>SА1.1</w:t>
      </w:r>
      <w:proofErr w:type="spellEnd"/>
      <w:r>
        <w:t xml:space="preserve">, </w:t>
      </w:r>
      <w:proofErr w:type="spellStart"/>
      <w:r>
        <w:t>SА1.2</w:t>
      </w:r>
      <w:proofErr w:type="spellEnd"/>
      <w:r>
        <w:t xml:space="preserve"> и т. д.), блоков конденсаторов переменной </w:t>
      </w:r>
      <w:proofErr w:type="spellStart"/>
      <w:r>
        <w:t>емкости</w:t>
      </w:r>
      <w:proofErr w:type="spellEnd"/>
      <w:r>
        <w:t xml:space="preserve"> (</w:t>
      </w:r>
      <w:proofErr w:type="spellStart"/>
      <w:r>
        <w:t>C1.1</w:t>
      </w:r>
      <w:proofErr w:type="spellEnd"/>
      <w:r>
        <w:t xml:space="preserve">, </w:t>
      </w:r>
      <w:proofErr w:type="spellStart"/>
      <w:r>
        <w:t>C1.2</w:t>
      </w:r>
      <w:proofErr w:type="spellEnd"/>
      <w:r>
        <w:t xml:space="preserve"> и т. д.), сдвоенных, строен</w:t>
      </w:r>
      <w:r>
        <w:softHyphen/>
        <w:t xml:space="preserve">ных и </w:t>
      </w:r>
      <w:proofErr w:type="spellStart"/>
      <w:r>
        <w:t>счетверенных</w:t>
      </w:r>
      <w:proofErr w:type="spellEnd"/>
      <w:r>
        <w:t xml:space="preserve"> переменных резис</w:t>
      </w:r>
      <w:r>
        <w:softHyphen/>
        <w:t>торов (</w:t>
      </w:r>
      <w:proofErr w:type="spellStart"/>
      <w:r>
        <w:t>R1.1</w:t>
      </w:r>
      <w:proofErr w:type="spellEnd"/>
      <w:r>
        <w:t xml:space="preserve">, </w:t>
      </w:r>
      <w:proofErr w:type="spellStart"/>
      <w:r>
        <w:t>R1.2</w:t>
      </w:r>
      <w:proofErr w:type="spellEnd"/>
      <w:r>
        <w:t xml:space="preserve"> и т. д.).</w:t>
      </w:r>
    </w:p>
    <w:p w14:paraId="091E81F9" w14:textId="77777777" w:rsidR="00AC1459" w:rsidRDefault="00AC1459" w:rsidP="00AC1459">
      <w:pPr>
        <w:pStyle w:val="a3"/>
      </w:pPr>
      <w:r>
        <w:t>Для упрощения схем нередко ис</w:t>
      </w:r>
      <w:r>
        <w:softHyphen/>
        <w:t xml:space="preserve">пользуют слияние линий электрической связи в одну так называемую групповую линию связи, которую изображают </w:t>
      </w:r>
      <w:proofErr w:type="spellStart"/>
      <w:r>
        <w:t>утолщенной</w:t>
      </w:r>
      <w:proofErr w:type="spellEnd"/>
      <w:r>
        <w:t xml:space="preserve"> линией (с. 41). В непосред</w:t>
      </w:r>
      <w:r>
        <w:softHyphen/>
        <w:t>ственной близости от мест входа в групповую линии обычно нумеруют. Вместо номеров можно использовать буквенные обозначения сигналов, ино</w:t>
      </w:r>
      <w:r>
        <w:softHyphen/>
        <w:t>гда это упрощает чтение схемы. Мини</w:t>
      </w:r>
      <w:r>
        <w:softHyphen/>
        <w:t>мальное расстояние между соседними линиями, отходящими от групповой в разные стороны, должно быть не ме</w:t>
      </w:r>
      <w:r>
        <w:softHyphen/>
        <w:t>нее 2 мм (в масштабе 1:1). Линии, вы</w:t>
      </w:r>
      <w:r>
        <w:softHyphen/>
        <w:t>ходящие из конца линии групповой связи, изображают линиями нормаль</w:t>
      </w:r>
      <w:r>
        <w:softHyphen/>
        <w:t>ной толщины.</w:t>
      </w:r>
    </w:p>
    <w:p w14:paraId="726CE9EC" w14:textId="77777777" w:rsidR="00AC1459" w:rsidRDefault="00AC1459" w:rsidP="00AC1459">
      <w:pPr>
        <w:pStyle w:val="a3"/>
      </w:pPr>
      <w:r>
        <w:t>Соединения, выполненные экрани</w:t>
      </w:r>
      <w:r>
        <w:softHyphen/>
        <w:t>рованным проводом, выделяют штри</w:t>
      </w:r>
      <w:r>
        <w:softHyphen/>
        <w:t>ховым кружком, от которого отводят линию, соединяющую его с общим проводом (корпусом) устройства или заземлением. Если необходимо пока</w:t>
      </w:r>
      <w:r>
        <w:softHyphen/>
        <w:t>зать экранированные соединения в группе линий, идущих параллельно, значок экрана помещают над ними и проводят от него линию со стрелками, указывающими, какие именно соедине</w:t>
      </w:r>
      <w:r>
        <w:softHyphen/>
        <w:t xml:space="preserve">ния помещены в экранирующую </w:t>
      </w:r>
      <w:proofErr w:type="spellStart"/>
      <w:r>
        <w:t>оплетку</w:t>
      </w:r>
      <w:proofErr w:type="spellEnd"/>
      <w:r>
        <w:t>.</w:t>
      </w:r>
    </w:p>
    <w:p w14:paraId="5756FE7A" w14:textId="77777777" w:rsidR="00AC1459" w:rsidRDefault="00AC1459" w:rsidP="00AC1459">
      <w:pPr>
        <w:pStyle w:val="a3"/>
      </w:pPr>
      <w:r>
        <w:t>В некоторых случаях (например, для уменьшения наводок) провода скру</w:t>
      </w:r>
      <w:r>
        <w:softHyphen/>
        <w:t>чивают. Знак скрутки (наклонная линия с противоположно направленными за</w:t>
      </w:r>
      <w:r>
        <w:softHyphen/>
        <w:t>сечками на концах) охватывает все ли</w:t>
      </w:r>
      <w:r>
        <w:softHyphen/>
        <w:t>нии связи, выполненные таким образом.</w:t>
      </w:r>
    </w:p>
    <w:p w14:paraId="3F6D7A98" w14:textId="77777777" w:rsidR="00AC1459" w:rsidRDefault="00AC1459" w:rsidP="00AC1459">
      <w:pPr>
        <w:pStyle w:val="a3"/>
      </w:pPr>
      <w:r>
        <w:t>Линии, соединяющие далеко распо</w:t>
      </w:r>
      <w:r>
        <w:softHyphen/>
        <w:t>ложенные один от другого элементы, особенно в тех случаях, когда изобра</w:t>
      </w:r>
      <w:r>
        <w:softHyphen/>
        <w:t>зить осуществляемые ими связи за</w:t>
      </w:r>
      <w:r>
        <w:softHyphen/>
        <w:t>труднительно, обрывают, а концы остав</w:t>
      </w:r>
      <w:r>
        <w:softHyphen/>
        <w:t>шихся отрезков снабжают стрелками, возле которых указывают адреса (буквы русского или латинского алфавита, по</w:t>
      </w:r>
      <w:r>
        <w:softHyphen/>
        <w:t>зиционные обозначения элементов), однозначно восстанавливающие не по</w:t>
      </w:r>
      <w:r>
        <w:softHyphen/>
        <w:t>казанное соединение. Например, при разрыве линии связи между резис</w:t>
      </w:r>
      <w:r>
        <w:softHyphen/>
        <w:t xml:space="preserve">торами </w:t>
      </w:r>
      <w:proofErr w:type="spellStart"/>
      <w:r>
        <w:t>R5</w:t>
      </w:r>
      <w:proofErr w:type="spellEnd"/>
      <w:r>
        <w:t xml:space="preserve">, </w:t>
      </w:r>
      <w:proofErr w:type="spellStart"/>
      <w:r>
        <w:t>R6</w:t>
      </w:r>
      <w:proofErr w:type="spellEnd"/>
      <w:r>
        <w:t xml:space="preserve"> и конденсатором </w:t>
      </w:r>
      <w:proofErr w:type="spellStart"/>
      <w:r>
        <w:t>C42</w:t>
      </w:r>
      <w:proofErr w:type="spellEnd"/>
      <w:r>
        <w:t xml:space="preserve"> у стрелки, </w:t>
      </w:r>
      <w:proofErr w:type="spellStart"/>
      <w:r>
        <w:t>соединенной</w:t>
      </w:r>
      <w:proofErr w:type="spellEnd"/>
      <w:r>
        <w:t xml:space="preserve"> с резисторами, пишут "К </w:t>
      </w:r>
      <w:proofErr w:type="spellStart"/>
      <w:r>
        <w:t>C42</w:t>
      </w:r>
      <w:proofErr w:type="spellEnd"/>
      <w:r>
        <w:t xml:space="preserve">". а у стрелки, идущей от конденсатора, — "К </w:t>
      </w:r>
      <w:proofErr w:type="spellStart"/>
      <w:r>
        <w:t>R5</w:t>
      </w:r>
      <w:proofErr w:type="spellEnd"/>
      <w:r>
        <w:t xml:space="preserve">, </w:t>
      </w:r>
      <w:proofErr w:type="spellStart"/>
      <w:r>
        <w:t>R6</w:t>
      </w:r>
      <w:proofErr w:type="spellEnd"/>
      <w:r>
        <w:t>".</w:t>
      </w:r>
    </w:p>
    <w:p w14:paraId="6604DEC0" w14:textId="77777777" w:rsidR="00AC1459" w:rsidRDefault="00AC1459" w:rsidP="00AC1459">
      <w:pPr>
        <w:pStyle w:val="a3"/>
      </w:pPr>
      <w:r>
        <w:t>Несколько слов — об УГО микросхем цифровой и аналоговой техники. Они построены на основе прямоугольни</w:t>
      </w:r>
      <w:r>
        <w:softHyphen/>
        <w:t>ков, называемых полями. УГО простей</w:t>
      </w:r>
      <w:r>
        <w:softHyphen/>
        <w:t>ших устройств (например, логических элементов) состоят только из основно</w:t>
      </w:r>
      <w:r>
        <w:softHyphen/>
        <w:t>го поля, в более сложных к нему добав</w:t>
      </w:r>
      <w:r>
        <w:softHyphen/>
        <w:t>ляют одно или два дополнительных, располагаемых слева и справа. В ос</w:t>
      </w:r>
      <w:r>
        <w:softHyphen/>
        <w:t>новном поле помещают надписи и зна</w:t>
      </w:r>
      <w:r>
        <w:softHyphen/>
        <w:t>ки, обозначающие функциональное</w:t>
      </w:r>
    </w:p>
    <w:p w14:paraId="63E25B2B" w14:textId="77777777" w:rsidR="00AC1459" w:rsidRDefault="00AC1459" w:rsidP="00AC1459">
      <w:pPr>
        <w:pStyle w:val="a3"/>
      </w:pPr>
      <w:r>
        <w:t>назначение элемента или микросхемы, в дополнительных — так называемые метки, поясняющие назначение выво</w:t>
      </w:r>
      <w:r>
        <w:softHyphen/>
        <w:t>дов. Ширина полей определяется чис</w:t>
      </w:r>
      <w:r>
        <w:softHyphen/>
        <w:t xml:space="preserve">лом знаков (с </w:t>
      </w:r>
      <w:proofErr w:type="spellStart"/>
      <w:r>
        <w:t>учетом</w:t>
      </w:r>
      <w:proofErr w:type="spellEnd"/>
      <w:r>
        <w:t xml:space="preserve"> пробелов). Мини</w:t>
      </w:r>
      <w:r>
        <w:softHyphen/>
        <w:t>мальная ширина основного поля — 10, дополнительных — 5 мм. Расстояние между выводами, а также между выво</w:t>
      </w:r>
      <w:r>
        <w:softHyphen/>
        <w:t>дом и горизонтальной стороной УГО или границей зоны, отделяющей одни выводы от других, — 5 мм (все размеры в масштабе 1:1).</w:t>
      </w:r>
    </w:p>
    <w:p w14:paraId="7DD05E47" w14:textId="77777777" w:rsidR="00AC1459" w:rsidRDefault="00AC1459" w:rsidP="00AC1459">
      <w:pPr>
        <w:pStyle w:val="a3"/>
      </w:pPr>
      <w:r>
        <w:t>В местах присоединения линий-выводов изображают специальные знаки (указатели), характеризующие их особые свойства: небольшой кру</w:t>
      </w:r>
      <w:r>
        <w:softHyphen/>
        <w:t xml:space="preserve">жок (инверсия), наклонную </w:t>
      </w:r>
      <w:proofErr w:type="spellStart"/>
      <w:r>
        <w:t>черточку</w:t>
      </w:r>
      <w:proofErr w:type="spellEnd"/>
      <w:r>
        <w:t xml:space="preserve"> ("/" — прямой, "\" — инверсный дина</w:t>
      </w:r>
      <w:r>
        <w:softHyphen/>
        <w:t>мический вход), крестик (вывод, не несущий логической информации, например, вывод питания).</w:t>
      </w:r>
    </w:p>
    <w:p w14:paraId="3DBDCBF2" w14:textId="77777777" w:rsidR="00AC1459" w:rsidRDefault="00AC1459" w:rsidP="00AC1459">
      <w:pPr>
        <w:pStyle w:val="a3"/>
      </w:pPr>
      <w:r>
        <w:lastRenderedPageBreak/>
        <w:t>В правом поле УГО цифровых микро</w:t>
      </w:r>
      <w:r>
        <w:softHyphen/>
        <w:t>схем иногда помещают знаки, построен</w:t>
      </w:r>
      <w:r>
        <w:softHyphen/>
        <w:t xml:space="preserve">ные на основе ромбика. Если он </w:t>
      </w:r>
      <w:proofErr w:type="spellStart"/>
      <w:r>
        <w:t>снабжен</w:t>
      </w:r>
      <w:proofErr w:type="spellEnd"/>
      <w:r>
        <w:t xml:space="preserve"> </w:t>
      </w:r>
      <w:proofErr w:type="spellStart"/>
      <w:r>
        <w:t>черточкой</w:t>
      </w:r>
      <w:proofErr w:type="spellEnd"/>
      <w:r>
        <w:t xml:space="preserve"> сверху, это означает, что дан</w:t>
      </w:r>
      <w:r>
        <w:softHyphen/>
        <w:t xml:space="preserve">ный вывод </w:t>
      </w:r>
      <w:proofErr w:type="spellStart"/>
      <w:r>
        <w:t>соединен</w:t>
      </w:r>
      <w:proofErr w:type="spellEnd"/>
      <w:r>
        <w:t xml:space="preserve"> с коллектором p-n-p транзистора, эмиттером n-p-n транзис</w:t>
      </w:r>
      <w:r>
        <w:softHyphen/>
        <w:t>тора, стоком полевого с p-каналом или истоком транзистора с n-каналом. Если же названные электроды принадлежат транзисторам противоположной струк</w:t>
      </w:r>
      <w:r>
        <w:softHyphen/>
        <w:t>туры или приборам с каналом противо</w:t>
      </w:r>
      <w:r>
        <w:softHyphen/>
        <w:t xml:space="preserve">положного типа, </w:t>
      </w:r>
      <w:proofErr w:type="spellStart"/>
      <w:r>
        <w:t>черточку</w:t>
      </w:r>
      <w:proofErr w:type="spellEnd"/>
      <w:r>
        <w:t xml:space="preserve"> помещают снизу. Ромбиком с </w:t>
      </w:r>
      <w:proofErr w:type="spellStart"/>
      <w:r>
        <w:t>черточкой</w:t>
      </w:r>
      <w:proofErr w:type="spellEnd"/>
      <w:r>
        <w:t xml:space="preserve"> внутри обозначают вывод с так называемым состоянием высокого выходного сопро</w:t>
      </w:r>
      <w:r>
        <w:softHyphen/>
        <w:t>тивления (Z-состоянием).</w:t>
      </w:r>
    </w:p>
    <w:p w14:paraId="3545CA06" w14:textId="77777777" w:rsidR="00AC1459" w:rsidRDefault="00AC1459" w:rsidP="00AC1459">
      <w:pPr>
        <w:pStyle w:val="a3"/>
      </w:pPr>
      <w:r>
        <w:t>Чтобы не загромождать схему цепями питания цифровых микросхем, соот</w:t>
      </w:r>
      <w:r>
        <w:softHyphen/>
        <w:t>ветствующие выводы в их УГО обычно не изображают, а чтобы было ясно, к каким выводам подводится питание, в местах, откуда оно поступает (выход источника питания, цепь, к которой подключается внешний источник), по</w:t>
      </w:r>
      <w:r>
        <w:softHyphen/>
        <w:t>мещают стрелки с адресами, напри</w:t>
      </w:r>
      <w:r>
        <w:softHyphen/>
        <w:t xml:space="preserve">мер, "К выв. 14 </w:t>
      </w:r>
      <w:proofErr w:type="spellStart"/>
      <w:r>
        <w:t>DD1</w:t>
      </w:r>
      <w:proofErr w:type="spellEnd"/>
      <w:r>
        <w:t xml:space="preserve">, </w:t>
      </w:r>
      <w:proofErr w:type="spellStart"/>
      <w:r>
        <w:t>DD2</w:t>
      </w:r>
      <w:proofErr w:type="spellEnd"/>
      <w:r>
        <w:t xml:space="preserve">; выв. 10 </w:t>
      </w:r>
      <w:proofErr w:type="spellStart"/>
      <w:r>
        <w:t>DD3</w:t>
      </w:r>
      <w:proofErr w:type="spellEnd"/>
      <w:r>
        <w:t xml:space="preserve">, </w:t>
      </w:r>
      <w:proofErr w:type="spellStart"/>
      <w:r>
        <w:t>DD4</w:t>
      </w:r>
      <w:proofErr w:type="spellEnd"/>
      <w:r>
        <w:t xml:space="preserve">; выв. 16 </w:t>
      </w:r>
      <w:proofErr w:type="spellStart"/>
      <w:r>
        <w:t>DD</w:t>
      </w:r>
      <w:proofErr w:type="gramStart"/>
      <w:r>
        <w:t>5,DD</w:t>
      </w:r>
      <w:proofErr w:type="gramEnd"/>
      <w:r>
        <w:t>6</w:t>
      </w:r>
      <w:proofErr w:type="spellEnd"/>
      <w:r>
        <w:t>".</w:t>
      </w:r>
    </w:p>
    <w:p w14:paraId="51640A1E" w14:textId="77777777" w:rsidR="00AC1459" w:rsidRDefault="00AC1459" w:rsidP="00AC1459">
      <w:pPr>
        <w:pStyle w:val="a3"/>
      </w:pPr>
      <w:r>
        <w:t>И, наконец, — об УГО, используемых в структурных и функциональных схемах. Их основа — квадрат, в котором указыва</w:t>
      </w:r>
      <w:r>
        <w:softHyphen/>
        <w:t>ется функциональное назначение уст</w:t>
      </w:r>
      <w:r>
        <w:softHyphen/>
        <w:t>ройства. Большинство показанных на с. 41 УГО просты и понятны, и только некоторые требуют пояснений. В част</w:t>
      </w:r>
      <w:r>
        <w:softHyphen/>
        <w:t>ности, символ генератора. Помимо буквы G, в его обозначении можно ука</w:t>
      </w:r>
      <w:r>
        <w:softHyphen/>
        <w:t>зать область частот (одна синусоида — низкие частоты, две — звуковые, три — высокие), конкретное значение часто</w:t>
      </w:r>
      <w:r>
        <w:softHyphen/>
        <w:t>ты (например, 500 кГц), форму колеба</w:t>
      </w:r>
      <w:r>
        <w:softHyphen/>
        <w:t xml:space="preserve">ний в виде </w:t>
      </w:r>
      <w:proofErr w:type="spellStart"/>
      <w:r>
        <w:t>упрощенной</w:t>
      </w:r>
      <w:proofErr w:type="spellEnd"/>
      <w:r>
        <w:t xml:space="preserve"> осциллограммы, наличие стабилизации частоты и т. д.</w:t>
      </w:r>
    </w:p>
    <w:p w14:paraId="05E4F4BF" w14:textId="77777777" w:rsidR="00AC1459" w:rsidRDefault="00AC1459" w:rsidP="00AC1459">
      <w:pPr>
        <w:pStyle w:val="a3"/>
      </w:pPr>
      <w:r>
        <w:t>Два или три символа синусоиды ис</w:t>
      </w:r>
      <w:r>
        <w:softHyphen/>
        <w:t>пользуют также для указания назначе</w:t>
      </w:r>
      <w:r>
        <w:softHyphen/>
        <w:t>ния фильтров, но здесь они обознача</w:t>
      </w:r>
      <w:r>
        <w:softHyphen/>
        <w:t>ют полосы частот. Например, в УГО фильтров верхних (</w:t>
      </w:r>
      <w:proofErr w:type="spellStart"/>
      <w:r>
        <w:t>ФВЧ</w:t>
      </w:r>
      <w:proofErr w:type="spellEnd"/>
      <w:r>
        <w:t>) и нижних час</w:t>
      </w:r>
      <w:r>
        <w:softHyphen/>
        <w:t>тот (</w:t>
      </w:r>
      <w:proofErr w:type="spellStart"/>
      <w:r>
        <w:t>ФНЧ</w:t>
      </w:r>
      <w:proofErr w:type="spellEnd"/>
      <w:r>
        <w:t>) две синусоиды символизи</w:t>
      </w:r>
      <w:r>
        <w:softHyphen/>
        <w:t>руют колебания частот, лежащих выше и ниже частоты раздела (в первом слу</w:t>
      </w:r>
      <w:r>
        <w:softHyphen/>
        <w:t xml:space="preserve">чае </w:t>
      </w:r>
      <w:proofErr w:type="spellStart"/>
      <w:r>
        <w:t>зачеркнута</w:t>
      </w:r>
      <w:proofErr w:type="spellEnd"/>
      <w:r>
        <w:t xml:space="preserve"> нижняя синусоида, сле</w:t>
      </w:r>
      <w:r>
        <w:softHyphen/>
        <w:t>довательно, устройство пропускает сиг</w:t>
      </w:r>
      <w:r>
        <w:softHyphen/>
        <w:t>налы с частотой выше частоты среза, во втором — верхняя, что говорит о про</w:t>
      </w:r>
      <w:r>
        <w:softHyphen/>
        <w:t>пускании сигналов ниже этой частоты).</w:t>
      </w:r>
    </w:p>
    <w:p w14:paraId="3B8E00AE" w14:textId="77777777" w:rsidR="00AC1459" w:rsidRDefault="00AC1459" w:rsidP="00AC1459">
      <w:pPr>
        <w:pStyle w:val="a3"/>
      </w:pPr>
      <w:r>
        <w:t xml:space="preserve">В УГО полосового и </w:t>
      </w:r>
      <w:proofErr w:type="spellStart"/>
      <w:r>
        <w:t>режекторного</w:t>
      </w:r>
      <w:proofErr w:type="spellEnd"/>
      <w:r>
        <w:t xml:space="preserve"> филь</w:t>
      </w:r>
      <w:r>
        <w:softHyphen/>
        <w:t>тров — три синусоиды. Как и в преды</w:t>
      </w:r>
      <w:r>
        <w:softHyphen/>
        <w:t>дущем случае, пропускаются полосы</w:t>
      </w:r>
    </w:p>
    <w:p w14:paraId="51BCDD04" w14:textId="77777777" w:rsidR="00AC1459" w:rsidRDefault="00AC1459" w:rsidP="00AC1459">
      <w:pPr>
        <w:pStyle w:val="a3"/>
      </w:pPr>
      <w:r>
        <w:t xml:space="preserve">частот, обозначенные не </w:t>
      </w:r>
      <w:proofErr w:type="spellStart"/>
      <w:r>
        <w:t>зачеркнутыми</w:t>
      </w:r>
      <w:proofErr w:type="spellEnd"/>
      <w:r>
        <w:t xml:space="preserve"> синусоидами: если </w:t>
      </w:r>
      <w:proofErr w:type="spellStart"/>
      <w:r>
        <w:t>зачеркнуты</w:t>
      </w:r>
      <w:proofErr w:type="spellEnd"/>
      <w:r>
        <w:t xml:space="preserve"> верхняя и нижняя, — фильтр полосовой, а если средняя, — </w:t>
      </w:r>
      <w:proofErr w:type="spellStart"/>
      <w:r>
        <w:t>режекторный</w:t>
      </w:r>
      <w:proofErr w:type="spellEnd"/>
      <w:r>
        <w:t>.</w:t>
      </w:r>
    </w:p>
    <w:p w14:paraId="5577B912" w14:textId="77777777" w:rsidR="00AC1459" w:rsidRDefault="00AC1459" w:rsidP="00AC1459">
      <w:pPr>
        <w:pStyle w:val="a3"/>
      </w:pPr>
      <w:r>
        <w:t>Усилители обозначают либо квадра</w:t>
      </w:r>
      <w:r>
        <w:softHyphen/>
        <w:t>том с треугольником — символом уси</w:t>
      </w:r>
      <w:r>
        <w:softHyphen/>
        <w:t>ления — внутри, либо равносторонним треугольником (вершина с выводом вы</w:t>
      </w:r>
      <w:r>
        <w:softHyphen/>
        <w:t>хода — направление передачи сигнала). Предпочтительно второе УГО: оно более наглядно и к тому же позволяет указать в нем, например, число каскадов уст</w:t>
      </w:r>
      <w:r>
        <w:softHyphen/>
        <w:t>ройства (его вписывают в треугольник).</w:t>
      </w:r>
    </w:p>
    <w:p w14:paraId="6D03C07A" w14:textId="77777777" w:rsidR="00AC1459" w:rsidRDefault="00AC1459" w:rsidP="00AC1459">
      <w:pPr>
        <w:pStyle w:val="a3"/>
      </w:pPr>
      <w:r>
        <w:t>УГО линий задержки вместо симво</w:t>
      </w:r>
      <w:r>
        <w:softHyphen/>
        <w:t xml:space="preserve">лов сосредоточенных и </w:t>
      </w:r>
      <w:proofErr w:type="spellStart"/>
      <w:r>
        <w:t>распределенных</w:t>
      </w:r>
      <w:proofErr w:type="spellEnd"/>
      <w:r>
        <w:t xml:space="preserve"> параметров могут содержать численное значение времени задержки, а также знаки, обозначающие способ преобра</w:t>
      </w:r>
      <w:r>
        <w:softHyphen/>
        <w:t xml:space="preserve">зования: пьезоэлектрический (в виде символа кварцевого резонатора), </w:t>
      </w:r>
      <w:proofErr w:type="gramStart"/>
      <w:r>
        <w:t>маг-</w:t>
      </w:r>
      <w:proofErr w:type="spellStart"/>
      <w:r>
        <w:t>нитострикционный</w:t>
      </w:r>
      <w:proofErr w:type="spellEnd"/>
      <w:proofErr w:type="gramEnd"/>
      <w:r>
        <w:t xml:space="preserve"> (две горизонтально расположенные полуокружности). </w:t>
      </w:r>
    </w:p>
    <w:p w14:paraId="4C4CC97D" w14:textId="77777777" w:rsidR="00DA36DA" w:rsidRDefault="00DA36DA"/>
    <w:sectPr w:rsidR="00DA36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6DA"/>
    <w:rsid w:val="00AC1459"/>
    <w:rsid w:val="00DA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3045A0-D783-4043-A00E-FB26D4F29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C1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2063</Words>
  <Characters>11762</Characters>
  <Application>Microsoft Office Word</Application>
  <DocSecurity>0</DocSecurity>
  <Lines>98</Lines>
  <Paragraphs>27</Paragraphs>
  <ScaleCrop>false</ScaleCrop>
  <Company/>
  <LinksUpToDate>false</LinksUpToDate>
  <CharactersWithSpaces>13798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Marketing 1</dc:creator>
  <cp:keywords/>
  <dc:description/>
  <cp:lastModifiedBy>Marketing 1</cp:lastModifiedBy>
  <cp:revision>2</cp:revision>
  <dcterms:created xsi:type="dcterms:W3CDTF">2024-05-29T11:17:00Z</dcterms:created>
  <dcterms:modified xsi:type="dcterms:W3CDTF">2024-05-29T11:18:00Z</dcterms:modified>
</cp:coreProperties>
</file>