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6191C" w:rsidRDefault="00000000">
      <w:pPr>
        <w:pStyle w:val="1"/>
        <w:jc w:val="center"/>
        <w:rPr>
          <w:sz w:val="22"/>
          <w:szCs w:val="22"/>
        </w:rPr>
      </w:pPr>
      <w:bookmarkStart w:id="0" w:name="_1h4dt96kgudm" w:colFirst="0" w:colLast="0"/>
      <w:bookmarkEnd w:id="0"/>
      <w:r>
        <w:rPr>
          <w:sz w:val="22"/>
          <w:szCs w:val="22"/>
        </w:rPr>
        <w:t>Отчёт по проекту “Интерференция рода у русско-немецких билингвов”</w:t>
      </w:r>
    </w:p>
    <w:p w14:paraId="00000002" w14:textId="38A9A5C1" w:rsidR="00A6191C" w:rsidRPr="000D4AE4" w:rsidRDefault="00000000">
      <w:pPr>
        <w:pStyle w:val="1"/>
        <w:jc w:val="both"/>
        <w:rPr>
          <w:sz w:val="22"/>
          <w:szCs w:val="22"/>
          <w:lang w:val="ru-RU"/>
        </w:rPr>
      </w:pPr>
      <w:bookmarkStart w:id="1" w:name="_xanvb8oe3sa8" w:colFirst="0" w:colLast="0"/>
      <w:bookmarkEnd w:id="1"/>
      <w:r>
        <w:rPr>
          <w:sz w:val="22"/>
          <w:szCs w:val="22"/>
        </w:rPr>
        <w:t>Введение</w:t>
      </w:r>
    </w:p>
    <w:p w14:paraId="00000003" w14:textId="77777777" w:rsidR="00A6191C" w:rsidRDefault="00000000">
      <w:pPr>
        <w:ind w:firstLine="720"/>
        <w:jc w:val="both"/>
      </w:pPr>
      <w:r>
        <w:t>Существует два подхода к репрезентации и обработке грамматического рода у билингвов: интегрированный и автономный (</w:t>
      </w:r>
      <w:proofErr w:type="spellStart"/>
      <w:r>
        <w:t>Costa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2003). В качестве довода за интегрированный подход и наличие интерференции родовых систем у билингвов исследуется эффект конгруэнтности рода (GCE), при котором совпадение рода лексемы L2 с родом переводного эквивалента в L1 облегчает обработку. Согласно мета-анализу (</w:t>
      </w:r>
      <w:proofErr w:type="spellStart"/>
      <w:r>
        <w:t>Sá-Leite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2020), существование эффекта конгруэнтности рода подтверждается большинством исследований, и GCE может модулироваться (мор)фонологической прозрачностью рода, уровнем владения языка и синтаксической ролью существительного. Многие исследования на данную тему фокусируются на языках со структурно различным родом (как, например, романские языки с 2 родами и германские с 3) или на близкородственных языках с большим процентом когнатов в лексиконе. Наше исследование посвящено интерференции родовых систем у русских L2 носителей немецкого: русский и немецкий языки имеют структурно схожую систему с 3 родами, но не являются близкородственными.</w:t>
      </w:r>
    </w:p>
    <w:p w14:paraId="00000004" w14:textId="29ED37C8" w:rsidR="00A6191C" w:rsidRPr="000D4AE4" w:rsidRDefault="00000000">
      <w:pPr>
        <w:pStyle w:val="1"/>
        <w:jc w:val="both"/>
        <w:rPr>
          <w:sz w:val="22"/>
          <w:szCs w:val="22"/>
          <w:lang w:val="ru-RU"/>
        </w:rPr>
      </w:pPr>
      <w:bookmarkStart w:id="2" w:name="_x5kri9zgnvra" w:colFirst="0" w:colLast="0"/>
      <w:bookmarkEnd w:id="2"/>
      <w:r>
        <w:rPr>
          <w:sz w:val="22"/>
          <w:szCs w:val="22"/>
        </w:rPr>
        <w:t>Метод</w:t>
      </w:r>
    </w:p>
    <w:p w14:paraId="00000005" w14:textId="77777777" w:rsidR="00A6191C" w:rsidRPr="000D4AE4" w:rsidRDefault="00000000">
      <w:pPr>
        <w:spacing w:after="200"/>
        <w:ind w:firstLine="720"/>
        <w:jc w:val="both"/>
        <w:rPr>
          <w:lang w:val="en-US"/>
        </w:rPr>
      </w:pPr>
      <w:r>
        <w:t xml:space="preserve">Мы используем внутригрупповой дизайн 2×2 (наличие/отсутствие ошибки в согласовании </w:t>
      </w:r>
      <w:proofErr w:type="spellStart"/>
      <w:r>
        <w:t>детерминатора</w:t>
      </w:r>
      <w:proofErr w:type="spellEnd"/>
      <w:r>
        <w:t xml:space="preserve"> по роду; конгруэнтный/ </w:t>
      </w:r>
      <w:proofErr w:type="spellStart"/>
      <w:r>
        <w:t>неконгруэнтный</w:t>
      </w:r>
      <w:proofErr w:type="spellEnd"/>
      <w:r>
        <w:t xml:space="preserve"> род у существительного в L1 и L2) и задание на ускоренную оценку грамматической правильности предложений (</w:t>
      </w:r>
      <w:proofErr w:type="spellStart"/>
      <w:r>
        <w:t>speeded</w:t>
      </w:r>
      <w:proofErr w:type="spellEnd"/>
      <w:r>
        <w:t xml:space="preserve"> </w:t>
      </w:r>
      <w:proofErr w:type="spellStart"/>
      <w:r>
        <w:t>grammaticality</w:t>
      </w:r>
      <w:proofErr w:type="spellEnd"/>
      <w:r>
        <w:t xml:space="preserve"> </w:t>
      </w:r>
      <w:proofErr w:type="spellStart"/>
      <w:r>
        <w:t>judgment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). Стимулы представляют собой немецкие непереходные предложения с наречным адъюнктом (глагол + наречие) или именной предикацией (глагол-связка + прилагательное или причастие). Все предложения состоят из 4 токенов: артикль </w:t>
      </w:r>
      <w:proofErr w:type="spellStart"/>
      <w:r>
        <w:rPr>
          <w:i/>
          <w:iCs/>
        </w:rPr>
        <w:t>das</w:t>
      </w:r>
      <w:proofErr w:type="spellEnd"/>
      <w:r>
        <w:t xml:space="preserve"> / </w:t>
      </w:r>
      <w:proofErr w:type="spellStart"/>
      <w:r>
        <w:t>демонстратив</w:t>
      </w:r>
      <w:proofErr w:type="spellEnd"/>
      <w:r>
        <w:t xml:space="preserve"> </w:t>
      </w:r>
      <w:proofErr w:type="spellStart"/>
      <w:r>
        <w:rPr>
          <w:i/>
          <w:iCs/>
        </w:rPr>
        <w:t>dieses</w:t>
      </w:r>
      <w:proofErr w:type="spellEnd"/>
      <w:r>
        <w:t xml:space="preserve"> + существительное + лексический глагол / глагольная связка + адъюнкт / прилагательное или причастие. Всего уникальных стимулов 36 (18 с ошибкой, 18 без ошибки), при этом участники распределены на две группы, каждой группе демонстрируется 24 стимула: 6 конгруэнтных без ошибки, 6 </w:t>
      </w:r>
      <w:proofErr w:type="spellStart"/>
      <w:r>
        <w:t>неконгруэнтных</w:t>
      </w:r>
      <w:proofErr w:type="spellEnd"/>
      <w:r>
        <w:t xml:space="preserve"> без ошибки, 6 конгруэнтных с ошибкой, 6 </w:t>
      </w:r>
      <w:proofErr w:type="spellStart"/>
      <w:r>
        <w:t>неконгруэнтных</w:t>
      </w:r>
      <w:proofErr w:type="spellEnd"/>
      <w:r>
        <w:t xml:space="preserve"> с ошибкой; стимулы без ошибки для двух групп совпадают. Каждый токен предложения предъявляется на 400 мс, в то </w:t>
      </w:r>
      <w:r>
        <w:lastRenderedPageBreak/>
        <w:t xml:space="preserve">время как остальные токены скрыты под маской, после прочтения последнего токена участнику даётся 1500 мс, чтобы предоставить суждение о грамматичности предложения. Стимульные существительные сбалансированы по роду в L2 и по роду их переводного эквивалента в L2: 16 женского рода, 16 мужского рода, 16 среднего рода; в каждой группе по 8 конгруэнтных и </w:t>
      </w:r>
      <w:proofErr w:type="spellStart"/>
      <w:r>
        <w:t>неконгруэнтных</w:t>
      </w:r>
      <w:proofErr w:type="spellEnd"/>
      <w:r>
        <w:t xml:space="preserve">. Стимульные существительные не содержат одушевлённых имён для исключения роли семантических правил приписывания рода и существительных с аффиксами с фиксированным родом для исключения роли морфологических правил; частотность контролировалась по частотному словарю </w:t>
      </w:r>
      <w:r w:rsidRPr="000D4AE4">
        <w:rPr>
          <w:lang w:val="en-US"/>
        </w:rPr>
        <w:t xml:space="preserve">‘A Frequency Dictionary of German Core Vocabulary for Learners’, </w:t>
      </w:r>
      <w:r>
        <w:t>основанному</w:t>
      </w:r>
      <w:r w:rsidRPr="000D4AE4">
        <w:rPr>
          <w:lang w:val="en-US"/>
        </w:rPr>
        <w:t xml:space="preserve"> </w:t>
      </w:r>
      <w:r>
        <w:t>на</w:t>
      </w:r>
      <w:r w:rsidRPr="000D4AE4">
        <w:rPr>
          <w:lang w:val="en-US"/>
        </w:rPr>
        <w:t xml:space="preserve"> </w:t>
      </w:r>
      <w:r>
        <w:t>корпусе</w:t>
      </w:r>
      <w:r w:rsidRPr="000D4AE4">
        <w:rPr>
          <w:lang w:val="en-US"/>
        </w:rPr>
        <w:t xml:space="preserve"> ‘Herder/BYU-</w:t>
      </w:r>
      <w:proofErr w:type="spellStart"/>
      <w:r w:rsidRPr="000D4AE4">
        <w:rPr>
          <w:lang w:val="en-US"/>
        </w:rPr>
        <w:t>Korpus</w:t>
      </w:r>
      <w:proofErr w:type="spellEnd"/>
      <w:r w:rsidRPr="000D4AE4">
        <w:rPr>
          <w:lang w:val="en-US"/>
        </w:rPr>
        <w:t xml:space="preserve">’, </w:t>
      </w:r>
      <w:r>
        <w:t>и</w:t>
      </w:r>
      <w:r w:rsidRPr="000D4AE4">
        <w:rPr>
          <w:lang w:val="en-US"/>
        </w:rPr>
        <w:t xml:space="preserve"> </w:t>
      </w:r>
      <w:r>
        <w:t>частотному</w:t>
      </w:r>
      <w:r w:rsidRPr="000D4AE4">
        <w:rPr>
          <w:lang w:val="en-US"/>
        </w:rPr>
        <w:t xml:space="preserve"> </w:t>
      </w:r>
      <w:hyperlink r:id="rId4" w:anchor="tab-id-2">
        <w:r>
          <w:rPr>
            <w:color w:val="1155CC"/>
            <w:u w:val="single"/>
          </w:rPr>
          <w:t>списку</w:t>
        </w:r>
      </w:hyperlink>
      <w:r w:rsidRPr="000D4AE4">
        <w:rPr>
          <w:lang w:val="en-US"/>
        </w:rPr>
        <w:t xml:space="preserve"> Sketch Engine </w:t>
      </w:r>
      <w:r>
        <w:t>для</w:t>
      </w:r>
      <w:r w:rsidRPr="000D4AE4">
        <w:rPr>
          <w:lang w:val="en-US"/>
        </w:rPr>
        <w:t xml:space="preserve"> </w:t>
      </w:r>
      <w:r>
        <w:t>немецкого</w:t>
      </w:r>
      <w:r w:rsidRPr="000D4AE4">
        <w:rPr>
          <w:lang w:val="en-US"/>
        </w:rPr>
        <w:t>.</w:t>
      </w:r>
    </w:p>
    <w:p w14:paraId="00000006" w14:textId="77777777" w:rsidR="00A6191C" w:rsidRDefault="00000000">
      <w:pPr>
        <w:spacing w:after="200"/>
        <w:ind w:firstLine="720"/>
        <w:jc w:val="both"/>
      </w:pPr>
      <w:r>
        <w:t xml:space="preserve">В исследовании приняли участие 55 человек (28 женщин, 21 мужчина, 6 участников не указали пол) с нормальным или скорректированным зрением (средний возраст = 25.2, SD = 7.87). Для объективной оценки уровня владения немецким, мы просили участников пройти тест </w:t>
      </w:r>
      <w:hyperlink r:id="rId5">
        <w:proofErr w:type="spellStart"/>
        <w:r>
          <w:rPr>
            <w:color w:val="1155CC"/>
            <w:u w:val="single"/>
          </w:rPr>
          <w:t>LexTALE</w:t>
        </w:r>
        <w:proofErr w:type="spellEnd"/>
      </w:hyperlink>
      <w:r>
        <w:t xml:space="preserve">. Социолингвистическая анкета включала вопросы о поле и возрасте участника, уровне владения немецким (B1/B2/C1/C2), баллах за тест </w:t>
      </w:r>
      <w:proofErr w:type="spellStart"/>
      <w:r>
        <w:t>LexTALE</w:t>
      </w:r>
      <w:proofErr w:type="spellEnd"/>
      <w:r>
        <w:t xml:space="preserve">, возрасте начала усвоения немецкого, доле немецкого  в повседневном использовании языка (процентная шкала с шагом 10%), факте и длительности проживания в германоязычной стране и среде усвоения немецкого (на уроках в общеобразовательной школе/на языковых курсах/в семье/в германоязычной стране). Средний возраст начала усвоения немецкого языка = 16.71 лет (SD = 6.02). Большая часть участников (36.36%) указала уровень владения немецким C1, B1 — 14 человек, B2 — 13, C2 — 3 (не указало 5 человек). В среднем участники указали, что доля немецкого в их повседневном использовании языка составляет 22.78% (SD = 20.50), при этом большая часть (20 человек, 36.36%) указала, что доля использования немецкого у них составляет 10%. Большая часть участников (37 человек, 67.27%) проживает в германоязычной стране, при этом 32 участника (58.18%) — более года. Большая часть (28 человек, 50.91%) указала, что изучала немецкий на языковых курсах; никто из участников не указал, что немецкий был языком его семьи. Средний балл результата </w:t>
      </w:r>
      <w:proofErr w:type="spellStart"/>
      <w:r>
        <w:t>LexTALE</w:t>
      </w:r>
      <w:proofErr w:type="spellEnd"/>
      <w:r>
        <w:t xml:space="preserve"> = 66.88 (SD = 7.47).</w:t>
      </w:r>
    </w:p>
    <w:p w14:paraId="00000007" w14:textId="77777777" w:rsidR="00A6191C" w:rsidRDefault="00000000">
      <w:pPr>
        <w:spacing w:after="200"/>
        <w:ind w:firstLine="720"/>
        <w:jc w:val="both"/>
      </w:pPr>
      <w:r>
        <w:lastRenderedPageBreak/>
        <w:t xml:space="preserve">Для анализа результатов построено 5 моделей линейной регрессии (две из них с взаимодействием): 1) </w:t>
      </w:r>
      <w:proofErr w:type="spellStart"/>
      <w:r>
        <w:t>Congruency</w:t>
      </w:r>
      <w:proofErr w:type="spellEnd"/>
      <w:r>
        <w:t xml:space="preserve"> * </w:t>
      </w:r>
      <w:proofErr w:type="spellStart"/>
      <w:r>
        <w:t>LexTALE</w:t>
      </w:r>
      <w:proofErr w:type="spellEnd"/>
      <w:r>
        <w:t xml:space="preserve">; 2) </w:t>
      </w:r>
      <w:proofErr w:type="spellStart"/>
      <w:r>
        <w:t>Congruency</w:t>
      </w:r>
      <w:proofErr w:type="spellEnd"/>
      <w:r>
        <w:t xml:space="preserve"> * </w:t>
      </w:r>
      <w:proofErr w:type="spellStart"/>
      <w:r>
        <w:t>proficiency</w:t>
      </w:r>
      <w:proofErr w:type="spellEnd"/>
      <w:r>
        <w:t xml:space="preserve">; 3) </w:t>
      </w:r>
      <w:proofErr w:type="spellStart"/>
      <w:r>
        <w:t>LexTALE</w:t>
      </w:r>
      <w:proofErr w:type="spellEnd"/>
      <w:r>
        <w:t xml:space="preserve">; 4) </w:t>
      </w:r>
      <w:proofErr w:type="spellStart"/>
      <w:r>
        <w:t>Proficiency</w:t>
      </w:r>
      <w:proofErr w:type="spellEnd"/>
      <w:r>
        <w:t xml:space="preserve">; 5) </w:t>
      </w:r>
      <w:proofErr w:type="spellStart"/>
      <w:r>
        <w:t>Congruency</w:t>
      </w:r>
      <w:proofErr w:type="spellEnd"/>
      <w:r>
        <w:t>.</w:t>
      </w:r>
    </w:p>
    <w:p w14:paraId="00000008" w14:textId="60A4F541" w:rsidR="00A6191C" w:rsidRPr="000D4AE4" w:rsidRDefault="00000000">
      <w:pPr>
        <w:pStyle w:val="1"/>
        <w:jc w:val="both"/>
        <w:rPr>
          <w:sz w:val="22"/>
          <w:szCs w:val="22"/>
          <w:lang w:val="ru-RU"/>
        </w:rPr>
      </w:pPr>
      <w:bookmarkStart w:id="3" w:name="_q76ppotk6aoz" w:colFirst="0" w:colLast="0"/>
      <w:bookmarkEnd w:id="3"/>
      <w:r>
        <w:rPr>
          <w:sz w:val="22"/>
          <w:szCs w:val="22"/>
        </w:rPr>
        <w:t>Результаты</w:t>
      </w:r>
    </w:p>
    <w:p w14:paraId="00000009" w14:textId="77777777" w:rsidR="00A6191C" w:rsidRDefault="00000000">
      <w:pPr>
        <w:jc w:val="both"/>
      </w:pPr>
      <w:r>
        <w:t xml:space="preserve"> </w:t>
      </w:r>
      <w:r>
        <w:tab/>
        <w:t xml:space="preserve">Говоря о результатах без обращения к конгруэнтности стимула, мы можем утверждать. что обнаружено значительное влияние на общую правильность грамматических оценок участника уровня владения немецким языком (в частности, объёма лексикона) на основании результатов тестирования </w:t>
      </w:r>
      <w:proofErr w:type="spellStart"/>
      <w:r>
        <w:t>LexTALE</w:t>
      </w:r>
      <w:proofErr w:type="spellEnd"/>
      <w:r>
        <w:t>, сила связи положительная, хотя не слишком большая (</w:t>
      </w:r>
      <w:proofErr w:type="spellStart"/>
      <w:r>
        <w:t>Est</w:t>
      </w:r>
      <w:proofErr w:type="spellEnd"/>
      <w:r>
        <w:t xml:space="preserve">. = 0.007, SE = 0.001, p </w:t>
      </w:r>
      <w:proofErr w:type="gramStart"/>
      <w:r>
        <w:t>&lt; 2</w:t>
      </w:r>
      <w:proofErr w:type="gramEnd"/>
      <w:r>
        <w:t>e-16). Также положительно влияет на правильность испытуемого уровень владения немецким языком, если опираться на оценку его самим испытуемым (</w:t>
      </w:r>
      <w:proofErr w:type="spellStart"/>
      <w:r>
        <w:t>self-reported</w:t>
      </w:r>
      <w:proofErr w:type="spellEnd"/>
      <w:r>
        <w:t xml:space="preserve"> </w:t>
      </w:r>
      <w:proofErr w:type="spellStart"/>
      <w:r>
        <w:t>proficiency</w:t>
      </w:r>
      <w:proofErr w:type="spellEnd"/>
      <w:r>
        <w:t>): значимость уровня B2 находится на границе значимости (</w:t>
      </w:r>
      <w:proofErr w:type="spellStart"/>
      <w:r>
        <w:t>Est</w:t>
      </w:r>
      <w:proofErr w:type="spellEnd"/>
      <w:r>
        <w:t>. = 0.022, SE = 0.011, p = 0.525), в то время как уровни C1 и C2 уже оказывают статистически значимое влияние (</w:t>
      </w:r>
      <w:proofErr w:type="spellStart"/>
      <w:r>
        <w:t>Est</w:t>
      </w:r>
      <w:proofErr w:type="spellEnd"/>
      <w:r>
        <w:t xml:space="preserve">. = 0.124, SE = 0.01, p &lt; 2e-16; </w:t>
      </w:r>
      <w:proofErr w:type="spellStart"/>
      <w:r>
        <w:t>Est</w:t>
      </w:r>
      <w:proofErr w:type="spellEnd"/>
      <w:r>
        <w:t>. = 0.156, SE = 0.017838, p &lt; 2e-16). Отметим, что влияние уровня C2 на правильность оценок участника — более сильное, чем C1, а уровня C1 — более сильное, чем уровня B2.</w:t>
      </w:r>
    </w:p>
    <w:p w14:paraId="0000000A" w14:textId="77777777" w:rsidR="00A6191C" w:rsidRDefault="00000000">
      <w:pPr>
        <w:jc w:val="both"/>
      </w:pPr>
      <w:r>
        <w:tab/>
        <w:t xml:space="preserve">Конгруэнтность же стимульного существительного в нашем исследовании не оказалась статистически значимым </w:t>
      </w:r>
      <w:proofErr w:type="gramStart"/>
      <w:r>
        <w:t>фактором,:</w:t>
      </w:r>
      <w:proofErr w:type="gramEnd"/>
      <w:r>
        <w:t xml:space="preserve"> p = 1. В моделях с как-либо </w:t>
      </w:r>
      <w:proofErr w:type="spellStart"/>
      <w:r>
        <w:t>операционализованным</w:t>
      </w:r>
      <w:proofErr w:type="spellEnd"/>
      <w:r>
        <w:t xml:space="preserve"> уровнем языка в качестве предиктора конгруэнтность стимула также не оказалась значима как второй предиктор, как и их взаимодействие (p = 1 для всего).</w:t>
      </w:r>
    </w:p>
    <w:p w14:paraId="0000000B" w14:textId="77777777" w:rsidR="00A6191C" w:rsidRDefault="00000000">
      <w:pPr>
        <w:jc w:val="both"/>
      </w:pPr>
      <w:r>
        <w:tab/>
        <w:t xml:space="preserve">При оценке качества моделей (использовались метрики AIC и BIC) модель, оценивающая связь между результатом теста </w:t>
      </w:r>
      <w:proofErr w:type="spellStart"/>
      <w:r>
        <w:t>LexTALE</w:t>
      </w:r>
      <w:proofErr w:type="spellEnd"/>
      <w:r>
        <w:t xml:space="preserve"> и правильностью оценок участников, показала себя как описывающая наибольшее количество данных (AIC = -1399.035, BIC = -1383.706). Модель же со взаимодействием, включающая помимо результата </w:t>
      </w:r>
      <w:proofErr w:type="spellStart"/>
      <w:r>
        <w:t>LexTALE</w:t>
      </w:r>
      <w:proofErr w:type="spellEnd"/>
      <w:r>
        <w:t xml:space="preserve"> ещё и конгруэнтность стимула как предиктор, показала себя хуже (AIC = -1397.035, BIC = -1376.596). Хуже описывают данные те модели, в которых предиктором является уровень языка, сообщённый самим испытуемым, при этом аналогичным образом модель со взаимодействием (AIC = -1284.687, BIC = -1254.518) менее качественно сочетается с данными, чем без взаимодействия (AIC = -1284.687, BIC = -1254.518). Простая модель от конгруэнтности стимула же описывает данные хуже, чем любая другая модель (AIC = -1253.389, BIC = -1238.059).</w:t>
      </w:r>
    </w:p>
    <w:p w14:paraId="0000000C" w14:textId="73942063" w:rsidR="00A6191C" w:rsidRPr="000D4AE4" w:rsidRDefault="00000000">
      <w:pPr>
        <w:pStyle w:val="1"/>
        <w:jc w:val="both"/>
        <w:rPr>
          <w:sz w:val="22"/>
          <w:szCs w:val="22"/>
          <w:lang w:val="ru-RU"/>
        </w:rPr>
      </w:pPr>
      <w:bookmarkStart w:id="4" w:name="_r3ewwi7a7u4i" w:colFirst="0" w:colLast="0"/>
      <w:bookmarkEnd w:id="4"/>
      <w:r>
        <w:rPr>
          <w:sz w:val="22"/>
          <w:szCs w:val="22"/>
        </w:rPr>
        <w:lastRenderedPageBreak/>
        <w:t>Дискуссия</w:t>
      </w:r>
    </w:p>
    <w:p w14:paraId="0000000D" w14:textId="77777777" w:rsidR="00A6191C" w:rsidRDefault="00000000">
      <w:pPr>
        <w:widowControl w:val="0"/>
        <w:spacing w:after="240"/>
        <w:ind w:firstLine="720"/>
        <w:jc w:val="both"/>
        <w:rPr>
          <w:color w:val="1F1F1F"/>
        </w:rPr>
      </w:pPr>
      <w:r>
        <w:t>Итак, по нашим данным гипотеза о (не)конгруэнтности рода существительного в L1 и L2 как о влиятельном факторе при обработке рода для задачи ускоренного суждения о грамматической приемлемости не подтверждается. Можно предположить несколько причин, по которым наши результаты настолько разительно расходятся с множеством исследований интерференции родовых систем, приведённых, например, в (</w:t>
      </w:r>
      <w:proofErr w:type="spellStart"/>
      <w:r>
        <w:rPr>
          <w:color w:val="1F1F1F"/>
        </w:rPr>
        <w:t>Sá-Leite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</w:t>
      </w:r>
      <w:proofErr w:type="spellEnd"/>
      <w:r>
        <w:rPr>
          <w:color w:val="1F1F1F"/>
        </w:rPr>
        <w:t xml:space="preserve">. 2020). </w:t>
      </w:r>
    </w:p>
    <w:p w14:paraId="0000000E" w14:textId="77777777" w:rsidR="00A6191C" w:rsidRDefault="00000000">
      <w:pPr>
        <w:widowControl w:val="0"/>
        <w:spacing w:after="240"/>
        <w:ind w:firstLine="720"/>
        <w:jc w:val="both"/>
        <w:rPr>
          <w:color w:val="1F1F1F"/>
        </w:rPr>
      </w:pPr>
      <w:r>
        <w:rPr>
          <w:color w:val="1F1F1F"/>
        </w:rPr>
        <w:t xml:space="preserve">Во-первых, такой результат может быть обусловлен нашим выбором метода. С одной стороны, малый размер эффекта и бессознательный характер GCE могут приводить к тому, что эффект не будет выявлен в результате сознательной задачи вынесения суждения о грамматичности, в отличие от методов, основанных на измерении времени прочтения или реакции, как чтение с саморегуляцией скорости или называние картинки. С другой стороны, может быть, напротив, конгруэнтность требует большей степени осознанности. Для разделения первой и второй гипотезы стоит сравнить результаты разных исследований, использующих методику чтения с саморегуляцией скорости: скорый и </w:t>
      </w:r>
      <w:proofErr w:type="spellStart"/>
      <w:r>
        <w:rPr>
          <w:color w:val="1F1F1F"/>
        </w:rPr>
        <w:t>малоосознанный</w:t>
      </w:r>
      <w:proofErr w:type="spellEnd"/>
      <w:r>
        <w:rPr>
          <w:color w:val="1F1F1F"/>
        </w:rPr>
        <w:t xml:space="preserve"> GCE должен быть заметен на данных времени прочтения, а требующий осознания и рефлексии — на данных неускоренной оценки грамматичности.</w:t>
      </w:r>
    </w:p>
    <w:p w14:paraId="0000000F" w14:textId="77777777" w:rsidR="00A6191C" w:rsidRDefault="00000000">
      <w:pPr>
        <w:widowControl w:val="0"/>
        <w:spacing w:after="240"/>
        <w:ind w:firstLine="720"/>
        <w:jc w:val="both"/>
      </w:pPr>
      <w:r>
        <w:rPr>
          <w:color w:val="1F1F1F"/>
        </w:rPr>
        <w:t>Во-вторых, наш стимульный материал принципиально проконтролирован так, чтобы все целевые существительные были морфологически непрозрачны для категории рода. В исследовании (</w:t>
      </w:r>
      <w:proofErr w:type="spellStart"/>
      <w:r>
        <w:rPr>
          <w:color w:val="1F1F1F"/>
        </w:rPr>
        <w:t>Długosz</w:t>
      </w:r>
      <w:proofErr w:type="spellEnd"/>
      <w:r>
        <w:rPr>
          <w:color w:val="1F1F1F"/>
        </w:rPr>
        <w:t xml:space="preserve"> &amp; </w:t>
      </w:r>
      <w:proofErr w:type="spellStart"/>
      <w:r>
        <w:rPr>
          <w:color w:val="1F1F1F"/>
        </w:rPr>
        <w:t>Olszewska</w:t>
      </w:r>
      <w:proofErr w:type="spellEnd"/>
      <w:r>
        <w:rPr>
          <w:color w:val="1F1F1F"/>
        </w:rPr>
        <w:t xml:space="preserve"> 2024), посвященном </w:t>
      </w:r>
      <w:proofErr w:type="spellStart"/>
      <w:r>
        <w:rPr>
          <w:color w:val="1F1F1F"/>
        </w:rPr>
        <w:t>польско</w:t>
      </w:r>
      <w:proofErr w:type="spellEnd"/>
      <w:r>
        <w:rPr>
          <w:color w:val="1F1F1F"/>
        </w:rPr>
        <w:t xml:space="preserve">–немецким билингвам, сообщается о </w:t>
      </w:r>
      <w:r>
        <w:t xml:space="preserve">GCE для немецких морфологически прозрачных существительных. </w:t>
      </w:r>
    </w:p>
    <w:p w14:paraId="00000010" w14:textId="77777777" w:rsidR="00A6191C" w:rsidRDefault="00000000">
      <w:pPr>
        <w:widowControl w:val="0"/>
        <w:spacing w:after="240"/>
        <w:ind w:firstLine="720"/>
        <w:jc w:val="both"/>
      </w:pPr>
      <w:r>
        <w:t>Возможно, отсутствие эффекта также связано с высокой частотностью стимульных существительных или высоким уровнем владения языком, которые связывают с более сильными ментальными репрезентациями лексемы у билингвов, что в свою очередь могло бы снижать степень интерференции.</w:t>
      </w:r>
    </w:p>
    <w:p w14:paraId="00000011" w14:textId="77777777" w:rsidR="00A6191C" w:rsidRPr="000D4AE4" w:rsidRDefault="00000000">
      <w:pPr>
        <w:pStyle w:val="1"/>
        <w:widowControl w:val="0"/>
        <w:jc w:val="both"/>
        <w:rPr>
          <w:sz w:val="22"/>
          <w:szCs w:val="22"/>
          <w:lang w:val="en-US"/>
        </w:rPr>
      </w:pPr>
      <w:bookmarkStart w:id="5" w:name="_quhhiun61nk2" w:colFirst="0" w:colLast="0"/>
      <w:bookmarkEnd w:id="5"/>
      <w:r>
        <w:rPr>
          <w:sz w:val="22"/>
          <w:szCs w:val="22"/>
        </w:rPr>
        <w:t>Литература</w:t>
      </w:r>
    </w:p>
    <w:p w14:paraId="00000012" w14:textId="77777777" w:rsidR="00A6191C" w:rsidRPr="000D4AE4" w:rsidRDefault="00000000">
      <w:pPr>
        <w:widowControl w:val="0"/>
        <w:spacing w:after="240"/>
        <w:jc w:val="both"/>
        <w:rPr>
          <w:color w:val="1F1F1F"/>
          <w:lang w:val="en-US"/>
        </w:rPr>
      </w:pPr>
      <w:r w:rsidRPr="000D4AE4">
        <w:rPr>
          <w:color w:val="1F1F1F"/>
          <w:lang w:val="en-US"/>
        </w:rPr>
        <w:t xml:space="preserve">Sá-Leite et al. 2020 — Sá-Leite, A.R., Luna, K., Fraga, I. et al. (2020). The gender congruency effect across languages in bilinguals: A meta-analysis. </w:t>
      </w:r>
      <w:proofErr w:type="spellStart"/>
      <w:r w:rsidRPr="000D4AE4">
        <w:rPr>
          <w:color w:val="1F1F1F"/>
          <w:lang w:val="en-US"/>
        </w:rPr>
        <w:t>Psychon</w:t>
      </w:r>
      <w:proofErr w:type="spellEnd"/>
      <w:r w:rsidRPr="000D4AE4">
        <w:rPr>
          <w:color w:val="1F1F1F"/>
          <w:lang w:val="en-US"/>
        </w:rPr>
        <w:t xml:space="preserve"> Bull Rev 27, P. 677–693. DOI: </w:t>
      </w:r>
      <w:hyperlink r:id="rId6">
        <w:r w:rsidRPr="000D4AE4">
          <w:rPr>
            <w:color w:val="1155CC"/>
            <w:u w:val="single"/>
            <w:lang w:val="en-US"/>
          </w:rPr>
          <w:t>https://doi.org/10.3758/s13423-019-01702-w</w:t>
        </w:r>
      </w:hyperlink>
    </w:p>
    <w:p w14:paraId="00000013" w14:textId="77777777" w:rsidR="00A6191C" w:rsidRPr="000D4AE4" w:rsidRDefault="00000000">
      <w:pPr>
        <w:widowControl w:val="0"/>
        <w:spacing w:after="240"/>
        <w:jc w:val="both"/>
        <w:rPr>
          <w:color w:val="1F1F1F"/>
          <w:lang w:val="en-US"/>
        </w:rPr>
      </w:pPr>
      <w:r w:rsidRPr="000D4AE4">
        <w:rPr>
          <w:color w:val="1F1F1F"/>
          <w:lang w:val="en-US"/>
        </w:rPr>
        <w:t xml:space="preserve">Długosz &amp; Olszewska 2024 — Długosz, K., &amp; Olszewska, A. (2024). The gender congruency effect in sentence context depends on gender transparency and L2 proficiency: A self-paced reading study with Polish–German bilinguals. International Journal of Bilingualism, 0(0). </w:t>
      </w:r>
      <w:hyperlink r:id="rId7">
        <w:r w:rsidRPr="000D4AE4">
          <w:rPr>
            <w:color w:val="1155CC"/>
            <w:u w:val="single"/>
            <w:lang w:val="en-US"/>
          </w:rPr>
          <w:t>https://doi.org/10.1177/13670069241288318</w:t>
        </w:r>
      </w:hyperlink>
    </w:p>
    <w:p w14:paraId="00000014" w14:textId="77777777" w:rsidR="00A6191C" w:rsidRDefault="00000000">
      <w:pPr>
        <w:widowControl w:val="0"/>
        <w:spacing w:after="240"/>
        <w:jc w:val="both"/>
        <w:rPr>
          <w:color w:val="1F1F1F"/>
        </w:rPr>
      </w:pPr>
      <w:r w:rsidRPr="000D4AE4">
        <w:rPr>
          <w:lang w:val="en-US"/>
        </w:rPr>
        <w:t xml:space="preserve">Costa et al. 2003 </w:t>
      </w:r>
      <w:r w:rsidRPr="000D4AE4">
        <w:rPr>
          <w:color w:val="1F1F1F"/>
          <w:lang w:val="en-US"/>
        </w:rPr>
        <w:t xml:space="preserve">— Costa, A., Kovacic, D., Franck, J., &amp; </w:t>
      </w:r>
      <w:proofErr w:type="spellStart"/>
      <w:r w:rsidRPr="000D4AE4">
        <w:rPr>
          <w:color w:val="1F1F1F"/>
          <w:lang w:val="en-US"/>
        </w:rPr>
        <w:t>Caramazza</w:t>
      </w:r>
      <w:proofErr w:type="spellEnd"/>
      <w:r w:rsidRPr="000D4AE4">
        <w:rPr>
          <w:color w:val="1F1F1F"/>
          <w:lang w:val="en-US"/>
        </w:rPr>
        <w:t xml:space="preserve">, A. (2003). On the autonomy of the grammatical gender systems of the two languages of a bilingual. </w:t>
      </w:r>
      <w:proofErr w:type="spellStart"/>
      <w:r>
        <w:rPr>
          <w:color w:val="1F1F1F"/>
        </w:rPr>
        <w:t>Bilingualism</w:t>
      </w:r>
      <w:proofErr w:type="spellEnd"/>
      <w:r>
        <w:rPr>
          <w:color w:val="1F1F1F"/>
        </w:rPr>
        <w:t xml:space="preserve">: Language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Cognition</w:t>
      </w:r>
      <w:proofErr w:type="spellEnd"/>
      <w:r>
        <w:rPr>
          <w:color w:val="1F1F1F"/>
        </w:rPr>
        <w:t xml:space="preserve">, 6, 181–200. </w:t>
      </w:r>
      <w:hyperlink r:id="rId8">
        <w:r>
          <w:rPr>
            <w:color w:val="1155CC"/>
            <w:u w:val="single"/>
          </w:rPr>
          <w:t>https://doi.org/10.1017/s1366728903001123</w:t>
        </w:r>
      </w:hyperlink>
      <w:r>
        <w:rPr>
          <w:color w:val="1F1F1F"/>
        </w:rPr>
        <w:t xml:space="preserve"> </w:t>
      </w:r>
    </w:p>
    <w:p w14:paraId="00000015" w14:textId="77777777" w:rsidR="00A6191C" w:rsidRDefault="00A6191C">
      <w:pPr>
        <w:widowControl w:val="0"/>
        <w:spacing w:after="240"/>
        <w:ind w:firstLine="720"/>
        <w:jc w:val="both"/>
        <w:rPr>
          <w:color w:val="1F1F1F"/>
        </w:rPr>
      </w:pPr>
    </w:p>
    <w:sectPr w:rsidR="00A619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haris SIL">
    <w:panose1 w:val="02000500060000020004"/>
    <w:charset w:val="CC"/>
    <w:family w:val="auto"/>
    <w:pitch w:val="variable"/>
    <w:sig w:usb0="A00003FF" w:usb1="5200E1FF" w:usb2="0A000029" w:usb3="00000000" w:csb0="00000197" w:csb1="00000000"/>
    <w:embedRegular r:id="rId1" w:fontKey="{46145D1A-4F4D-4499-9B13-315CEA975DE7}"/>
    <w:embedBold r:id="rId2" w:fontKey="{3E81DF2E-683A-41A8-839C-EB7C3C31AC2B}"/>
    <w:embedItalic r:id="rId3" w:fontKey="{1D680315-4F70-4E17-A40D-00783D35D8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F0C2398D-49AD-42DE-BC9E-D37B259FABC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920FECF-9186-4C89-8B45-C3F8E7EAB1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91C"/>
    <w:rsid w:val="000D4AE4"/>
    <w:rsid w:val="008219B0"/>
    <w:rsid w:val="00A6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B31AE"/>
  <w15:docId w15:val="{0F2BB92A-5C43-430A-87FD-276EBA90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haris SIL" w:eastAsia="Charis SIL" w:hAnsi="Charis SIL" w:cs="Charis SI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2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7/s136672890300112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1177/1367006924128831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3758/s13423-019-01702-w" TargetMode="External"/><Relationship Id="rId5" Type="http://schemas.openxmlformats.org/officeDocument/2006/relationships/hyperlink" Target="https://gasparl.github.io/lextale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sketchengine.eu/german-word-list/" TargetMode="Externa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1428</Words>
  <Characters>8142</Characters>
  <Application>Microsoft Office Word</Application>
  <DocSecurity>0</DocSecurity>
  <Lines>67</Lines>
  <Paragraphs>19</Paragraphs>
  <ScaleCrop>false</ScaleCrop>
  <Company/>
  <LinksUpToDate>false</LinksUpToDate>
  <CharactersWithSpaces>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Софья Главатских</cp:lastModifiedBy>
  <cp:revision>2</cp:revision>
  <dcterms:created xsi:type="dcterms:W3CDTF">2026-02-06T22:27:00Z</dcterms:created>
  <dcterms:modified xsi:type="dcterms:W3CDTF">2026-02-06T22:29:00Z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08f90482-82d4-48ed-a84b-be7614e2d452</vt:lpwstr>
  </property>
</Properties>
</file>