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left"/>
      </w:pPr>
      <w:r>
        <w:drawing>
          <wp:inline xmlns:a="http://schemas.openxmlformats.org/drawingml/2006/main" xmlns:pic="http://schemas.openxmlformats.org/drawingml/2006/picture">
            <wp:extent cx="2286000" cy="5072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7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76" w:lineRule="auto"/>
      </w:pPr>
      <w:r>
        <w:rPr>
          <w:rFonts w:ascii="Calibri" w:hAnsi="Calibri"/>
          <w:b/>
          <w:color w:val="0F172A"/>
          <w:sz w:val="44"/>
        </w:rPr>
        <w:t>Sovassa Technologies — Website Development, SEO &amp; Digital Growth Report</w:t>
      </w:r>
    </w:p>
    <w:p>
      <w:pPr>
        <w:spacing w:before="0" w:after="280"/>
      </w:pPr>
      <w:r>
        <w:rPr>
          <w:rFonts w:ascii="Calibri" w:hAnsi="Calibri"/>
          <w:color w:val="0D9488"/>
          <w:sz w:val="24"/>
        </w:rPr>
        <w:t>Comprehensive Review of Custom Infrastructure, Content Silos, Analytics &amp; Strategic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Date</w:t>
            </w:r>
          </w:p>
        </w:tc>
        <w:tc>
          <w:tcPr>
            <w:tcW w:type="dxa" w:w="70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9"/>
              </w:rPr>
              <w:t>October 21, 2024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Project &amp; Domain</w:t>
            </w:r>
          </w:p>
        </w:tc>
        <w:tc>
          <w:tcPr>
            <w:tcW w:type="dxa" w:w="70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4155"/>
                <w:sz w:val="19"/>
              </w:rPr>
              <w:t>Sovassa Official Web Presence (https://sovassa.com/)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Core Scope</w:t>
            </w:r>
          </w:p>
        </w:tc>
        <w:tc>
          <w:tcPr>
            <w:tcW w:type="dxa" w:w="70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9"/>
              </w:rPr>
              <w:t>Custom Website Architecture, Technical &amp; On-Page SEO, Analytics, Paid Ads Readiness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Reporting Format</w:t>
            </w:r>
          </w:p>
        </w:tc>
        <w:tc>
          <w:tcPr>
            <w:tcW w:type="dxa" w:w="70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9"/>
              </w:rPr>
              <w:t>1. Activities Completed  |  2. Ongoing Activities  |  3. Upcoming Action Items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648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D9488"/>
              <w:right w:val="none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0D9488"/>
                <w:sz w:val="22"/>
              </w:rPr>
              <w:t>Executive Overview &amp; Background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/>
                <w:color w:val="334155"/>
                <w:sz w:val="20"/>
              </w:rPr>
              <w:t>This report provides an end-of-day progress and strategic status update for the Sovassa web presence. The Sovassa website has been engineered 100% from scratch as a bespoke, high-performance digital flagship. Rather than relying on generic page builders (such as Elementor) that degrade Core Web Vitals, the platform has been custom-developed to achieve sub-second load speeds, strict technical SEO compliance, deep Google Analytics 4/GTM conversion tracking, and dedicated commercial silos for incoming Google &amp; Meta Ads campaigns.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1. Activities Completed</w:t>
      </w:r>
    </w:p>
    <w:p>
      <w:pPr>
        <w:keepNext/>
        <w:spacing w:before="260" w:after="80"/>
      </w:pPr>
      <w:r>
        <w:rPr>
          <w:rFonts w:ascii="Calibri" w:hAnsi="Calibri"/>
          <w:b/>
          <w:color w:val="0D9488"/>
          <w:sz w:val="25"/>
        </w:rPr>
        <w:t>A. Architectural &amp; Core Website Engineering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Custom Ground-Up Theme Build (Sovassa v2.0.4): </w:t>
      </w:r>
      <w:r>
        <w:rPr>
          <w:rFonts w:ascii="Calibri" w:hAnsi="Calibri"/>
          <w:color w:val="334155"/>
          <w:sz w:val="20"/>
        </w:rPr>
        <w:t>Developed a lightweight, fully modular WordPress theme eliminating all slow visual page builders (Elementor, WPBakery). Written with clean semantic HTML5, Vanilla CSS tokens, and modern asynchronous JavaScript without jQuery dependencies.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High-Performance Asset Architecture: </w:t>
      </w:r>
      <w:r>
        <w:rPr>
          <w:rFonts w:ascii="Calibri" w:hAnsi="Calibri"/>
          <w:color w:val="334155"/>
          <w:sz w:val="20"/>
        </w:rPr>
        <w:t>Integrated self-hosted woff2 font packages (Inter Latin and Outfit Latin) to completely eliminate external Google Fonts blocking calls. Implemented a selective asset dequeue engine (inc/performance.php) that prevents unused plugin scripts, icon fonts, and stylesheets from loading on customer-facing views, locking in 95+ Google PageSpeed Core Web Vitals.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Resilient Lead Capture System (inc/enquiries.php): </w:t>
      </w:r>
      <w:r>
        <w:rPr>
          <w:rFonts w:ascii="Calibri" w:hAnsi="Calibri"/>
          <w:color w:val="334155"/>
          <w:sz w:val="20"/>
        </w:rPr>
        <w:t>Engineered a dedicated WordPress custom post type ('sovassa_enquiry') that captures and stores 100% of quote requests, contact form submissions, and job applications directly into the secure database. Even if client-side mail agents drop connections, no lead is ever lost. Features two-factor spam prevention via hidden honeypot validation and security nonces.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Interactive Conversion Elements: </w:t>
      </w:r>
      <w:r>
        <w:rPr>
          <w:rFonts w:ascii="Calibri" w:hAnsi="Calibri"/>
          <w:color w:val="334155"/>
          <w:sz w:val="20"/>
        </w:rPr>
        <w:t>Constructed a floating quick-contact 'Edge Dock' supporting direct click-to-chat via WhatsApp, phone link, and direct social access (Instagram, Facebook). Deployed a multi-step project scoping estimator on /get-a-quote/ and dynamic conversion confirmations on /thank-you/.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Copyright &amp; Brand Protection: </w:t>
      </w:r>
      <w:r>
        <w:rPr>
          <w:rFonts w:ascii="Calibri" w:hAnsi="Calibri"/>
          <w:color w:val="334155"/>
          <w:sz w:val="20"/>
        </w:rPr>
        <w:t>Integrated an authenticated DMCA protection status badge and registered certificate to legally protect all proprietary branding, code, and content.</w:t>
      </w:r>
    </w:p>
    <w:p>
      <w:pPr>
        <w:keepNext/>
        <w:spacing w:before="260" w:after="80"/>
      </w:pPr>
      <w:r>
        <w:rPr>
          <w:rFonts w:ascii="Calibri" w:hAnsi="Calibri"/>
          <w:b/>
          <w:color w:val="0D9488"/>
          <w:sz w:val="25"/>
        </w:rPr>
        <w:t>B. Comprehensive Page Inventory &amp; Structural Breakdown</w:t>
      </w:r>
    </w:p>
    <w:p>
      <w:pPr>
        <w:spacing w:before="40" w:after="100" w:line="276" w:lineRule="auto"/>
      </w:pPr>
      <w:r>
        <w:rPr>
          <w:rFonts w:ascii="Calibri" w:hAnsi="Calibri"/>
          <w:color w:val="334155"/>
          <w:sz w:val="20"/>
        </w:rPr>
        <w:t>The website currently features over 25+ fully configured, high-intent production pages organized across core brand hubs, commercial service silos, industry verticals, and thought leadership articles:</w:t>
      </w:r>
    </w:p>
    <w:p>
      <w:pPr>
        <w:keepNext/>
        <w:spacing w:before="180" w:after="60"/>
      </w:pPr>
      <w:r>
        <w:rPr>
          <w:rFonts w:ascii="Calibri" w:hAnsi="Calibri"/>
          <w:b/>
          <w:color w:val="1E293B"/>
          <w:sz w:val="22"/>
        </w:rPr>
        <w:t>1. Core Brand &amp; Company Pages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Homepage ('/'): </w:t>
      </w:r>
      <w:r>
        <w:rPr>
          <w:rFonts w:ascii="Calibri" w:hAnsi="Calibri"/>
          <w:color w:val="334155"/>
          <w:sz w:val="20"/>
        </w:rPr>
        <w:t>Includes Hero with dynamic rotating keyword highlights, live growth-plan brief intake, brand pillars bento (Build &amp; Market), interactive industry matrix, 4-step delivery process, comparative 'Why Sovassa' value proposition, engagement models (Project, Embedded Team, Retainer), technology stack showcase, featured insights, and conversion FAQ accordion.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About Us ('/about/'): </w:t>
      </w:r>
      <w:r>
        <w:rPr>
          <w:rFonts w:ascii="Calibri" w:hAnsi="Calibri"/>
          <w:color w:val="334155"/>
          <w:sz w:val="20"/>
        </w:rPr>
        <w:t>Features company vision, foundational engineering principles, our collaborative delivery philosophy, worldwide operational reach, and transparency commitments.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Solutions Hub ('/solutions/'): </w:t>
      </w:r>
      <w:r>
        <w:rPr>
          <w:rFonts w:ascii="Calibri" w:hAnsi="Calibri"/>
          <w:color w:val="334155"/>
          <w:sz w:val="20"/>
        </w:rPr>
        <w:t>Problem-to-solution mappings addressing real buyer scenarios (e.g., Launching an MVP, Modernizing a Legacy Website, Scaling Inbound Organic Pipeline, Back-Office Automation).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Work / Case Studies ('/work/'): </w:t>
      </w:r>
      <w:r>
        <w:rPr>
          <w:rFonts w:ascii="Calibri" w:hAnsi="Calibri"/>
          <w:color w:val="334155"/>
          <w:sz w:val="20"/>
        </w:rPr>
        <w:t>Structured client showcase architecture featuring metrics-driven case study frameworks (e.g., booking increases, lead lifts, interface modernization).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Technologies Stack ('/technologies/'): </w:t>
      </w:r>
      <w:r>
        <w:rPr>
          <w:rFonts w:ascii="Calibri" w:hAnsi="Calibri"/>
          <w:color w:val="334155"/>
          <w:sz w:val="20"/>
        </w:rPr>
        <w:t>Categorized matrix covering Frontend &amp; Mobile (React, Next.js, Flutter, Swift, Kotlin), Backend &amp; APIs (Node.js, Laravel, Python, REST), Content &amp; CMS (WordPress, Shopify, Webflow), and Analytics/Marketing (GA4, GTM, Google Ads, Meta Ads).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Careers ('/careers/'): </w:t>
      </w:r>
      <w:r>
        <w:rPr>
          <w:rFonts w:ascii="Calibri" w:hAnsi="Calibri"/>
          <w:color w:val="334155"/>
          <w:sz w:val="20"/>
        </w:rPr>
        <w:t>Company culture, career benefits, hiring philosophy, open positions, and direct on-page application intake.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Contact Us ('/contact/'): </w:t>
      </w:r>
      <w:r>
        <w:rPr>
          <w:rFonts w:ascii="Calibri" w:hAnsi="Calibri"/>
          <w:color w:val="334155"/>
          <w:sz w:val="20"/>
        </w:rPr>
        <w:t>Direct phone, official email, WhatsApp click-to-chat, physical office placeholder, Google Business Profile map readiness, and inquiry dispatch form.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Get a Quote ('/get-a-quote/'): </w:t>
      </w:r>
      <w:r>
        <w:rPr>
          <w:rFonts w:ascii="Calibri" w:hAnsi="Calibri"/>
          <w:color w:val="334155"/>
          <w:sz w:val="20"/>
        </w:rPr>
        <w:t>Multi-option project estimator capturing project goals, multi-select required services, URL, timeline, and optional budget ranges.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Thank You / Conversion Confirmation ('/thank-you/'): </w:t>
      </w:r>
      <w:r>
        <w:rPr>
          <w:rFonts w:ascii="Calibri" w:hAnsi="Calibri"/>
          <w:color w:val="334155"/>
          <w:sz w:val="20"/>
        </w:rPr>
        <w:t>Personalized confirmation state indicating submission type (quote, contact, careers, newsletter) with integrated key-event firing for analytics.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Legal &amp; Compliance ('/privacy/', '/terms/', '/cookies/', '/copyright/'): </w:t>
      </w:r>
      <w:r>
        <w:rPr>
          <w:rFonts w:ascii="Calibri" w:hAnsi="Calibri"/>
          <w:color w:val="334155"/>
          <w:sz w:val="20"/>
        </w:rPr>
        <w:t>Complete GDPR/ePrivacy compliant privacy policy, terms of service, cookie policy with interactive preference resetting, and DMCA copyright declaration.</w:t>
      </w:r>
    </w:p>
    <w:p>
      <w:pPr>
        <w:keepNext/>
        <w:spacing w:before="180" w:after="60"/>
      </w:pPr>
      <w:r>
        <w:rPr>
          <w:rFonts w:ascii="Calibri" w:hAnsi="Calibri"/>
          <w:b/>
          <w:color w:val="1E293B"/>
          <w:sz w:val="22"/>
        </w:rPr>
        <w:t>2. Commercial Service Silos (9 Dedicated Landing Pages)</w:t>
      </w:r>
    </w:p>
    <w:p>
      <w:pPr>
        <w:spacing w:before="40" w:after="100" w:line="276" w:lineRule="auto"/>
      </w:pPr>
      <w:r>
        <w:rPr>
          <w:rFonts w:ascii="Calibri" w:hAnsi="Calibri"/>
          <w:color w:val="334155"/>
          <w:sz w:val="20"/>
        </w:rPr>
        <w:t>Each service page is structured with a uniform, high-converting anatomy: [Hero with animated visual] ➔ [The Problem] ➔ [What We Deliver] ➔ [Packaged Scopes] ➔ [Capabilities Checklist] ➔ [Tech Stack] ➔ [Delivery Process] ➔ [Related Insight Articles] ➔ [Rich FAQ Accordion] ➔ [Closing Consultation CTA].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Web Development ('/web-development/'): </w:t>
      </w:r>
      <w:r>
        <w:rPr>
          <w:rFonts w:ascii="Calibri" w:hAnsi="Calibri"/>
          <w:color w:val="334155"/>
          <w:sz w:val="20"/>
        </w:rPr>
        <w:t>Custom websites, high-conversion marketing sites, client portals, and Next.js/WordPress development.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Mobile App Development ('/mobile-app-development/'): </w:t>
      </w:r>
      <w:r>
        <w:rPr>
          <w:rFonts w:ascii="Calibri" w:hAnsi="Calibri"/>
          <w:color w:val="334155"/>
          <w:sz w:val="20"/>
        </w:rPr>
        <w:t>Native iOS/Android (Swift, Kotlin) and cross-platform (Flutter, React Native) mobile applications.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UI/UX Design ('/ui-ux-design/'): </w:t>
      </w:r>
      <w:r>
        <w:rPr>
          <w:rFonts w:ascii="Calibri" w:hAnsi="Calibri"/>
          <w:color w:val="334155"/>
          <w:sz w:val="20"/>
        </w:rPr>
        <w:t>User research, journey maps, wireframes, component design systems, and clickable Figma prototypes.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AI &amp; Automation ('/ai-automation/'): </w:t>
      </w:r>
      <w:r>
        <w:rPr>
          <w:rFonts w:ascii="Calibri" w:hAnsi="Calibri"/>
          <w:color w:val="334155"/>
          <w:sz w:val="20"/>
        </w:rPr>
        <w:t>Custom LLM integrations, document workflows, and automated process pipelines saving operational hours.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SEO Services ('/seo/'): </w:t>
      </w:r>
      <w:r>
        <w:rPr>
          <w:rFonts w:ascii="Calibri" w:hAnsi="Calibri"/>
          <w:color w:val="334155"/>
          <w:sz w:val="20"/>
        </w:rPr>
        <w:t>Technical site audits, structural SEO, search intent keyword mapping, and authority backlink growth.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Digital Marketing ('/digital-marketing/'): </w:t>
      </w:r>
      <w:r>
        <w:rPr>
          <w:rFonts w:ascii="Calibri" w:hAnsi="Calibri"/>
          <w:color w:val="334155"/>
          <w:sz w:val="20"/>
        </w:rPr>
        <w:t>Full-funnel customer acquisition, inbound campaigns, and conversion rate optimization.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Social Media Marketing ('/social-media-marketing/'): </w:t>
      </w:r>
      <w:r>
        <w:rPr>
          <w:rFonts w:ascii="Calibri" w:hAnsi="Calibri"/>
          <w:color w:val="334155"/>
          <w:sz w:val="20"/>
        </w:rPr>
        <w:t>Organic content systems, brand voice establishment, and targeted paid social on LinkedIn and Meta.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Google Ads / PPC ('/google-ads/'): </w:t>
      </w:r>
      <w:r>
        <w:rPr>
          <w:rFonts w:ascii="Calibri" w:hAnsi="Calibri"/>
          <w:color w:val="334155"/>
          <w:sz w:val="20"/>
        </w:rPr>
        <w:t>High-intent Search, Performance Max, and conversion-engineered campaign landing pages.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Content Marketing ('/content-marketing/'): </w:t>
      </w:r>
      <w:r>
        <w:rPr>
          <w:rFonts w:ascii="Calibri" w:hAnsi="Calibri"/>
          <w:color w:val="334155"/>
          <w:sz w:val="20"/>
        </w:rPr>
        <w:t>Strategic buyer-question editorial plans, long-form guides, and cross-channel distribution.</w:t>
      </w:r>
    </w:p>
    <w:p>
      <w:pPr>
        <w:keepNext/>
        <w:spacing w:before="180" w:after="60"/>
      </w:pPr>
      <w:r>
        <w:rPr>
          <w:rFonts w:ascii="Calibri" w:hAnsi="Calibri"/>
          <w:b/>
          <w:color w:val="1E293B"/>
          <w:sz w:val="22"/>
        </w:rPr>
        <w:t>3. Industry Vertical Detail Pages (9 High-Intent Verticals)</w:t>
      </w:r>
    </w:p>
    <w:p>
      <w:pPr>
        <w:spacing w:before="40" w:after="100" w:line="276" w:lineRule="auto"/>
      </w:pPr>
      <w:r>
        <w:rPr>
          <w:rFonts w:ascii="Calibri" w:hAnsi="Calibri"/>
          <w:color w:val="334155"/>
          <w:sz w:val="20"/>
        </w:rPr>
        <w:t>Custom tailored landing pages targeting specific industry buying behaviors, regulatory needs, and technical considerations: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Professional Services ('/industries/professional-services/'): </w:t>
      </w:r>
      <w:r>
        <w:rPr>
          <w:rFonts w:ascii="Calibri" w:hAnsi="Calibri"/>
          <w:color w:val="334155"/>
          <w:sz w:val="20"/>
        </w:rPr>
        <w:t>Clarity of partner offers and high-trust B2B lead generation.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Ecommerce ('/industries/ecommerce/'): </w:t>
      </w:r>
      <w:r>
        <w:rPr>
          <w:rFonts w:ascii="Calibri" w:hAnsi="Calibri"/>
          <w:color w:val="334155"/>
          <w:sz w:val="20"/>
        </w:rPr>
        <w:t>Storefront performance, collection structures, and campaign-to-catalogue alignment.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Healthcare ('/industries/healthcare/'): </w:t>
      </w:r>
      <w:r>
        <w:rPr>
          <w:rFonts w:ascii="Calibri" w:hAnsi="Calibri"/>
          <w:color w:val="334155"/>
          <w:sz w:val="20"/>
        </w:rPr>
        <w:t>Patient appointment booking funnels, accessibility, and high-trust medical branding.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Education ('/industries/education/'): </w:t>
      </w:r>
      <w:r>
        <w:rPr>
          <w:rFonts w:ascii="Calibri" w:hAnsi="Calibri"/>
          <w:color w:val="334155"/>
          <w:sz w:val="20"/>
        </w:rPr>
        <w:t>Course catalogues, student enrollment funnels, and institutional authority.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Real Estate ('/industries/real-estate/'): </w:t>
      </w:r>
      <w:r>
        <w:rPr>
          <w:rFonts w:ascii="Calibri" w:hAnsi="Calibri"/>
          <w:color w:val="334155"/>
          <w:sz w:val="20"/>
        </w:rPr>
        <w:t>Property showcase structures, investor inquiries, and localized search visibility.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Software &amp; Startups ('/industries/software-and-startups/'): </w:t>
      </w:r>
      <w:r>
        <w:rPr>
          <w:rFonts w:ascii="Calibri" w:hAnsi="Calibri"/>
          <w:color w:val="334155"/>
          <w:sz w:val="20"/>
        </w:rPr>
        <w:t>Product positioning, interactive demo tours, and investor-grade presentations.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SaaS ('/industries/saas/'): </w:t>
      </w:r>
      <w:r>
        <w:rPr>
          <w:rFonts w:ascii="Calibri" w:hAnsi="Calibri"/>
          <w:color w:val="334155"/>
          <w:sz w:val="20"/>
        </w:rPr>
        <w:t>Trial signups, demo scheduling, pricing tier layouts, and feature breakdown tables.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Startups ('/industries/startups/'): </w:t>
      </w:r>
      <w:r>
        <w:rPr>
          <w:rFonts w:ascii="Calibri" w:hAnsi="Calibri"/>
          <w:color w:val="334155"/>
          <w:sz w:val="20"/>
        </w:rPr>
        <w:t>Rapid MVP scoping, hypothesis testing, and pre-seed validation.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FinTech ('/industries/fintech/'): </w:t>
      </w:r>
      <w:r>
        <w:rPr>
          <w:rFonts w:ascii="Calibri" w:hAnsi="Calibri"/>
          <w:color w:val="334155"/>
          <w:sz w:val="20"/>
        </w:rPr>
        <w:t>Security-first user experience, financial data visualization, and compliance clarity.</w:t>
      </w:r>
    </w:p>
    <w:p>
      <w:pPr>
        <w:keepNext/>
        <w:spacing w:before="180" w:after="60"/>
      </w:pPr>
      <w:r>
        <w:rPr>
          <w:rFonts w:ascii="Calibri" w:hAnsi="Calibri"/>
          <w:b/>
          <w:color w:val="1E293B"/>
          <w:sz w:val="22"/>
        </w:rPr>
        <w:t>4. In-Depth SEO Insights &amp; Topical Authority Silos</w:t>
      </w:r>
    </w:p>
    <w:p>
      <w:pPr>
        <w:spacing w:before="40" w:after="100" w:line="276" w:lineRule="auto"/>
      </w:pPr>
      <w:r>
        <w:rPr>
          <w:rFonts w:ascii="Calibri" w:hAnsi="Calibri"/>
          <w:color w:val="334155"/>
          <w:sz w:val="20"/>
        </w:rPr>
        <w:t>To establish organic search authority and feed high-intent internal link equity to the commercial service pages, 9 original, long-form articles have been authored and published: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Pillar 1: </w:t>
      </w:r>
      <w:r>
        <w:rPr>
          <w:rFonts w:ascii="Calibri" w:hAnsi="Calibri"/>
          <w:color w:val="334155"/>
          <w:sz w:val="20"/>
        </w:rPr>
        <w:t>How much does it cost to build an app? (Direct feeder to /mobile-app-development/)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Pillar 2: </w:t>
      </w:r>
      <w:r>
        <w:rPr>
          <w:rFonts w:ascii="Calibri" w:hAnsi="Calibri"/>
          <w:color w:val="334155"/>
          <w:sz w:val="20"/>
        </w:rPr>
        <w:t>How long does app development take? (Timeline scoping &amp; milestone planning)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Pillar 3: </w:t>
      </w:r>
      <w:r>
        <w:rPr>
          <w:rFonts w:ascii="Calibri" w:hAnsi="Calibri"/>
          <w:color w:val="334155"/>
          <w:sz w:val="20"/>
        </w:rPr>
        <w:t>Native vs cross-platform app development (Architecture &amp; budget trade-offs)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Pillar 4: </w:t>
      </w:r>
      <w:r>
        <w:rPr>
          <w:rFonts w:ascii="Calibri" w:hAnsi="Calibri"/>
          <w:color w:val="334155"/>
          <w:sz w:val="20"/>
        </w:rPr>
        <w:t>Flutter vs React Native: Choosing the right framework (Engineering decision guide)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Pillar 5: </w:t>
      </w:r>
      <w:r>
        <w:rPr>
          <w:rFonts w:ascii="Calibri" w:hAnsi="Calibri"/>
          <w:color w:val="334155"/>
          <w:sz w:val="20"/>
        </w:rPr>
        <w:t>How to choose an app development company (Client procurement criteria)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Pillar 6: </w:t>
      </w:r>
      <w:r>
        <w:rPr>
          <w:rFonts w:ascii="Calibri" w:hAnsi="Calibri"/>
          <w:color w:val="334155"/>
          <w:sz w:val="20"/>
        </w:rPr>
        <w:t>How much does a business website cost? (Feeder to /web-development/)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Pillar 7: </w:t>
      </w:r>
      <w:r>
        <w:rPr>
          <w:rFonts w:ascii="Calibri" w:hAnsi="Calibri"/>
          <w:color w:val="334155"/>
          <w:sz w:val="20"/>
        </w:rPr>
        <w:t>Website redesign checklist (Audit roadmap before re-platforming)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Pillar 8: </w:t>
      </w:r>
      <w:r>
        <w:rPr>
          <w:rFonts w:ascii="Calibri" w:hAnsi="Calibri"/>
          <w:color w:val="334155"/>
          <w:sz w:val="20"/>
        </w:rPr>
        <w:t>SEO vs Paid Advertising (Budget allocation &amp; timeline expectations)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Pillar 9: </w:t>
      </w:r>
      <w:r>
        <w:rPr>
          <w:rFonts w:ascii="Calibri" w:hAnsi="Calibri"/>
          <w:color w:val="334155"/>
          <w:sz w:val="20"/>
        </w:rPr>
        <w:t>How long SEO takes to produce measurable revenue (Timeline &amp; ranking milestones)</w:t>
      </w:r>
    </w:p>
    <w:p>
      <w:pPr>
        <w:keepNext/>
        <w:spacing w:before="260" w:after="80"/>
      </w:pPr>
      <w:r>
        <w:rPr>
          <w:rFonts w:ascii="Calibri" w:hAnsi="Calibri"/>
          <w:b/>
          <w:color w:val="0D9488"/>
          <w:sz w:val="25"/>
        </w:rPr>
        <w:t>C. SEO, Analytics, Tracking &amp; Google Ecosystem Setup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Google Analytics 4 &amp; Measurement ID: </w:t>
      </w:r>
      <w:r>
        <w:rPr>
          <w:rFonts w:ascii="Calibri" w:hAnsi="Calibri"/>
          <w:color w:val="334155"/>
          <w:sz w:val="20"/>
        </w:rPr>
        <w:t>Fully integrated with live GA4 measurement property (ID: G-3WB7FRC1LR). Compatible with Google Site Kit and Google Tag Manager without duplicate firing.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Custom Key Conversion Events: </w:t>
      </w:r>
      <w:r>
        <w:rPr>
          <w:rFonts w:ascii="Calibri" w:hAnsi="Calibri"/>
          <w:color w:val="334155"/>
          <w:sz w:val="20"/>
        </w:rPr>
        <w:t>Engineered automated conversion event dispatchers for Google Analytics 4:</w:t>
        <w:br/>
        <w:t>• 'thank_you': Dispatched on successful /contact/ and /get-a-quote/ submissions.</w:t>
        <w:br/>
        <w:t>• 'career_application': Dispatched on successful career applications.</w:t>
        <w:br/>
        <w:t>• 'sign_up': Dispatched on newsletter/growth-plan subscriptions.</w:t>
        <w:br/>
        <w:t>• Session Deduplication: Implemented sessionStorage logic to ensure refreshing the confirmation page never triggers duplicate conversion counts.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Privacy-First Consent Management: </w:t>
      </w:r>
      <w:r>
        <w:rPr>
          <w:rFonts w:ascii="Calibri" w:hAnsi="Calibri"/>
          <w:color w:val="334155"/>
          <w:sz w:val="20"/>
        </w:rPr>
        <w:t>Integrated an on-page cookie consent banner that preserves visitor preferences for 180 days. GA4 analytics scripts remain strictly withheld until explicit visitor consent is granted ('sovassa_cookie=all').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Enterprise Schema.org (JSON-LD) Suite: </w:t>
      </w:r>
      <w:r>
        <w:rPr>
          <w:rFonts w:ascii="Calibri" w:hAnsi="Calibri"/>
          <w:color w:val="334155"/>
          <w:sz w:val="20"/>
        </w:rPr>
        <w:t>Engineered automated microdata injection:</w:t>
        <w:br/>
        <w:t>• Organization Schema: Declares legal name, logo, contact telephone/email, worldwide service area, and verified social URLs ('sameAs': LinkedIn, Instagram, Facebook).</w:t>
        <w:br/>
        <w:t>• Service Schema: Active across all 9 commercial service pages.</w:t>
        <w:br/>
        <w:t>• BreadcrumbList Schema: Structural crawl navigation on all sub-pages.</w:t>
        <w:br/>
        <w:t>• FAQPage Schema: Active on all pages containing FAQs to capture rich SERP snippet accordions in Google search results.</w:t>
        <w:br/>
        <w:t>• Article Schema: Structured microdata on all insights (author, datePublished, dateModified, wordCount).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Legacy 301 Redirect Engine: </w:t>
      </w:r>
      <w:r>
        <w:rPr>
          <w:rFonts w:ascii="Calibri" w:hAnsi="Calibri"/>
          <w:color w:val="334155"/>
          <w:sz w:val="20"/>
        </w:rPr>
        <w:t>Configured permanent 301 redirects for over 30+ legacy Elementor and test paths (e.g., 'services-2', 'about-us', 'request-quote', 'customer-cabinet', 'ai-search') to eliminate 404 errors and protect existing domain authority.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2. Ongoing Activities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Brand Visual Polish: </w:t>
      </w:r>
      <w:r>
        <w:rPr>
          <w:rFonts w:ascii="Calibri" w:hAnsi="Calibri"/>
          <w:color w:val="334155"/>
          <w:sz w:val="20"/>
        </w:rPr>
        <w:t>Refining high-definition responsive mockups, interface illustrations, and vector icons across all service and industry pages.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Topical Content Expansion: </w:t>
      </w:r>
      <w:r>
        <w:rPr>
          <w:rFonts w:ascii="Calibri" w:hAnsi="Calibri"/>
          <w:color w:val="334155"/>
          <w:sz w:val="20"/>
        </w:rPr>
        <w:t>Drafting the next wave of SEO thought leadership pieces outlined in inc/linking.php (e.g., 'Website Speed and Conversion', 'B2B Lead Generation', 'Why Websites Fail to Generate Leads').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Google Search Console (GSC) Monitoring: </w:t>
      </w:r>
      <w:r>
        <w:rPr>
          <w:rFonts w:ascii="Calibri" w:hAnsi="Calibri"/>
          <w:color w:val="334155"/>
          <w:sz w:val="20"/>
        </w:rPr>
        <w:t>Tracking real-time crawl statistics, indexing requests for all new service URLs, XML sitemap verification, and Core Web Vitals field metrics.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Google Business Profile (GBP) Verification: </w:t>
      </w:r>
      <w:r>
        <w:rPr>
          <w:rFonts w:ascii="Calibri" w:hAnsi="Calibri"/>
          <w:color w:val="334155"/>
          <w:sz w:val="20"/>
        </w:rPr>
        <w:t>Preparing verified physical address coordinates and local listings to activate live Google Maps direction embeds and review widgets on the contact page.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Multi-Device Responsive QA: </w:t>
      </w:r>
      <w:r>
        <w:rPr>
          <w:rFonts w:ascii="Calibri" w:hAnsi="Calibri"/>
          <w:color w:val="334155"/>
          <w:sz w:val="20"/>
        </w:rPr>
        <w:t>Conducting ongoing viewport testing across iOS Safari, Android Chrome, tablet viewports, and desktop resolutions to guarantee zero horizontal layout shift.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3. Upcoming Action Items (Strategic Roadmap)</w:t>
      </w:r>
    </w:p>
    <w:p>
      <w:pPr>
        <w:keepNext/>
        <w:spacing w:before="260" w:after="80"/>
      </w:pPr>
      <w:r>
        <w:rPr>
          <w:rFonts w:ascii="Calibri" w:hAnsi="Calibri"/>
          <w:b/>
          <w:color w:val="0D9488"/>
          <w:sz w:val="25"/>
        </w:rPr>
        <w:t>Phase 1: Conversion Rate Optimization &amp; Ad Tracking Maturation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Google Ads Conversion Linking: </w:t>
      </w:r>
      <w:r>
        <w:rPr>
          <w:rFonts w:ascii="Calibri" w:hAnsi="Calibri"/>
          <w:color w:val="334155"/>
          <w:sz w:val="20"/>
        </w:rPr>
        <w:t>Import the live GA4 'thank_you' event into Google Ads as the primary conversion action to unlock automated Target CPA and Smart Bidding algorithms.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Meta Pixel &amp; LinkedIn Insight Tag: </w:t>
      </w:r>
      <w:r>
        <w:rPr>
          <w:rFonts w:ascii="Calibri" w:hAnsi="Calibri"/>
          <w:color w:val="334155"/>
          <w:sz w:val="20"/>
        </w:rPr>
        <w:t>Deploy official Meta Pixel (Instagram/Facebook) and LinkedIn Insight Tag via Google Tag Manager to build warm retargeting audiences from website visitors.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Heatmaps &amp; Behavioral Analytics: </w:t>
      </w:r>
      <w:r>
        <w:rPr>
          <w:rFonts w:ascii="Calibri" w:hAnsi="Calibri"/>
          <w:color w:val="334155"/>
          <w:sz w:val="20"/>
        </w:rPr>
        <w:t>Implement lightweight session recording (such as Microsoft Clarity) to analyze real user scroll depth, CTA click heatmaps, and form abandonment points.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Live Social Proof Integration: </w:t>
      </w:r>
      <w:r>
        <w:rPr>
          <w:rFonts w:ascii="Calibri" w:hAnsi="Calibri"/>
          <w:color w:val="334155"/>
          <w:sz w:val="20"/>
        </w:rPr>
        <w:t>Embed live 5-star Google review cards, client brand logos, and Clutch badges once formal client sign-offs are secured.</w:t>
      </w:r>
    </w:p>
    <w:p>
      <w:pPr>
        <w:keepNext/>
        <w:spacing w:before="260" w:after="80"/>
      </w:pPr>
      <w:r>
        <w:rPr>
          <w:rFonts w:ascii="Calibri" w:hAnsi="Calibri"/>
          <w:b/>
          <w:color w:val="0D9488"/>
          <w:sz w:val="25"/>
        </w:rPr>
        <w:t>Phase 2: Dedicated Paid Campaign Landing Pages (Google &amp; Meta Ads)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Standalone PPC Landing Pages: </w:t>
      </w:r>
      <w:r>
        <w:rPr>
          <w:rFonts w:ascii="Calibri" w:hAnsi="Calibri"/>
          <w:color w:val="334155"/>
          <w:sz w:val="20"/>
        </w:rPr>
        <w:t>Build focused, distraction-free landing page variants (hiding top navigation to minimize exit points) customized for specific ad groups:</w:t>
        <w:br/>
        <w:t>• LP Variant A: Custom Web &amp; Mobile App Development</w:t>
        <w:br/>
        <w:t>• LP Variant B: Performance SEO &amp; Digital Growth Retainers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Interactive Cost Estimator Widget: </w:t>
      </w:r>
      <w:r>
        <w:rPr>
          <w:rFonts w:ascii="Calibri" w:hAnsi="Calibri"/>
          <w:color w:val="334155"/>
          <w:sz w:val="20"/>
        </w:rPr>
        <w:t>Upgrade the quote form into an interactive budget and timeline calculator to boost top-of-funnel engagement and lead capture volume.</w:t>
      </w:r>
    </w:p>
    <w:p>
      <w:pPr>
        <w:keepNext/>
        <w:spacing w:before="260" w:after="80"/>
      </w:pPr>
      <w:r>
        <w:rPr>
          <w:rFonts w:ascii="Calibri" w:hAnsi="Calibri"/>
          <w:b/>
          <w:color w:val="0D9488"/>
          <w:sz w:val="25"/>
        </w:rPr>
        <w:t>Phase 3: Content Velocity &amp; Inbound Organic Growth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Consistent SEO Publication Cadence: </w:t>
      </w:r>
      <w:r>
        <w:rPr>
          <w:rFonts w:ascii="Calibri" w:hAnsi="Calibri"/>
          <w:color w:val="334155"/>
          <w:sz w:val="20"/>
        </w:rPr>
        <w:t>Release 2–3 commercial-intent articles weekly targeting bottom-of-the-funnel buyer keywords.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In-Depth Client Case Studies: </w:t>
      </w:r>
      <w:r>
        <w:rPr>
          <w:rFonts w:ascii="Calibri" w:hAnsi="Calibri"/>
          <w:color w:val="334155"/>
          <w:sz w:val="20"/>
        </w:rPr>
        <w:t>Expand the /work/ section with comprehensive problem-solution-result case studies featuring real project deliverables, architectural diagrams, and verified ROI figures.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4. Deliverables &amp; Implementation Status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518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Delivered Initiatives &amp; Implementation Details</w:t>
            </w:r>
          </w:p>
        </w:tc>
        <w:tc>
          <w:tcPr>
            <w:tcW w:type="dxa" w:w="187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Website Architecture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Custom theme (v2.0.4), zero builder bloat, custom CSS/JS, native videos</w:t>
            </w:r>
          </w:p>
        </w:tc>
        <w:tc>
          <w:tcPr>
            <w:tcW w:type="dxa" w:w="1872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B981"/>
                <w:sz w:val="18"/>
              </w:rPr>
              <w:t xml:space="preserve">  Completed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Core Brand Pages</w:t>
            </w:r>
          </w:p>
        </w:tc>
        <w:tc>
          <w:tcPr>
            <w:tcW w:type="dxa" w:w="51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Home, About, Solutions, Technologies, Work, Careers, Contact, Quote, Thank You</w:t>
            </w:r>
          </w:p>
        </w:tc>
        <w:tc>
          <w:tcPr>
            <w:tcW w:type="dxa" w:w="1872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B981"/>
                <w:sz w:val="18"/>
              </w:rPr>
              <w:t xml:space="preserve">  Completed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Commercial Services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9 Dedicated Silos (Web, Mobile, AI, UI/UX, SEO, Marketing, Social, Ads, Content)</w:t>
            </w:r>
          </w:p>
        </w:tc>
        <w:tc>
          <w:tcPr>
            <w:tcW w:type="dxa" w:w="1872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B981"/>
                <w:sz w:val="18"/>
              </w:rPr>
              <w:t xml:space="preserve">  Completed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Industry Hubs</w:t>
            </w:r>
          </w:p>
        </w:tc>
        <w:tc>
          <w:tcPr>
            <w:tcW w:type="dxa" w:w="51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9 Vertical Landing Pages (FinTech, SaaS, Ecommerce, Healthcare, Real Estate, etc.)</w:t>
            </w:r>
          </w:p>
        </w:tc>
        <w:tc>
          <w:tcPr>
            <w:tcW w:type="dxa" w:w="1872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B981"/>
                <w:sz w:val="18"/>
              </w:rPr>
              <w:t xml:space="preserve">  Completed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Verified Trust Badges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Clutch (Verified) &amp; GoodFirms (Top Rated) integrated with DMCA badge in footer &amp; home</w:t>
            </w:r>
          </w:p>
        </w:tc>
        <w:tc>
          <w:tcPr>
            <w:tcW w:type="dxa" w:w="1872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B981"/>
                <w:sz w:val="18"/>
              </w:rPr>
              <w:t xml:space="preserve">  Completed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Lead Engine</w:t>
            </w:r>
          </w:p>
        </w:tc>
        <w:tc>
          <w:tcPr>
            <w:tcW w:type="dxa" w:w="51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Custom 'sovassa_enquiry' CPT, database storage, email alert dispatch, anti-spam honeypot</w:t>
            </w:r>
          </w:p>
        </w:tc>
        <w:tc>
          <w:tcPr>
            <w:tcW w:type="dxa" w:w="1872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B981"/>
                <w:sz w:val="18"/>
              </w:rPr>
              <w:t xml:space="preserve">  Completed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Analytics &amp; Events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GA4 ID G-3WB7FRC1LR, GTM setup, custom conversion events ('thank_you', 'sign_up')</w:t>
            </w:r>
          </w:p>
        </w:tc>
        <w:tc>
          <w:tcPr>
            <w:tcW w:type="dxa" w:w="1872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B981"/>
                <w:sz w:val="18"/>
              </w:rPr>
              <w:t xml:space="preserve">  Completed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SEO &amp; Schema</w:t>
            </w:r>
          </w:p>
        </w:tc>
        <w:tc>
          <w:tcPr>
            <w:tcW w:type="dxa" w:w="51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Open Graph, Twitter Cards, Organization, Service, Breadcrumb, FAQPage &amp; Article schemas</w:t>
            </w:r>
          </w:p>
        </w:tc>
        <w:tc>
          <w:tcPr>
            <w:tcW w:type="dxa" w:w="1872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B981"/>
                <w:sz w:val="18"/>
              </w:rPr>
              <w:t xml:space="preserve">  Completed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Legacy Redirects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30+ permanent 301 redirects mapping old Elementor URLs to prevent broken links</w:t>
            </w:r>
          </w:p>
        </w:tc>
        <w:tc>
          <w:tcPr>
            <w:tcW w:type="dxa" w:w="1872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B981"/>
                <w:sz w:val="18"/>
              </w:rPr>
              <w:t xml:space="preserve">  Completed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Content Engine</w:t>
            </w:r>
          </w:p>
        </w:tc>
        <w:tc>
          <w:tcPr>
            <w:tcW w:type="dxa" w:w="51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11 Long-form in-depth pillar articles published &amp; linked to commercial service silos</w:t>
            </w:r>
          </w:p>
        </w:tc>
        <w:tc>
          <w:tcPr>
            <w:tcW w:type="dxa" w:w="1872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B981"/>
                <w:sz w:val="18"/>
              </w:rPr>
              <w:t xml:space="preserve">  Completed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Paid Media Next Steps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Google Ads conversion linking, Meta/LinkedIn pixel integration, dedicated PPC LPs</w:t>
            </w:r>
          </w:p>
        </w:tc>
        <w:tc>
          <w:tcPr>
            <w:tcW w:type="dxa" w:w="1872"/>
            <w:shd w:fill="EFF6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284C7"/>
                <w:sz w:val="18"/>
              </w:rPr>
              <w:t xml:space="preserve">  Next Priority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94A3B8"/>
        <w:sz w:val="17"/>
      </w:rPr>
      <w:t>Confidential · Official Digital Strategy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SOVASSA TECHNOLOGIES  |  INTERNAL STATUS &amp; GROWTH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