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48"/>
          <w:szCs w:val="48"/>
        </w:rPr>
        <w:t xml:space="preserve">TRADING ERP SYSTEM</w:t>
      </w:r>
    </w:p>
    <w:p>
      <w:pPr>
        <w:spacing w:after="100"/>
        <w:jc w:val="center"/>
      </w:pPr>
      <w:r>
        <w:rPr>
          <w:rFonts w:ascii="Arial" w:cs="Arial" w:eastAsia="Arial" w:hAnsi="Arial"/>
          <w:color w:val="2E75B6"/>
          <w:sz w:val="32"/>
          <w:szCs w:val="32"/>
        </w:rPr>
        <w:t xml:space="preserve">Phase 5 Implementation Audit Report</w:t>
      </w:r>
    </w:p>
    <w:p>
      <w:pPr>
        <w:pBdr>
          <w:bottom w:val="single" w:color="1B4F72" w:sz="8" w:space="1"/>
        </w:pBdr>
        <w:spacing w:after="400"/>
        <w:jc w:val="center"/>
      </w:pPr>
    </w:p>
    <w:p>
      <w:pPr>
        <w:spacing w:after="200"/>
      </w:pPr>
    </w:p>
    <w:p>
      <w:pPr>
        <w:jc w:val="center"/>
      </w:pPr>
      <w:r>
        <w:rPr>
          <w:rFonts w:ascii="Arial" w:cs="Arial" w:eastAsia="Arial" w:hAnsi="Arial"/>
          <w:color w:val="555555"/>
          <w:sz w:val="24"/>
          <w:szCs w:val="24"/>
        </w:rPr>
        <w:t xml:space="preserve">Prepared: March 16, 2026</w:t>
      </w:r>
    </w:p>
    <w:p>
      <w:pPr>
        <w:jc w:val="center"/>
      </w:pPr>
      <w:r>
        <w:rPr>
          <w:rFonts w:ascii="Arial" w:cs="Arial" w:eastAsia="Arial" w:hAnsi="Arial"/>
          <w:color w:val="555555"/>
          <w:sz w:val="24"/>
          <w:szCs w:val="24"/>
        </w:rPr>
        <w:t xml:space="preserve">Version: 5.0</w:t>
      </w:r>
    </w:p>
    <w:p>
      <w:pPr>
        <w:jc w:val="center"/>
      </w:pPr>
      <w:r>
        <w:rPr>
          <w:rFonts w:ascii="Arial" w:cs="Arial" w:eastAsia="Arial" w:hAnsi="Arial"/>
          <w:color w:val="555555"/>
          <w:sz w:val="24"/>
          <w:szCs w:val="24"/>
        </w:rPr>
        <w:t xml:space="preserve">Classification: Confidential</w:t>
      </w: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Floor Trading ERP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Advanced Infrastructure &amp; Integrations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Express / Sequelize / SQLite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Vite (3 Portals)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219 passing (12 suites)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 tests (28 spec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LOC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31,911 lines across 132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 concurrent users</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Phase 5 delivers enterprise-grade infrastructure capabilities to the Trading ERP system, transforming it from a functional business application into a production-ready platform. This phase focuses on real-time communications, external integrations, containerization, security hardening, and comprehensive test coverage.</w:t>
      </w:r>
    </w:p>
    <w:p>
      <w:pPr>
        <w:spacing w:after="120"/>
      </w:pPr>
      <w:r>
        <w:rPr>
          <w:rFonts w:ascii="Arial" w:cs="Arial" w:eastAsia="Arial" w:hAnsi="Arial"/>
          <w:sz w:val="22"/>
          <w:szCs w:val="22"/>
        </w:rPr>
        <w:t xml:space="preserve">All 9 implementation items have been completed successfully with 219 unit tests passing and 210 end-to-end tests created across all three portals (Admin, Customer, Factory). The system now includes WebSocket real-time updates, external exchange rate integration, Docker containerization, SSO/OAuth2 authentication, webhook integrations, data export/ETL capabilities, S3/MinIO storage abstraction, per-user rate limiting, and comprehensive E2E test coverage.</w:t>
      </w:r>
    </w:p>
    <w:p>
      <w:pPr>
        <w:pStyle w:val="Heading2"/>
      </w:pPr>
      <w:r>
        <w:rPr>
          <w:rFonts w:ascii="Arial" w:cs="Arial" w:eastAsia="Arial" w:hAnsi="Arial"/>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Before Phase 5</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After Phase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219 (12 suites)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219 (12 suites)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(3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 (28 files)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event types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Multi-stage build + Compose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Methods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 Google/Microsoft SSO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Backends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 S3 + MinIO</w:t>
            </w:r>
          </w:p>
        </w:tc>
      </w:tr>
    </w:tbl>
    <w:p>
      <w:r>
        <w:br w:type="page"/>
      </w:r>
    </w:p>
    <w:p>
      <w:pPr>
        <w:pStyle w:val="Heading1"/>
      </w:pPr>
      <w:r>
        <w:rPr>
          <w:rFonts w:ascii="Arial" w:cs="Arial" w:eastAsia="Arial" w:hAnsi="Arial"/>
        </w:rPr>
        <w:t xml:space="preserve">2. Implementation Details</w:t>
      </w:r>
    </w:p>
    <w:p>
      <w:pPr>
        <w:pStyle w:val="Heading2"/>
      </w:pPr>
      <w:r>
        <w:rPr>
          <w:rFonts w:ascii="Arial" w:cs="Arial" w:eastAsia="Arial" w:hAnsi="Arial"/>
        </w:rPr>
        <w:t xml:space="preserve">2.1 WebSocket Real-Time Updates</w:t>
      </w:r>
    </w:p>
    <w:p>
      <w:pPr>
        <w:spacing w:after="120"/>
      </w:pPr>
      <w:r>
        <w:rPr>
          <w:rFonts w:ascii="Arial" w:cs="Arial" w:eastAsia="Arial" w:hAnsi="Arial"/>
          <w:sz w:val="22"/>
          <w:szCs w:val="22"/>
        </w:rPr>
        <w:t xml:space="preserve">Implemented Socket.IO integration with JWT-authenticated connections. The system now pushes real-time notifications for 8 event types: order status changes, shipment updates, payment receipts, purchase order updates, inspection scheduling, new inquiries, document uploads, and dashboard refreshes.</w:t>
      </w:r>
    </w:p>
    <w:p>
      <w:pPr>
        <w:pStyle w:val="Heading3"/>
      </w:pPr>
      <w:r>
        <w:rPr>
          <w:rFonts w:ascii="Arial" w:cs="Arial" w:eastAsia="Arial" w:hAnsi="Arial"/>
        </w:rPr>
        <w:t xml:space="preserve">Files Created/Modified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backend/services/socketAuthMiddleware.js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backend/services/notificationService.js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398</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frontend/shared/src/hooks/useSocket.js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backend/server.js (Socket.IO setup)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backend/routes/salesOrderRoutes.js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backend/routes/shipmentRoutes.js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backend/routes/invoiceRoutes.js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backend/routes/purchaseOrderRoutes.js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backend/routes/inspectionRoutes.js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bl>
    <w:p>
      <w:pPr>
        <w:spacing w:after="120"/>
      </w:pPr>
      <w:r>
        <w:rPr>
          <w:rFonts w:ascii="Arial" w:cs="Arial" w:eastAsia="Arial" w:hAnsi="Arial"/>
          <w:sz w:val="22"/>
          <w:szCs w:val="22"/>
        </w:rPr>
        <w:t xml:space="preserve">Architecture: JWT tokens are validated during the Socket.IO handshake. Authenticated users are auto-joined to role-based rooms (admin, customer:{id}, factory:{id}) for targeted event delivery. The frontend useSocket hook provides typed event constants and convenience hooks (useOrderUpdates, useShipmentUpdates, etc.) with automatic subscribe/unsubscribe lifecycle management.</w:t>
      </w:r>
    </w:p>
    <w:p>
      <w:pPr>
        <w:pStyle w:val="Heading2"/>
      </w:pPr>
      <w:r>
        <w:rPr>
          <w:rFonts w:ascii="Arial" w:cs="Arial" w:eastAsia="Arial" w:hAnsi="Arial"/>
        </w:rPr>
        <w:t xml:space="preserve">2.2 External Exchange Rate API</w:t>
      </w:r>
    </w:p>
    <w:p>
      <w:pPr>
        <w:spacing w:after="120"/>
      </w:pPr>
      <w:r>
        <w:rPr>
          <w:rFonts w:ascii="Arial" w:cs="Arial" w:eastAsia="Arial" w:hAnsi="Arial"/>
          <w:sz w:val="22"/>
          <w:szCs w:val="22"/>
        </w:rPr>
        <w:t xml:space="preserve">Enhanced the currency service to fetch live exchange rates from exchangerate-api.com with automatic fallback to hardcoded rates if the API is unreachable. Added historical rate tracking and scheduled rate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backend/services/currencyService.js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407</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backend/routes/currencyRoutes.js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bl>
    <w:p>
      <w:pPr>
        <w:spacing w:after="120"/>
      </w:pPr>
      <w:r>
        <w:rPr>
          <w:rFonts w:ascii="Arial" w:cs="Arial" w:eastAsia="Arial" w:hAnsi="Arial"/>
          <w:sz w:val="22"/>
          <w:szCs w:val="22"/>
        </w:rPr>
        <w:t xml:space="preserve">New endpoints: POST /api/currency/refresh (manual refresh), GET /api/currency/live (current rates), GET /api/currency/historical (rate history). The scheduler runs automatically and persists rates to database for offline resilience.</w:t>
      </w:r>
    </w:p>
    <w:p>
      <w:pPr>
        <w:pStyle w:val="Heading2"/>
      </w:pPr>
      <w:r>
        <w:rPr>
          <w:rFonts w:ascii="Arial" w:cs="Arial" w:eastAsia="Arial" w:hAnsi="Arial"/>
        </w:rPr>
        <w:t xml:space="preserve">2.3 Docker Containerization</w:t>
      </w:r>
    </w:p>
    <w:p>
      <w:pPr>
        <w:spacing w:after="120"/>
      </w:pPr>
      <w:r>
        <w:rPr>
          <w:rFonts w:ascii="Arial" w:cs="Arial" w:eastAsia="Arial" w:hAnsi="Arial"/>
          <w:sz w:val="22"/>
          <w:szCs w:val="22"/>
        </w:rPr>
        <w:t xml:space="preserve">Created production-ready Docker configuration with multi-stage builds, Nginx reverse proxy with SSL support, rate limiting, static file caching, and WebSocket proxy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Dockerfile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docker-compose.prod.yml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134</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docker/nginx.prod.conf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.dockerignore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bl>
    <w:p>
      <w:pPr>
        <w:spacing w:after="120"/>
      </w:pPr>
      <w:r>
        <w:rPr>
          <w:rFonts w:ascii="Arial" w:cs="Arial" w:eastAsia="Arial" w:hAnsi="Arial"/>
          <w:sz w:val="22"/>
          <w:szCs w:val="22"/>
        </w:rPr>
        <w:t xml:space="preserve">The Docker setup uses node:18-alpine for minimal image size, includes health checks, volume mounts for persistent data, and environment variable configuration for all services. The Nginx configuration handles SSL termination, WebSocket upgrade, and serves static frontend assets with caching headers.</w:t>
      </w:r>
    </w:p>
    <w:p>
      <w:pPr>
        <w:pStyle w:val="Heading2"/>
      </w:pPr>
      <w:r>
        <w:rPr>
          <w:rFonts w:ascii="Arial" w:cs="Arial" w:eastAsia="Arial" w:hAnsi="Arial"/>
        </w:rPr>
        <w:t xml:space="preserve">2.4 SSO/OAuth2 Authentication</w:t>
      </w:r>
    </w:p>
    <w:p>
      <w:pPr>
        <w:spacing w:after="120"/>
      </w:pPr>
      <w:r>
        <w:rPr>
          <w:rFonts w:ascii="Arial" w:cs="Arial" w:eastAsia="Arial" w:hAnsi="Arial"/>
          <w:sz w:val="22"/>
          <w:szCs w:val="22"/>
        </w:rPr>
        <w:t xml:space="preserve">Implemented Google and Microsoft OAuth2 authentication using native HTTPS (no passport.js dependency). Users can link SSO accounts to existing Trading ERP accounts for seamless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backend/services/ssoService.js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backend/routes/ssoRoutes.js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backend/models/SSOAccount.js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backend/models/index.js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bl>
    <w:p>
      <w:pPr>
        <w:spacing w:after="120"/>
      </w:pPr>
      <w:r>
        <w:rPr>
          <w:rFonts w:ascii="Arial" w:cs="Arial" w:eastAsia="Arial" w:hAnsi="Arial"/>
          <w:sz w:val="22"/>
          <w:szCs w:val="22"/>
        </w:rPr>
        <w:t xml:space="preserve">The SSO flow supports: OAuth2 authorization URL generation, callback handling with token exchange, automatic account creation or linking, and account unlinking. The SSOAccount model stores provider-specific tokens and profile data with proper snake_case indexing for SQLite compatibility.</w:t>
      </w:r>
    </w:p>
    <w:p>
      <w:pPr>
        <w:pStyle w:val="Heading2"/>
      </w:pPr>
      <w:r>
        <w:rPr>
          <w:rFonts w:ascii="Arial" w:cs="Arial" w:eastAsia="Arial" w:hAnsi="Arial"/>
        </w:rPr>
        <w:t xml:space="preserve">2.5 Webhook Integrations</w:t>
      </w:r>
    </w:p>
    <w:p>
      <w:pPr>
        <w:spacing w:after="120"/>
      </w:pPr>
      <w:r>
        <w:rPr>
          <w:rFonts w:ascii="Arial" w:cs="Arial" w:eastAsia="Arial" w:hAnsi="Arial"/>
          <w:sz w:val="22"/>
          <w:szCs w:val="22"/>
        </w:rPr>
        <w:t xml:space="preserve">Built a complete webhook system with HMAC-SHA256 payload signing, delivery tracking, automatic retry with exponential backoff, and comprehensive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backend/services/webhookService.js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422</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backend/routes/webhookRoutes.js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265</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backend/models/Webhook.js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backend/models/WebhookDelivery.js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bl>
    <w:p>
      <w:pPr>
        <w:spacing w:after="120"/>
      </w:pPr>
      <w:r>
        <w:rPr>
          <w:rFonts w:ascii="Arial" w:cs="Arial" w:eastAsia="Arial" w:hAnsi="Arial"/>
          <w:sz w:val="22"/>
          <w:szCs w:val="22"/>
        </w:rPr>
        <w:t xml:space="preserve">Webhooks are triggered by order, shipment, payment, purchase order, and inspection events using a fire-and-forget pattern. Each delivery is logged with status code, response body, processing time, and retry metadata. The test ping endpoint allows users to verify webhook connectivity before going live.</w:t>
      </w:r>
    </w:p>
    <w:p>
      <w:pPr>
        <w:pStyle w:val="Heading2"/>
      </w:pPr>
      <w:r>
        <w:rPr>
          <w:rFonts w:ascii="Arial" w:cs="Arial" w:eastAsia="Arial" w:hAnsi="Arial"/>
        </w:rPr>
        <w:t xml:space="preserve">2.6 Data Export / ETL Service</w:t>
      </w:r>
    </w:p>
    <w:p>
      <w:pPr>
        <w:spacing w:after="120"/>
      </w:pPr>
      <w:r>
        <w:rPr>
          <w:rFonts w:ascii="Arial" w:cs="Arial" w:eastAsia="Arial" w:hAnsi="Arial"/>
          <w:sz w:val="22"/>
          <w:szCs w:val="22"/>
        </w:rPr>
        <w:t xml:space="preserve">Created a comprehensive data export service supporting CSV and JSON Lines output for 9 entity types, plus analytics snapshot generation for business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backend/services/dataExportService.js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509</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backend/routes/exportRoutes.js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bl>
    <w:p>
      <w:pPr>
        <w:spacing w:after="120"/>
      </w:pPr>
      <w:r>
        <w:rPr>
          <w:rFonts w:ascii="Arial" w:cs="Arial" w:eastAsia="Arial" w:hAnsi="Arial"/>
          <w:sz w:val="22"/>
          <w:szCs w:val="22"/>
        </w:rPr>
        <w:t xml:space="preserve">Supported entities: customers, factories, products, sales orders, purchase orders, invoices, shipments, inspections, and inquiries. The service handles date range filtering, incremental exports, and streaming output for large datasets. Admin-only access ensures data governance.</w:t>
      </w:r>
    </w:p>
    <w:p>
      <w:pPr>
        <w:pStyle w:val="Heading2"/>
      </w:pPr>
      <w:r>
        <w:rPr>
          <w:rFonts w:ascii="Arial" w:cs="Arial" w:eastAsia="Arial" w:hAnsi="Arial"/>
        </w:rPr>
        <w:t xml:space="preserve">2.7 File Storage Migration (S3/MinIO)</w:t>
      </w:r>
    </w:p>
    <w:p>
      <w:pPr>
        <w:spacing w:after="120"/>
      </w:pPr>
      <w:r>
        <w:rPr>
          <w:rFonts w:ascii="Arial" w:cs="Arial" w:eastAsia="Arial" w:hAnsi="Arial"/>
          <w:sz w:val="22"/>
          <w:szCs w:val="22"/>
        </w:rPr>
        <w:t xml:space="preserve">Implemented an abstract storage service that supports local disk, Amazon S3, and MinIO backends, configurable via the STORAGE_PROVIDER environment variable. The upload middleware was refactored to use this abstraction transparently.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backend/services/storageService.js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475</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backend/middleware/upload.js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bl>
    <w:p>
      <w:pPr>
        <w:spacing w:after="120"/>
      </w:pPr>
      <w:r>
        <w:rPr>
          <w:rFonts w:ascii="Arial" w:cs="Arial" w:eastAsia="Arial" w:hAnsi="Arial"/>
          <w:sz w:val="22"/>
          <w:szCs w:val="22"/>
        </w:rPr>
        <w:t xml:space="preserve">The storage service provides: upload, download, delete, getUrl, and listFiles operations. For S3/MinIO, files are first written to a temp directory then uploaded via the AWS SDK pattern, with automatic temp file cleanup. Presigned URLs are generated for secure direct-download links.</w:t>
      </w:r>
    </w:p>
    <w:p>
      <w:pPr>
        <w:pStyle w:val="Heading2"/>
      </w:pPr>
      <w:r>
        <w:rPr>
          <w:rFonts w:ascii="Arial" w:cs="Arial" w:eastAsia="Arial" w:hAnsi="Arial"/>
        </w:rPr>
        <w:t xml:space="preserve">2.8 Per-User Rate Limiting</w:t>
      </w:r>
    </w:p>
    <w:p>
      <w:pPr>
        <w:spacing w:after="120"/>
      </w:pPr>
      <w:r>
        <w:rPr>
          <w:rFonts w:ascii="Arial" w:cs="Arial" w:eastAsia="Arial" w:hAnsi="Arial"/>
          <w:sz w:val="22"/>
          <w:szCs w:val="22"/>
        </w:rPr>
        <w:t xml:space="preserve">Enhanced the rate limiter with a UserRateLimiter class that applies different rate limits based on user role. Response headers (X-RateLimit-Limit, X-RateLimit-Remaining, X-RateLimit-Reset) provide transparency to API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backend/middleware/rateLimiter.js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228</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COMPLETE</w:t>
            </w:r>
          </w:p>
        </w:tc>
      </w:tr>
    </w:tbl>
    <w:p>
      <w:pPr>
        <w:spacing w:after="120"/>
      </w:pPr>
      <w:r>
        <w:rPr>
          <w:rFonts w:ascii="Arial" w:cs="Arial" w:eastAsia="Arial" w:hAnsi="Arial"/>
          <w:sz w:val="22"/>
          <w:szCs w:val="22"/>
        </w:rPr>
        <w:t xml:space="preserve">Default role-based limits: admin (200 req/15min), operations (150), sales (120), customer (100), factory (100). These are configurable via environment variables and can be adjusted without restart.</w:t>
      </w:r>
    </w:p>
    <w:p>
      <w:pPr>
        <w:pStyle w:val="Heading2"/>
      </w:pPr>
      <w:r>
        <w:rPr>
          <w:rFonts w:ascii="Arial" w:cs="Arial" w:eastAsia="Arial" w:hAnsi="Arial"/>
        </w:rPr>
        <w:t xml:space="preserve">2.9 Comprehensive E2E Test Coverage</w:t>
      </w:r>
    </w:p>
    <w:p>
      <w:pPr>
        <w:spacing w:after="120"/>
      </w:pPr>
      <w:r>
        <w:rPr>
          <w:rFonts w:ascii="Arial" w:cs="Arial" w:eastAsia="Arial" w:hAnsi="Arial"/>
          <w:sz w:val="22"/>
          <w:szCs w:val="22"/>
        </w:rPr>
        <w:t xml:space="preserve">Expanded end-to-end test coverage from 16 tests across 3 files to 210 tests across 28 spec files, covering all three portals with Playwright.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Portal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flows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Orders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&amp; Inventory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Inquiries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 &amp; 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Settings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&amp; Alerts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Orders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Inquiries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Invoices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 PO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 Shipments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 Products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 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Webhooks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 &amp; Exchange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w:t>
            </w:r>
          </w:p>
        </w:tc>
      </w:tr>
    </w:tbl>
    <w:p>
      <w:r>
        <w:br w:type="page"/>
      </w:r>
    </w:p>
    <w:p>
      <w:pPr>
        <w:pStyle w:val="Heading1"/>
      </w:pPr>
      <w:r>
        <w:rPr>
          <w:rFonts w:ascii="Arial" w:cs="Arial" w:eastAsia="Arial" w:hAnsi="Arial"/>
        </w:rPr>
        <w:t xml:space="preserve">3. Test Verification Results</w:t>
      </w:r>
    </w:p>
    <w:p>
      <w:pPr>
        <w:pStyle w:val="Heading2"/>
      </w:pPr>
      <w:r>
        <w:rPr>
          <w:rFonts w:ascii="Arial" w:cs="Arial" w:eastAsia="Arial" w:hAnsi="Arial"/>
        </w:rPr>
        <w:t xml:space="preserve">3.1 Unit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Suite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Factory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Order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Order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Shipment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Inquiry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Inspection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Routes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219</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PASS</w:t>
            </w:r>
          </w:p>
        </w:tc>
      </w:tr>
    </w:tbl>
    <w:p>
      <w:pPr>
        <w:spacing w:after="120"/>
      </w:pPr>
      <w:r>
        <w:rPr>
          <w:rFonts w:ascii="Arial" w:cs="Arial" w:eastAsia="Arial" w:hAnsi="Arial"/>
          <w:sz w:val="22"/>
          <w:szCs w:val="22"/>
        </w:rPr>
        <w:t xml:space="preserve">All 219 unit tests pass with zero failures. Test execution time: ~104 seconds. No regressions introduced by Phase 5 changes.</w:t>
      </w:r>
    </w:p>
    <w:p>
      <w:pPr>
        <w:pStyle w:val="Heading2"/>
      </w:pPr>
      <w:r>
        <w:rPr>
          <w:rFonts w:ascii="Arial" w:cs="Arial" w:eastAsia="Arial" w:hAnsi="Arial"/>
        </w:rPr>
        <w:t xml:space="preserve">3.2 Model Sync Verification</w:t>
      </w:r>
    </w:p>
    <w:p>
      <w:pPr>
        <w:spacing w:after="120"/>
      </w:pPr>
      <w:r>
        <w:rPr>
          <w:rFonts w:ascii="Arial" w:cs="Arial" w:eastAsia="Arial" w:hAnsi="Arial"/>
          <w:sz w:val="22"/>
          <w:szCs w:val="22"/>
        </w:rPr>
        <w:t xml:space="preserve">All 18 Sequelize models sync successfully including the 3 new models (SSOAccount, Webhook, WebhookDelivery). Index field names verified as snake_case for SQLite compatibility. Database schema matches model definitions with all foreign key constraints intact.</w:t>
      </w:r>
    </w:p>
    <w:p>
      <w:pPr>
        <w:pStyle w:val="Heading2"/>
      </w:pPr>
      <w:r>
        <w:rPr>
          <w:rFonts w:ascii="Arial" w:cs="Arial" w:eastAsia="Arial" w:hAnsi="Arial"/>
        </w:rPr>
        <w:t xml:space="preserve">3.3 Module Loading Verification</w:t>
      </w:r>
    </w:p>
    <w:p>
      <w:pPr>
        <w:spacing w:after="120"/>
      </w:pPr>
      <w:r>
        <w:rPr>
          <w:rFonts w:ascii="Arial" w:cs="Arial" w:eastAsia="Arial" w:hAnsi="Arial"/>
          <w:sz w:val="22"/>
          <w:szCs w:val="22"/>
        </w:rPr>
        <w:t xml:space="preserve">All 14 new/modified backend modules load without errors: webhookService, ssoService, dataExportService, storageService, socketAuthMiddleware, notificationService, currencyService (enhanced), cacheService, apmService, alertService, connectionPool, rateLimiter (enhanced), upload middleware (modified), and backupService (enhanced).</w:t>
      </w:r>
    </w:p>
    <w:p>
      <w:r>
        <w:br w:type="page"/>
      </w:r>
    </w:p>
    <w:p>
      <w:pPr>
        <w:pStyle w:val="Heading1"/>
      </w:pPr>
      <w:r>
        <w:rPr>
          <w:rFonts w:ascii="Arial" w:cs="Arial" w:eastAsia="Arial" w:hAnsi="Arial"/>
        </w:rPr>
        <w:t xml:space="preserve">4. Architecture Overview</w:t>
      </w:r>
    </w:p>
    <w:p>
      <w:pPr>
        <w:spacing w:after="120"/>
      </w:pPr>
      <w:r>
        <w:rPr>
          <w:rFonts w:ascii="Arial" w:cs="Arial" w:eastAsia="Arial" w:hAnsi="Arial"/>
          <w:sz w:val="22"/>
          <w:szCs w:val="22"/>
        </w:rPr>
        <w:t xml:space="preserve">The system follows a layered architecture with clear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React/Vite portals (Admin :5173, Customer :3000, Factory :3001)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Express.js with CORS, rate limiting, APM middleware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 Refresh tokens + Google/Microsoft SSO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Socket.IO with JWT auth, role-based rooms, 8 event types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Logic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handlers with Sequelize ORM, fire-and-forget side effects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Webhooks (HMAC-SHA256), Exchange rates API, Email (SMTP)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Abstract storage: Local disk / S3 / MinIO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(development) with PostgreSQL-ready Docker config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APM service, alert service, health checks, system metrics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Jest (219 unit) + Playwright (210 E2E)</w:t>
            </w:r>
          </w:p>
        </w:tc>
      </w:tr>
    </w:tbl>
    <w:p>
      <w:pPr>
        <w:pStyle w:val="Heading1"/>
      </w:pPr>
      <w:r>
        <w:rPr>
          <w:rFonts w:ascii="Arial" w:cs="Arial" w:eastAsia="Arial" w:hAnsi="Arial"/>
        </w:rPr>
        <w:t xml:space="preserve">5. Known Issues &amp; Considerations</w:t>
      </w:r>
    </w:p>
    <w:p>
      <w:pPr>
        <w:pStyle w:val="Heading2"/>
      </w:pPr>
      <w:r>
        <w:rPr>
          <w:rFonts w:ascii="Arial" w:cs="Arial" w:eastAsia="Arial" w:hAnsi="Arial"/>
        </w:rPr>
        <w:t xml:space="preserve">5.1 SQLite Limitations</w:t>
      </w:r>
    </w:p>
    <w:p>
      <w:pPr>
        <w:spacing w:after="120"/>
      </w:pPr>
      <w:r>
        <w:rPr>
          <w:rFonts w:ascii="Arial" w:cs="Arial" w:eastAsia="Arial" w:hAnsi="Arial"/>
          <w:sz w:val="22"/>
          <w:szCs w:val="22"/>
        </w:rPr>
        <w:t xml:space="preserve">The system currently runs on SQLite which is suitable for the target of &lt;50 users. The Docker Compose configuration includes PostgreSQL for production deployment. Migration requires running the Sequelize sync with the PostgreSQL connection string.</w:t>
      </w:r>
    </w:p>
    <w:p>
      <w:pPr>
        <w:pStyle w:val="Heading2"/>
      </w:pPr>
      <w:r>
        <w:rPr>
          <w:rFonts w:ascii="Arial" w:cs="Arial" w:eastAsia="Arial" w:hAnsi="Arial"/>
        </w:rPr>
        <w:t xml:space="preserve">5.2 Binary Compatibility</w:t>
      </w:r>
    </w:p>
    <w:p>
      <w:pPr>
        <w:spacing w:after="120"/>
      </w:pPr>
      <w:r>
        <w:rPr>
          <w:rFonts w:ascii="Arial" w:cs="Arial" w:eastAsia="Arial" w:hAnsi="Arial"/>
          <w:sz w:val="22"/>
          <w:szCs w:val="22"/>
        </w:rPr>
        <w:t xml:space="preserve">The sqlite3 native module must be rebuilt when switching between operating systems (Windows/Linux/macOS). After pulling changes, run: npm rebuild sqlite3</w:t>
      </w:r>
    </w:p>
    <w:p>
      <w:pPr>
        <w:pStyle w:val="Heading2"/>
      </w:pPr>
      <w:r>
        <w:rPr>
          <w:rFonts w:ascii="Arial" w:cs="Arial" w:eastAsia="Arial" w:hAnsi="Arial"/>
        </w:rPr>
        <w:t xml:space="preserve">5.3 SSO Configuration Required</w:t>
      </w:r>
    </w:p>
    <w:p>
      <w:pPr>
        <w:spacing w:after="120"/>
      </w:pPr>
      <w:r>
        <w:rPr>
          <w:rFonts w:ascii="Arial" w:cs="Arial" w:eastAsia="Arial" w:hAnsi="Arial"/>
          <w:sz w:val="22"/>
          <w:szCs w:val="22"/>
        </w:rPr>
        <w:t xml:space="preserve">Google and Microsoft OAuth2 require client ID and secret configuration via environment variables (GOOGLE_CLIENT_ID, GOOGLE_CLIENT_SECRET, MICROSOFT_CLIENT_ID, MICROSOFT_CLIENT_SECRET) and registered redirect URIs in the respective developer consoles.</w:t>
      </w:r>
    </w:p>
    <w:p>
      <w:pPr>
        <w:pStyle w:val="Heading2"/>
      </w:pPr>
      <w:r>
        <w:rPr>
          <w:rFonts w:ascii="Arial" w:cs="Arial" w:eastAsia="Arial" w:hAnsi="Arial"/>
        </w:rPr>
        <w:t xml:space="preserve">5.4 S3/MinIO Configuration</w:t>
      </w:r>
    </w:p>
    <w:p>
      <w:pPr>
        <w:spacing w:after="120"/>
      </w:pPr>
      <w:r>
        <w:rPr>
          <w:rFonts w:ascii="Arial" w:cs="Arial" w:eastAsia="Arial" w:hAnsi="Arial"/>
          <w:sz w:val="22"/>
          <w:szCs w:val="22"/>
        </w:rPr>
        <w:t xml:space="preserve">Storage provider defaults to local disk. To enable S3 or MinIO, set STORAGE_PROVIDER=s3 or STORAGE_PROVIDER=minio along with the corresponding AWS/MinIO credentials in environment variables.</w:t>
      </w:r>
    </w:p>
    <w:p>
      <w:r>
        <w:br w:type="page"/>
      </w:r>
    </w:p>
    <w:p>
      <w:pPr>
        <w:pStyle w:val="Heading1"/>
      </w:pPr>
      <w:r>
        <w:rPr>
          <w:rFonts w:ascii="Arial" w:cs="Arial" w:eastAsia="Arial" w:hAnsi="Arial"/>
        </w:rPr>
        <w:t xml:space="preserve">6. Phase 6 Recommendations</w:t>
      </w:r>
    </w:p>
    <w:p>
      <w:pPr>
        <w:spacing w:after="120"/>
      </w:pPr>
      <w:r>
        <w:rPr>
          <w:rFonts w:ascii="Arial" w:cs="Arial" w:eastAsia="Arial" w:hAnsi="Arial"/>
          <w:sz w:val="22"/>
          <w:szCs w:val="22"/>
        </w:rPr>
        <w:t xml:space="preserve">Based on comprehensive analysis from CEO, CFO, COO, CMO, Backend Developer, Frontend Developer, Project Manager, Client, and Supplier perspectives: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60"/>
        <w:gridCol w:w="3060"/>
        <w:gridCol w:w="264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Business Value</w:t>
            </w:r>
          </w:p>
        </w:tc>
        <w:tc>
          <w:tcPr>
            <w:tcW w:type="dxa" w:w="2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migration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data reliability, concurrent access, full-text search</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pipeline (GitHub Actions)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testing, deployment, quality gates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documentation (Swagger/OpenAPI)</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onboarding, client integration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state management (Redux/Zustand)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Predictable state, debugging, performance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Internationalization (i18n)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Multi-language support for global clients/factories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invoice/PO generation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document output, client experience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dashboard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accountability, forensic analysis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Mobile-responsive redesign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sales, factory floor, warehouse access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reporting (charts/graphs)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dashboards, data-driven decisions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testing (k6/Artillery)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Capacity planning, bottleneck identification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bl>
    <w:p>
      <w:pPr>
        <w:spacing w:after="200"/>
      </w:pPr>
    </w:p>
    <w:p>
      <w:pPr>
        <w:pBdr>
          <w:top w:val="single" w:color="1B4F72" w:sz="8" w:space="1"/>
        </w:pBdr>
        <w:spacing w:after="200" w:before="400"/>
      </w:pPr>
      <w:r>
        <w:rPr>
          <w:rFonts w:ascii="Arial" w:cs="Arial" w:eastAsia="Arial" w:hAnsi="Arial"/>
          <w:b/>
          <w:bCs/>
          <w:color w:val="1B4F72"/>
          <w:sz w:val="28"/>
          <w:szCs w:val="28"/>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16,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CTO / CEO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360"/>
      </w:tabs>
    </w:pPr>
    <w:r>
      <w:rPr>
        <w:rFonts w:ascii="Arial" w:cs="Arial" w:eastAsia="Arial" w:hAnsi="Arial"/>
        <w:b/>
        <w:bCs/>
        <w:color w:val="1B4F72"/>
        <w:sz w:val="18"/>
        <w:szCs w:val="18"/>
      </w:rPr>
      <w:t xml:space="preserve">Trading ERP - Phase 5 Audit Report</w:t>
    </w:r>
    <w:r>
      <w:rPr>
        <w:rFonts w:ascii="Arial" w:cs="Arial" w:eastAsia="Arial" w:hAnsi="Arial"/>
        <w:color w:val="666666"/>
        <w:sz w:val="18"/>
        <w:szCs w:val="18"/>
      </w:rPr>
      <w:t xml:space="preserve">	March 16,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2026-03-16T11:26:07.753Z</dcterms:created>
  <dcterms:modified xsi:type="dcterms:W3CDTF">2026-03-16T11:26:07.753Z</dcterms:modified>
</cp:coreProperties>
</file>

<file path=docProps/custom.xml><?xml version="1.0" encoding="utf-8"?>
<Properties xmlns="http://schemas.openxmlformats.org/officeDocument/2006/custom-properties" xmlns:vt="http://schemas.openxmlformats.org/officeDocument/2006/docPropsVTypes"/>
</file>