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DB3" w:rsidRDefault="004A7DB3"/>
    <w:p w:rsidR="0017259E" w:rsidRDefault="0017259E"/>
    <w:p w:rsidR="0017259E" w:rsidRPr="0017259E" w:rsidRDefault="0017259E" w:rsidP="0017259E">
      <w:pPr>
        <w:shd w:val="clear" w:color="auto" w:fill="FCF8E4"/>
        <w:spacing w:after="0" w:line="240" w:lineRule="auto"/>
        <w:textAlignment w:val="top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Лекция 9: </w:t>
      </w:r>
    </w:p>
    <w:p w:rsidR="0017259E" w:rsidRPr="0017259E" w:rsidRDefault="0017259E" w:rsidP="0017259E">
      <w:pPr>
        <w:shd w:val="clear" w:color="auto" w:fill="FCF8E4"/>
        <w:spacing w:after="0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7259E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ru-RU"/>
        </w:rPr>
        <w:t>Безопасность в Windows</w:t>
      </w:r>
    </w:p>
    <w:p w:rsidR="0017259E" w:rsidRPr="0017259E" w:rsidRDefault="0017259E" w:rsidP="0017259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0" w:name="sect1"/>
      <w:bookmarkEnd w:id="0"/>
      <w:r w:rsidRPr="0017259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Требования к безопасности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Требования к безопасности компьютерных систем определяются на основе международных стандартов по оценке защищенности. В настоящее время основным таким стандартом является ISO/IEC 15408 Common </w:t>
      </w:r>
      <w:bookmarkStart w:id="1" w:name="keyword1"/>
      <w:bookmarkEnd w:id="1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Criteria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for </w:t>
      </w:r>
      <w:bookmarkStart w:id="2" w:name="keyword2"/>
      <w:bookmarkEnd w:id="2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Information Technology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3" w:name="keyword3"/>
      <w:bookmarkEnd w:id="3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Security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4" w:name="keyword4"/>
      <w:bookmarkEnd w:id="4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Evaluation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5" w:name="keyword5"/>
      <w:bookmarkEnd w:id="5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Общие критерии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оценки безопасности информационных технологий), сокращенно Common </w:t>
      </w:r>
      <w:bookmarkStart w:id="6" w:name="keyword6"/>
      <w:bookmarkEnd w:id="6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Criteria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(Общие критерии)</w:t>
      </w:r>
      <w:r w:rsidRPr="0017259E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1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этом стандарте определены семь уровней безопасности – от EAL1 (минимальная </w:t>
      </w:r>
      <w:bookmarkStart w:id="7" w:name="keyword7"/>
      <w:bookmarkEnd w:id="7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оценка безопасности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до EAL7, причем требования к высшим уровням EAL5–EAL7 устанавливаются каждой страной индивидуально. Большинство современных операционных систем (в том числе семейство клиентских и серверных си</w:t>
      </w:r>
      <w:bookmarkStart w:id="8" w:name="_GoBack"/>
      <w:bookmarkEnd w:id="8"/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стем Microsoft: от </w:t>
      </w:r>
      <w:bookmarkStart w:id="9" w:name="keyword8"/>
      <w:bookmarkEnd w:id="9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2000 до </w:t>
      </w:r>
      <w:bookmarkStart w:id="10" w:name="keyword9"/>
      <w:bookmarkEnd w:id="10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7 и </w:t>
      </w:r>
      <w:bookmarkStart w:id="11" w:name="keyword10"/>
      <w:bookmarkEnd w:id="11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 Server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2008) сертифицировано на уровень EAL4+ (плюс означает Flaw Remediation – исправление ошибок, постоянный выпуск обновлений)</w:t>
      </w:r>
      <w:r w:rsidRPr="0017259E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2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Основными требованиями к безопасности являются следующие</w:t>
      </w:r>
      <w:r w:rsidRPr="0017259E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3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1. Обязательная идентификация и аутентификация.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 выполнения любых действий </w:t>
      </w:r>
      <w:bookmarkStart w:id="12" w:name="keyword11"/>
      <w:bookmarkEnd w:id="12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пользователь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должен представиться системе (</w:t>
      </w:r>
      <w:bookmarkStart w:id="13" w:name="keyword12"/>
      <w:bookmarkEnd w:id="13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идентификация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подтвердить, что он является тем, кем представился (</w:t>
      </w:r>
      <w:bookmarkStart w:id="14" w:name="keyword13"/>
      <w:bookmarkEnd w:id="14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аутентификация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Обычно реализуется посредством ввода уникального имени пользователя и пароля.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 </w:t>
      </w:r>
      <w:bookmarkStart w:id="15" w:name="keyword14"/>
      <w:bookmarkEnd w:id="15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 идентификацию и </w:t>
      </w:r>
      <w:bookmarkStart w:id="16" w:name="keyword15"/>
      <w:bookmarkEnd w:id="16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аутентификация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пользователей отвечают процессы Winlogon.exe и Lsass.exe.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2. Управляемый доступ к объектам.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7" w:name="keyword16"/>
      <w:bookmarkEnd w:id="17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Пользователь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-владелец объекта должен иметь возможность предоставлять </w:t>
      </w:r>
      <w:bookmarkStart w:id="18" w:name="keyword17"/>
      <w:bookmarkEnd w:id="18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доступ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объекту определенным пользователям и/или группам пользователей.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Безопасный </w:t>
      </w:r>
      <w:bookmarkStart w:id="19" w:name="keyword18"/>
      <w:bookmarkEnd w:id="19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доступ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реализуется в </w:t>
      </w:r>
      <w:bookmarkStart w:id="20" w:name="keyword19"/>
      <w:bookmarkEnd w:id="20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компонентом </w:t>
      </w:r>
      <w:bookmarkStart w:id="21" w:name="keyword20"/>
      <w:bookmarkEnd w:id="21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Security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Reference Monitor (</w:t>
      </w:r>
      <w:bookmarkStart w:id="22" w:name="keyword21"/>
      <w:bookmarkEnd w:id="22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SRM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23" w:name="keyword22"/>
      <w:bookmarkEnd w:id="23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монитор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контроля безопасности) исполнительной системы Ntoskrnl.exe.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3. Аудит.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Система должна уметь отслеживать и записывать все события, связанные с доступом к объектам.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 </w:t>
      </w:r>
      <w:bookmarkStart w:id="24" w:name="keyword23"/>
      <w:bookmarkEnd w:id="24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25" w:name="keyword24"/>
      <w:bookmarkEnd w:id="25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аудит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поддерживается </w:t>
      </w:r>
      <w:bookmarkStart w:id="26" w:name="keyword25"/>
      <w:bookmarkEnd w:id="26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SRM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Lsass.exe.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4. Защита при повторном использовании объектов.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 область памяти выделялась какому-либо пользователю, а затем была освобождена, то при последующем выделении этой области все данные в ней (даже зашифрованные) должны быть стерты.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 </w:t>
      </w:r>
      <w:bookmarkStart w:id="27" w:name="keyword26"/>
      <w:bookmarkEnd w:id="27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освобожденная </w:t>
      </w:r>
      <w:bookmarkStart w:id="28" w:name="keyword27"/>
      <w:bookmarkEnd w:id="28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очищается системным потоком обнуления страниц, работающим во время простоя системы (с нулевым приоритетом).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Далее в лекции будет рассмотрена организация управляемого доступа к объектам в </w:t>
      </w:r>
      <w:bookmarkStart w:id="29" w:name="keyword28"/>
      <w:bookmarkEnd w:id="29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SRM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также </w:t>
      </w:r>
      <w:bookmarkStart w:id="30" w:name="keyword29"/>
      <w:bookmarkEnd w:id="30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права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привилегии пользователей.</w:t>
      </w:r>
    </w:p>
    <w:p w:rsidR="0017259E" w:rsidRPr="0017259E" w:rsidRDefault="0017259E" w:rsidP="0017259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31" w:name="sect2"/>
      <w:bookmarkEnd w:id="31"/>
      <w:r w:rsidRPr="0017259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Организация управляемого доступа к объектам</w:t>
      </w:r>
    </w:p>
    <w:p w:rsidR="0017259E" w:rsidRPr="0017259E" w:rsidRDefault="0017259E" w:rsidP="0017259E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32" w:name="sect3"/>
      <w:bookmarkEnd w:id="32"/>
      <w:r w:rsidRPr="0017259E">
        <w:rPr>
          <w:rFonts w:ascii="Tahoma" w:eastAsia="Times New Roman" w:hAnsi="Tahoma" w:cs="Tahoma"/>
          <w:b/>
          <w:bCs/>
          <w:color w:val="000000"/>
          <w:lang w:eastAsia="ru-RU"/>
        </w:rPr>
        <w:t>Принцип организации доступа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Принцип организации управляемого безопасного доступа к объектам выглядит следующим образом. У каждого пользователя в системе имеется свой маркер доступа (access token), в котором указан уникальный идентификатор пользователя. Процессы, создаваемые пользователем, наследуют его маркер.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 другой стороны, все объекты в системе имеют структуру данных, которая называется дескриптор защиты (security descriptor). В эту структуру входит список идентификаторов пользователей, которые могут (или не могут) получить доступ к объекту, а также вид доступа (только чтение, чтение и запись, полный доступ и т.д.).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попытке доступа процесса к объекту идентификатор из маркера доступа процесса сравнивается с идентификаторами, содержащимися в дескрипторе защиты объекта, и на основании результатов сравнения доступ разрешается или запрещается.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Рассмотрим структуры данных и функции, отвечающие за реализацию этого принципа в ядре Windows.</w:t>
      </w:r>
    </w:p>
    <w:p w:rsidR="0017259E" w:rsidRPr="0017259E" w:rsidRDefault="0017259E" w:rsidP="0017259E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33" w:name="sect4"/>
      <w:bookmarkEnd w:id="33"/>
      <w:r w:rsidRPr="0017259E">
        <w:rPr>
          <w:rFonts w:ascii="Tahoma" w:eastAsia="Times New Roman" w:hAnsi="Tahoma" w:cs="Tahoma"/>
          <w:b/>
          <w:bCs/>
          <w:color w:val="000000"/>
          <w:lang w:eastAsia="ru-RU"/>
        </w:rPr>
        <w:t>Идентификаторы защиты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однозначного определения пользователя в системе используются идентификаторы защиты (SID – Security Identifier). Кроме пользователей, SID имеется у групп пользователей, компьютеров, доменов</w:t>
      </w:r>
      <w:r w:rsidRPr="0017259E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4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членов доменов.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SID генерируется системой случайным образом так, что вероятность совпадения SID у разных пользователей близка к нулю.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WRK структура SID описывается в файле public\sdk\inc\ntseapi.h (строка 251). SID состоит из следующих частей:</w:t>
      </w:r>
    </w:p>
    <w:p w:rsidR="0017259E" w:rsidRPr="0017259E" w:rsidRDefault="0017259E" w:rsidP="0017259E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номер версии – поле 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Revision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(1 байт);</w:t>
      </w:r>
    </w:p>
    <w:p w:rsidR="0017259E" w:rsidRPr="0017259E" w:rsidRDefault="0017259E" w:rsidP="0017259E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код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агента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идентификатора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(identifier authority) – 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поле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 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IdentifierAuthority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 (6 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байт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);</w:t>
      </w:r>
    </w:p>
    <w:p w:rsidR="0017259E" w:rsidRPr="0017259E" w:rsidRDefault="0017259E" w:rsidP="0017259E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коды субагентов (subauthority values) – поле 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SubAuthority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(от 1 до 15 кодов по 4 байта каждый). Количество кодов субагентов хранится в поле SubAuthorityCount.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текстовом виде SID записывается следующим образом:</w:t>
      </w:r>
    </w:p>
    <w:p w:rsidR="0017259E" w:rsidRPr="0017259E" w:rsidRDefault="0017259E" w:rsidP="0017259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4" w:name="image.13.1"/>
      <w:bookmarkEnd w:id="34"/>
      <w:r w:rsidRPr="0017259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19967582" wp14:editId="3C26CD60">
            <wp:extent cx="5888355" cy="914400"/>
            <wp:effectExtent l="0" t="0" r="0" b="0"/>
            <wp:docPr id="1" name="Рисунок 1" descr="Текстовое представление S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екстовое представление S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9E" w:rsidRPr="0017259E" w:rsidRDefault="0017259E" w:rsidP="0017259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17259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13.1. 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Текстовое представление SID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 </w:t>
      </w:r>
      <w:hyperlink r:id="rId8" w:anchor="image.13.1" w:history="1">
        <w:r w:rsidRPr="0017259E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рис.13.1</w:t>
        </w:r>
      </w:hyperlink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последний код субагента называется относительным идентификатором (relative identifier, RID), поскольку все учетные записи пользователей на компьютере могут иметь одинаковые коды, кроме RID. RID, который равен 500, обозначает локального администратора.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Существует множество предопределенных SID (см., WRK, файл public\sdk\inc\ntseapi.h, строки 296–568 и, например, статью базы знаний Microsoft – </w:t>
      </w:r>
      <w:hyperlink r:id="rId9" w:tgtFrame="_blank" w:history="1">
        <w:r w:rsidRPr="0017259E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http://support.microsoft.com/kb/243330</w:t>
        </w:r>
      </w:hyperlink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17259E" w:rsidRPr="0017259E" w:rsidRDefault="0017259E" w:rsidP="0017259E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35" w:name="sect5"/>
      <w:bookmarkEnd w:id="35"/>
      <w:r w:rsidRPr="0017259E">
        <w:rPr>
          <w:rFonts w:ascii="Tahoma" w:eastAsia="Times New Roman" w:hAnsi="Tahoma" w:cs="Tahoma"/>
          <w:b/>
          <w:bCs/>
          <w:color w:val="000000"/>
          <w:lang w:eastAsia="ru-RU"/>
        </w:rPr>
        <w:t>Маркер доступа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Идентификаторы безопасности пользователей хранятся в маркерах доступа (access token). Во время входа пользователя в систему процесс Lsass.exe создает для него маркер доступа, который назначается первому пользовательскому процессу UserInit.exe, остальные процессы, запущенные пользователем, наследуют этот маркер (</w:t>
      </w:r>
      <w:hyperlink r:id="rId10" w:anchor="image.13.2" w:history="1">
        <w:r w:rsidRPr="0017259E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рис.13.2</w:t>
        </w:r>
      </w:hyperlink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Маркер доступа процесса хранится в поле Token структуры 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EPROCESS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(см. лекцию 6 "Процессы и потоки").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Маркер доступа представлен структурой 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TOKEN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описанной в файле base\ntos\se\tokenp.h (строка 235) и имеющей следующие основные поля:</w:t>
      </w:r>
    </w:p>
    <w:p w:rsidR="0017259E" w:rsidRPr="0017259E" w:rsidRDefault="0017259E" w:rsidP="0017259E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TokenId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идентификатор маркера;</w:t>
      </w:r>
    </w:p>
    <w:p w:rsidR="0017259E" w:rsidRPr="0017259E" w:rsidRDefault="0017259E" w:rsidP="0017259E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UserAndGroups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SID учетной записи пользователя и групп, в которые данная учетная запись входит. При проверке возможности доступа пользователя к определенному ресурсу, например, файлу на диске NTFS, система проверяет, входит ли SID учетной записи в список доступа файла.</w:t>
      </w:r>
    </w:p>
    <w:p w:rsidR="0017259E" w:rsidRPr="0017259E" w:rsidRDefault="0017259E" w:rsidP="0017259E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Privileges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список привилегий.</w:t>
      </w:r>
    </w:p>
    <w:p w:rsidR="0017259E" w:rsidRPr="0017259E" w:rsidRDefault="0017259E" w:rsidP="0017259E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DefaultDacl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список управления избирательным доступом по умолчанию (DACL, Discretionary Access-Control List). При создании процессом объектов, из маркера доступа процесса извлекается данное поле и помещается в атрибуты безопасности вновь созданного объекта.</w:t>
      </w:r>
    </w:p>
    <w:p w:rsidR="0017259E" w:rsidRPr="0017259E" w:rsidRDefault="0017259E" w:rsidP="0017259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6" w:name="image.13.2"/>
      <w:bookmarkEnd w:id="36"/>
      <w:r w:rsidRPr="0017259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37A1AADA" wp14:editId="502431E7">
            <wp:extent cx="5895340" cy="2715260"/>
            <wp:effectExtent l="0" t="0" r="0" b="8890"/>
            <wp:docPr id="2" name="Рисунок 2" descr="Создание и наследование маркера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оздание и наследование маркера доступ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9E" w:rsidRPr="0017259E" w:rsidRDefault="0017259E" w:rsidP="0017259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17259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13.2. 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Создание и наследование маркера доступа</w:t>
      </w:r>
    </w:p>
    <w:p w:rsidR="0017259E" w:rsidRDefault="0017259E"/>
    <w:p w:rsidR="0017259E" w:rsidRPr="0017259E" w:rsidRDefault="0017259E" w:rsidP="0017259E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17259E">
        <w:rPr>
          <w:rFonts w:ascii="Tahoma" w:eastAsia="Times New Roman" w:hAnsi="Tahoma" w:cs="Tahoma"/>
          <w:b/>
          <w:bCs/>
          <w:color w:val="000000"/>
          <w:lang w:eastAsia="ru-RU"/>
        </w:rPr>
        <w:t>Дескриптор защиты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Объекты, к которым могут получать доступ процессы, имеют специальный атрибут – дескриптор защиты (security descriptor), содержащий информацию обо всех пользователях, которым разрешен или запрещен доступ к объекту.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Структура данных SECURITY_DESCRIPTOR, представляющая дескриптор защиты, описана в файле public\sdk\inc\ntseapi.h (строка 1173) и включает следующие основные поля:</w:t>
      </w:r>
    </w:p>
    <w:p w:rsidR="0017259E" w:rsidRPr="0017259E" w:rsidRDefault="0017259E" w:rsidP="0017259E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Owner – SID владельца;</w:t>
      </w:r>
    </w:p>
    <w:p w:rsidR="0017259E" w:rsidRPr="0017259E" w:rsidRDefault="0017259E" w:rsidP="0017259E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Dacl – список управления избирательным доступом;</w:t>
      </w:r>
    </w:p>
    <w:p w:rsidR="0017259E" w:rsidRPr="0017259E" w:rsidRDefault="0017259E" w:rsidP="0017259E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Sacl – системный список управления доступом.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Списки управления доступом (ACL, Access-Control List) в системе представлены заголовком (ACL Header) и последовательностью элементов списка (ACE, Access-Control Entry) (</w:t>
      </w:r>
      <w:hyperlink r:id="rId12" w:anchor="image.13.3" w:history="1">
        <w:r w:rsidRPr="0017259E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рис.13.3</w:t>
        </w:r>
      </w:hyperlink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17259E" w:rsidRPr="0017259E" w:rsidRDefault="0017259E" w:rsidP="0017259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7" w:name="image.13.3"/>
      <w:bookmarkEnd w:id="37"/>
      <w:r w:rsidRPr="0017259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5FBC951D" wp14:editId="60B17072">
            <wp:extent cx="5354955" cy="2036445"/>
            <wp:effectExtent l="0" t="0" r="0" b="1905"/>
            <wp:docPr id="3" name="Рисунок 3" descr="Внутреннее представление списка управления доступом A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нутреннее представление списка управления доступом AC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9E" w:rsidRPr="0017259E" w:rsidRDefault="0017259E" w:rsidP="0017259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17259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13.3. 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Внутреннее представление списка управления доступом ACL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Заголовок списка описывается структурой ACL (файл public\sdk\inc\ntseapi.h, строка 658), в которой хранятся количество элементов списка ACL (поле AceCount) и общий размер списка без заголовка (поле AclSize).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Элементы ACE имеют заголовок (ACE Header), описываемый структурой 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ACE_HEADER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(тот же файл, строка 687), маску доступа и идентификатор безопасности SID. В заголовке указывается тип ACE (поле AceType); множество значений этого поля приведены в строках 699–728. Основными являются 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ACCESS_ALLOWED_ACE_TYPE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(доступ разрешен) и 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ACCESS_DENIED_ACE_TYPE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(доступ запрещен).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Маска доступа (Access Mask) описывает разнообразные виды доступа к объектам (строки 72–166). В маске выделяются стандартные права доступа (Standard Access Rights), применимые к большинству объектов, и специфичные для объектов права доступа (Object-Specific Access Rights).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Стандартными являются следующие права доступа:</w:t>
      </w:r>
    </w:p>
    <w:p w:rsidR="0017259E" w:rsidRPr="0017259E" w:rsidRDefault="0017259E" w:rsidP="0017259E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DELETE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право на удаление объекта;</w:t>
      </w:r>
    </w:p>
    <w:p w:rsidR="0017259E" w:rsidRPr="0017259E" w:rsidRDefault="0017259E" w:rsidP="0017259E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READ_CONTROL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право на просмотр информации о дескрипторе защиты объекта;</w:t>
      </w:r>
    </w:p>
    <w:p w:rsidR="0017259E" w:rsidRPr="0017259E" w:rsidRDefault="0017259E" w:rsidP="0017259E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SYNCHRONIZE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право на использование объекта для синхронизации;</w:t>
      </w:r>
    </w:p>
    <w:p w:rsidR="0017259E" w:rsidRPr="0017259E" w:rsidRDefault="0017259E" w:rsidP="0017259E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WRITE_DAC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право на изменение списка DACL;</w:t>
      </w:r>
    </w:p>
    <w:p w:rsidR="0017259E" w:rsidRPr="0017259E" w:rsidRDefault="0017259E" w:rsidP="0017259E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WRITE_OWNER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право на смену владельца объекта.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Списки управления доступом бывают двух видов: DACL и SACL. Список управления избирательным доступом (DACL, Discretionary Access-Control List) определяет пользователей, которые могут получать доступ к объекту, а также указывает тип доступа. В системном списке управления доступом (SACL, System Access-control List) перечислены пользователи и операции, которые должны учитываться в журнале аудита безопасности (security audit log).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Схема получения доступа процесса к объекту показана на </w:t>
      </w:r>
      <w:hyperlink r:id="rId14" w:anchor="image.13.4" w:history="1">
        <w:r w:rsidRPr="0017259E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рис.13.4</w:t>
        </w:r>
      </w:hyperlink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17259E" w:rsidRPr="0017259E" w:rsidRDefault="0017259E" w:rsidP="0017259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8" w:name="image.13.4"/>
      <w:bookmarkEnd w:id="38"/>
      <w:r w:rsidRPr="0017259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1233A95F" wp14:editId="62F560D3">
            <wp:extent cx="5888355" cy="2341245"/>
            <wp:effectExtent l="0" t="0" r="0" b="1905"/>
            <wp:docPr id="4" name="Рисунок 4" descr="Схема получения доступа процесса к объек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хема получения доступа процесса к объекту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9E" w:rsidRPr="0017259E" w:rsidRDefault="0017259E" w:rsidP="0017259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17259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13.4. 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Схема получения доступа процесса к объекту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 проверку возможности доступа процесса к объекту отвечает функция 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SeAccessCheck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(файл base\ntos\se\accessck.c, строка 3391). На вход функции поступают следующие параметры:</w:t>
      </w:r>
    </w:p>
    <w:p w:rsidR="0017259E" w:rsidRPr="0017259E" w:rsidRDefault="0017259E" w:rsidP="0017259E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дескриптор защиты объекта (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SecurityDescriptor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);</w:t>
      </w:r>
    </w:p>
    <w:p w:rsidR="0017259E" w:rsidRPr="0017259E" w:rsidRDefault="0017259E" w:rsidP="0017259E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маркер доступа процесса (элемент структуры 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SubjectSecurityContext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);</w:t>
      </w:r>
    </w:p>
    <w:p w:rsidR="0017259E" w:rsidRPr="0017259E" w:rsidRDefault="0017259E" w:rsidP="0017259E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маска запрашиваемого доступа (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DesiredAccess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);</w:t>
      </w:r>
    </w:p>
    <w:p w:rsidR="0017259E" w:rsidRPr="0017259E" w:rsidRDefault="0017259E" w:rsidP="0017259E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маска ранее предоставленного доступа (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PreviouslyGrantedAccess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);</w:t>
      </w:r>
    </w:p>
    <w:p w:rsidR="0017259E" w:rsidRPr="0017259E" w:rsidRDefault="0017259E" w:rsidP="0017259E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режим работы процессора (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AccessMode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);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Функция возвращает 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TRUE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если процессу возможно предоставить доступ к объекту, а также маску предоставленного доступа (GrantedAccess). Если доступ запрещен, функция возвращает FALSE.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Функция 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SeAccessCheck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осуществляет следующие действия:</w:t>
      </w:r>
    </w:p>
    <w:p w:rsidR="0017259E" w:rsidRPr="0017259E" w:rsidRDefault="0017259E" w:rsidP="0017259E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Сначала анализируется режим работы процессора – если это режим ядра, доступ предоставляется без дальнейшего анализа (строки 3396–3416).</w:t>
      </w:r>
    </w:p>
    <w:p w:rsidR="0017259E" w:rsidRPr="0017259E" w:rsidRDefault="0017259E" w:rsidP="0017259E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случае пользовательского режима проверяется дескриптор защиты: если он отсутствует (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SecurityDescriptor == NULL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в доступе отказывается (строки 3423–3428).</w:t>
      </w:r>
    </w:p>
    <w:p w:rsidR="0017259E" w:rsidRPr="0017259E" w:rsidRDefault="0017259E" w:rsidP="0017259E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 маска запрашиваемого доступа равна нулю (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DesiredAccess == 0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возвращается маска ранее предоставленного доступа (строки 3442–3454).</w:t>
      </w:r>
    </w:p>
    <w:p w:rsidR="0017259E" w:rsidRPr="0017259E" w:rsidRDefault="0017259E" w:rsidP="0017259E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 запрашивается доступ на изменение списка 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DACL (WRITE_DAC)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или на чтение информации в дескрипторе защиты (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READ_CONTROL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то при помощи функции 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SepTokenIsOwner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проверяется, не является ли процесс владельцем объекта, к которому требуется получить доступ (строки 3477–3483). Если является, то ему предоставляются указанные права (3485–3492), а если запрашиваются только эти права, то функция успешно возвращает требуемую маску доступа (строки 3498–3506).</w:t>
      </w:r>
    </w:p>
    <w:p w:rsidR="0017259E" w:rsidRPr="0017259E" w:rsidRDefault="0017259E" w:rsidP="0017259E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Вызывается функция 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SepAccessCheck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(определенная в том же файле, строка 1809), которая просматривает список </w:t>
      </w:r>
      <w:r w:rsidRPr="001725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DACL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объекта в поисках соответствия идентификаторов безопасности SID в маркере доступа процесса. В том случае, если список DACL пустой, процессу предоставляется доступ (строка 3510–3527).</w:t>
      </w:r>
    </w:p>
    <w:p w:rsidR="0017259E" w:rsidRPr="0017259E" w:rsidRDefault="0017259E" w:rsidP="0017259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39" w:name="sect7"/>
      <w:bookmarkEnd w:id="39"/>
      <w:r w:rsidRPr="0017259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Права и привилегии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Кроме операций с объектами система должна контролировать множество других действий пользователей, например, вход в систему, включение/выключение компьютера, изменение системного времени, </w:t>
      </w:r>
      <w:bookmarkStart w:id="40" w:name="keyword30"/>
      <w:bookmarkEnd w:id="40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загрузка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драйверов и т.д.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управления такими действиями, не связанными с доступом к конкретным объектам, система использует два механизма – </w:t>
      </w:r>
      <w:bookmarkStart w:id="41" w:name="keyword31"/>
      <w:bookmarkEnd w:id="41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права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учетных записей и привилегии.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Право учетной записи (</w:t>
      </w:r>
      <w:bookmarkStart w:id="42" w:name="keyword32"/>
      <w:bookmarkEnd w:id="42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account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43" w:name="keyword33"/>
      <w:bookmarkEnd w:id="43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right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разрешение или запрет на определенный вид входа в систему.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Различают следующие виды входа:</w:t>
      </w:r>
    </w:p>
    <w:p w:rsidR="0017259E" w:rsidRPr="0017259E" w:rsidRDefault="0017259E" w:rsidP="0017259E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интерактивный (локальный) вход;</w:t>
      </w:r>
    </w:p>
    <w:p w:rsidR="0017259E" w:rsidRPr="0017259E" w:rsidRDefault="0017259E" w:rsidP="0017259E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вход из сети;</w:t>
      </w:r>
    </w:p>
    <w:p w:rsidR="0017259E" w:rsidRPr="0017259E" w:rsidRDefault="0017259E" w:rsidP="0017259E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вход через службу удаленных рабочих столов (ранее называлось – "через службу терминалов");</w:t>
      </w:r>
    </w:p>
    <w:p w:rsidR="0017259E" w:rsidRPr="0017259E" w:rsidRDefault="0017259E" w:rsidP="0017259E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вход в качестве службы;</w:t>
      </w:r>
    </w:p>
    <w:p w:rsidR="0017259E" w:rsidRPr="0017259E" w:rsidRDefault="0017259E" w:rsidP="0017259E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вход в качестве пакетного задания.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Проверка прав учетных записей осуществляется не в ядре, а в процессах Winlogon.exe и Lsass.exe.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4" w:name="keyword34"/>
      <w:bookmarkEnd w:id="44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Привилегия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(privilege) – разрешение или запрет определенных действий в системе, например, включение/выключение компьютера или </w:t>
      </w:r>
      <w:bookmarkStart w:id="45" w:name="keyword35"/>
      <w:bookmarkEnd w:id="45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загрузка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драйверов. Привилегии хранятся в </w:t>
      </w:r>
      <w:bookmarkStart w:id="46" w:name="keyword36"/>
      <w:bookmarkEnd w:id="46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поле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47" w:name="keyword37"/>
      <w:bookmarkEnd w:id="47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Privileges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структуры маркера доступа </w:t>
      </w:r>
      <w:bookmarkStart w:id="48" w:name="keyword38"/>
      <w:bookmarkEnd w:id="48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TOKEN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(см. выше).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9" w:name="keyword39"/>
      <w:bookmarkEnd w:id="49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Список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всех привилегий в системе можно посмотреть в оснастке </w:t>
      </w:r>
      <w:bookmarkStart w:id="50" w:name="keyword40"/>
      <w:bookmarkEnd w:id="50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MMC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"Локальная </w:t>
      </w:r>
      <w:bookmarkStart w:id="51" w:name="keyword41"/>
      <w:bookmarkEnd w:id="51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политика безопасности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 (</w:t>
      </w:r>
      <w:bookmarkStart w:id="52" w:name="keyword42"/>
      <w:bookmarkEnd w:id="52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Local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53" w:name="keyword43"/>
      <w:bookmarkEnd w:id="53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Security Policy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раздел "Локальные политики" – "Назначение прав пользователей" (</w:t>
      </w:r>
      <w:bookmarkStart w:id="54" w:name="keyword44"/>
      <w:bookmarkEnd w:id="54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Local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Policies – </w:t>
      </w:r>
      <w:bookmarkStart w:id="55" w:name="keyword45"/>
      <w:bookmarkEnd w:id="55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User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Rights </w:t>
      </w:r>
      <w:bookmarkStart w:id="56" w:name="keyword46"/>
      <w:bookmarkEnd w:id="56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Assignment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(см. </w:t>
      </w:r>
      <w:hyperlink r:id="rId16" w:anchor="image.13.5" w:history="1">
        <w:r w:rsidRPr="0017259E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рис.13.5</w:t>
        </w:r>
      </w:hyperlink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Вызывается оснастка через Панель управления – </w:t>
      </w:r>
      <w:bookmarkStart w:id="57" w:name="keyword47"/>
      <w:bookmarkEnd w:id="57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Администрирование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(</w:t>
      </w:r>
      <w:bookmarkStart w:id="58" w:name="keyword48"/>
      <w:bookmarkEnd w:id="58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Control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59" w:name="keyword49"/>
      <w:bookmarkEnd w:id="59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Panel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60" w:name="keyword50"/>
      <w:bookmarkEnd w:id="60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Administrative Tools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17259E" w:rsidRPr="0017259E" w:rsidRDefault="0017259E" w:rsidP="0017259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61" w:name="image.13.5"/>
      <w:bookmarkEnd w:id="61"/>
      <w:r w:rsidRPr="0017259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7A906B25" wp14:editId="116B6B3F">
            <wp:extent cx="5846445" cy="4107815"/>
            <wp:effectExtent l="0" t="0" r="1905" b="6985"/>
            <wp:docPr id="5" name="Рисунок 5" descr="Оснастка &quot;Локальная политика безопасност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Оснастка &quot;Локальная политика безопасности&quot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9E" w:rsidRPr="0017259E" w:rsidRDefault="0017259E" w:rsidP="0017259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17259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13.5. 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Оснастка "Локальная политика безопасности"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Следует отметить, что в оснастке не различаются </w:t>
      </w:r>
      <w:bookmarkStart w:id="62" w:name="keyword51"/>
      <w:bookmarkEnd w:id="62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права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учетных записей и привилегии, но это легко можно сделать самостоятельно: право учетной записи всегда содержит </w:t>
      </w:r>
      <w:bookmarkStart w:id="63" w:name="keyword52"/>
      <w:bookmarkEnd w:id="63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слово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"вход" (например, "Вход в качестве пакетного задания").</w:t>
      </w:r>
    </w:p>
    <w:p w:rsidR="0017259E" w:rsidRPr="0017259E" w:rsidRDefault="0017259E" w:rsidP="0017259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64" w:name="sect8"/>
      <w:bookmarkEnd w:id="64"/>
      <w:r w:rsidRPr="0017259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Резюме</w:t>
      </w:r>
    </w:p>
    <w:p w:rsidR="0017259E" w:rsidRPr="0017259E" w:rsidRDefault="0017259E" w:rsidP="0017259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В лекции описываются требования к безопасности, предъявляемые к операционным системам </w:t>
      </w:r>
      <w:bookmarkStart w:id="65" w:name="keyword53"/>
      <w:bookmarkEnd w:id="65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 то, каким образом эти требования реализуются. Рассматривается схема проверки прав доступа процесса к объекту, которая заключается в сравнении параметров маркера доступа процесса и дескриптора защиты объекта. Также приводится </w:t>
      </w:r>
      <w:bookmarkStart w:id="66" w:name="keyword54"/>
      <w:bookmarkEnd w:id="66"/>
      <w:r w:rsidRPr="0017259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информация</w:t>
      </w:r>
      <w:r w:rsidRPr="001725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 правах и привилегиях учетных записей.</w:t>
      </w:r>
    </w:p>
    <w:p w:rsidR="0017259E" w:rsidRDefault="0017259E"/>
    <w:sectPr w:rsidR="0017259E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791" w:rsidRDefault="00141791" w:rsidP="00CC4A34">
      <w:pPr>
        <w:spacing w:after="0" w:line="240" w:lineRule="auto"/>
      </w:pPr>
      <w:r>
        <w:separator/>
      </w:r>
    </w:p>
  </w:endnote>
  <w:endnote w:type="continuationSeparator" w:id="0">
    <w:p w:rsidR="00141791" w:rsidRDefault="00141791" w:rsidP="00CC4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791" w:rsidRDefault="00141791" w:rsidP="00CC4A34">
      <w:pPr>
        <w:spacing w:after="0" w:line="240" w:lineRule="auto"/>
      </w:pPr>
      <w:r>
        <w:separator/>
      </w:r>
    </w:p>
  </w:footnote>
  <w:footnote w:type="continuationSeparator" w:id="0">
    <w:p w:rsidR="00141791" w:rsidRDefault="00141791" w:rsidP="00CC4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7975416"/>
      <w:docPartObj>
        <w:docPartGallery w:val="Page Numbers (Top of Page)"/>
        <w:docPartUnique/>
      </w:docPartObj>
    </w:sdtPr>
    <w:sdtContent>
      <w:p w:rsidR="00CC4A34" w:rsidRDefault="00CC4A3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C4A34" w:rsidRDefault="00CC4A3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C16F9"/>
    <w:multiLevelType w:val="multilevel"/>
    <w:tmpl w:val="0728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722A6"/>
    <w:multiLevelType w:val="multilevel"/>
    <w:tmpl w:val="D8B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A12FB"/>
    <w:multiLevelType w:val="multilevel"/>
    <w:tmpl w:val="A480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63900"/>
    <w:multiLevelType w:val="multilevel"/>
    <w:tmpl w:val="DB1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54CE7"/>
    <w:multiLevelType w:val="multilevel"/>
    <w:tmpl w:val="E402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85371"/>
    <w:multiLevelType w:val="multilevel"/>
    <w:tmpl w:val="DEB0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B62AE"/>
    <w:multiLevelType w:val="multilevel"/>
    <w:tmpl w:val="1478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9E"/>
    <w:rsid w:val="00141791"/>
    <w:rsid w:val="0017259E"/>
    <w:rsid w:val="004A7DB3"/>
    <w:rsid w:val="00CC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CA890-A769-47BD-B321-02BF5FF3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4A34"/>
  </w:style>
  <w:style w:type="paragraph" w:styleId="a5">
    <w:name w:val="footer"/>
    <w:basedOn w:val="a"/>
    <w:link w:val="a6"/>
    <w:uiPriority w:val="99"/>
    <w:unhideWhenUsed/>
    <w:rsid w:val="00CC4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4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310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1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7585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7703901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7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6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10471/1078/lecture/16581?page=1" TargetMode="Externa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intuit.ru/studies/courses/10471/1078/lecture/16581?page=2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www.intuit.ru/studies/courses/10471/1078/lecture/16581?page=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www.intuit.ru/studies/courses/10471/1078/lecture/16581?page=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upport.microsoft.com/kb/243330" TargetMode="External"/><Relationship Id="rId14" Type="http://schemas.openxmlformats.org/officeDocument/2006/relationships/hyperlink" Target="https://www.intuit.ru/studies/courses/10471/1078/lecture/16581?page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1908</Words>
  <Characters>10877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</dc:creator>
  <cp:keywords/>
  <dc:description/>
  <cp:lastModifiedBy>GAI</cp:lastModifiedBy>
  <cp:revision>2</cp:revision>
  <dcterms:created xsi:type="dcterms:W3CDTF">2019-11-24T20:34:00Z</dcterms:created>
  <dcterms:modified xsi:type="dcterms:W3CDTF">2019-11-24T20:34:00Z</dcterms:modified>
</cp:coreProperties>
</file>