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784212"/>
          <w:sz w:val="48"/>
          <w:szCs w:val="48"/>
        </w:rPr>
        <w:t xml:space="preserve">🌳  Random Forest Classifier</w:t>
      </w:r>
    </w:p>
    <w:p>
      <w:pPr>
        <w:spacing w:after="80"/>
        <w:jc w:val="center"/>
      </w:pPr>
      <w:r>
        <w:rPr>
          <w:rFonts w:ascii="Arial" w:cs="Arial" w:eastAsia="Arial" w:hAnsi="Arial"/>
          <w:b/>
          <w:bCs/>
          <w:color w:val="A04000"/>
          <w:sz w:val="30"/>
          <w:szCs w:val="30"/>
        </w:rPr>
        <w:t xml:space="preserve">Forest Fire Risk Prediction — Model Evaluation Report</w:t>
      </w:r>
    </w:p>
    <w:p>
      <w:pPr>
        <w:spacing w:after="400"/>
        <w:jc w:val="center"/>
      </w:pPr>
      <w:r>
        <w:rPr>
          <w:rFonts w:ascii="Arial" w:cs="Arial" w:eastAsia="Arial" w:hAnsi="Arial"/>
          <w:color w:val="666666"/>
          <w:sz w:val="21"/>
          <w:szCs w:val="21"/>
        </w:rPr>
        <w:t xml:space="preserve">Mini Project | Algerian Forest Fire Dataset | March 2025</w:t>
      </w:r>
    </w:p>
    <w:p>
      <w:pPr>
        <w:pStyle w:val="Heading1"/>
        <w:spacing w:before="360" w:after="120"/>
      </w:pPr>
      <w:r>
        <w:t xml:space="preserve">1. Model Overview</w:t>
      </w:r>
    </w:p>
    <w:p>
      <w:pPr>
        <w:spacing w:after="120"/>
      </w:pPr>
      <w:r>
        <w:rPr>
          <w:rFonts w:ascii="Arial" w:cs="Arial" w:eastAsia="Arial" w:hAnsi="Arial"/>
          <w:sz w:val="22"/>
          <w:szCs w:val="22"/>
        </w:rPr>
        <w:t xml:space="preserve">Random Forest is an ensemble learning method that builds multiple decision trees during training and outputs the class that is the mode (majority vote) of all individual trees. It reduces overfitting significantly compared to a single tree by averaging predictions across 200 trees.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color="784212" w:val="solid"/>
            <w:vAlign w:val="center"/>
          </w:tcPr>
          <w:p>
            <w:pPr>
              <w:jc w:val="center"/>
            </w:pPr>
            <w:r>
              <w:rPr>
                <w:rFonts w:ascii="Arial" w:cs="Arial" w:eastAsia="Arial" w:hAnsi="Arial"/>
                <w:b/>
                <w:bCs/>
                <w:color w:val="FFFFFF"/>
                <w:sz w:val="20"/>
                <w:szCs w:val="20"/>
              </w:rPr>
              <w:t xml:space="preserve">Parameter</w:t>
            </w:r>
          </w:p>
        </w:tc>
        <w:tc>
          <w:tcPr>
            <w:tcW w:type="dxa" w:w="4500"/>
            <w:shd w:color="784212" w:val="solid"/>
            <w:vAlign w:val="center"/>
          </w:tcPr>
          <w:p>
            <w:pPr>
              <w:jc w:val="center"/>
            </w:pPr>
            <w:r>
              <w:rPr>
                <w:rFonts w:ascii="Arial" w:cs="Arial" w:eastAsia="Arial" w:hAnsi="Arial"/>
                <w:b/>
                <w:bCs/>
                <w:color w:val="FFFFFF"/>
                <w:sz w:val="20"/>
                <w:szCs w:val="20"/>
              </w:rPr>
              <w:t xml:space="preserve">Value</w:t>
            </w:r>
          </w:p>
        </w:tc>
      </w:tr>
      <w:tr>
        <w:tc>
          <w:tcPr>
            <w:tcW w:type="dxa" w:w="4500"/>
            <w:shd w:color="FDEBD0" w:val="solid"/>
            <w:vAlign w:val="center"/>
          </w:tcPr>
          <w:p>
            <w:pPr>
              <w:jc w:val="center"/>
            </w:pPr>
            <w:r>
              <w:rPr>
                <w:rFonts w:ascii="Arial" w:cs="Arial" w:eastAsia="Arial" w:hAnsi="Arial"/>
                <w:sz w:val="20"/>
                <w:szCs w:val="20"/>
              </w:rPr>
              <w:t xml:space="preserve">Algorithm</w:t>
            </w:r>
          </w:p>
        </w:tc>
        <w:tc>
          <w:tcPr>
            <w:tcW w:type="dxa" w:w="4500"/>
            <w:shd w:color="FDEBD0" w:val="solid"/>
            <w:vAlign w:val="center"/>
          </w:tcPr>
          <w:p>
            <w:pPr>
              <w:jc w:val="center"/>
            </w:pPr>
            <w:r>
              <w:rPr>
                <w:rFonts w:ascii="Arial" w:cs="Arial" w:eastAsia="Arial" w:hAnsi="Arial"/>
                <w:sz w:val="20"/>
                <w:szCs w:val="20"/>
              </w:rPr>
              <w:t xml:space="preserve">RandomForestClassifier</w:t>
            </w:r>
          </w:p>
        </w:tc>
      </w:tr>
      <w:tr>
        <w:tc>
          <w:tcPr>
            <w:tcW w:type="dxa" w:w="4500"/>
            <w:vAlign w:val="center"/>
          </w:tcPr>
          <w:p>
            <w:pPr>
              <w:jc w:val="center"/>
            </w:pPr>
            <w:r>
              <w:rPr>
                <w:rFonts w:ascii="Arial" w:cs="Arial" w:eastAsia="Arial" w:hAnsi="Arial"/>
                <w:sz w:val="20"/>
                <w:szCs w:val="20"/>
              </w:rPr>
              <w:t xml:space="preserve">Number of Trees (n_estimators)</w:t>
            </w:r>
          </w:p>
        </w:tc>
        <w:tc>
          <w:tcPr>
            <w:tcW w:type="dxa" w:w="4500"/>
            <w:vAlign w:val="center"/>
          </w:tcPr>
          <w:p>
            <w:pPr>
              <w:jc w:val="center"/>
            </w:pPr>
            <w:r>
              <w:rPr>
                <w:rFonts w:ascii="Arial" w:cs="Arial" w:eastAsia="Arial" w:hAnsi="Arial"/>
                <w:sz w:val="20"/>
                <w:szCs w:val="20"/>
              </w:rPr>
              <w:t xml:space="preserve">200</w:t>
            </w:r>
          </w:p>
        </w:tc>
      </w:tr>
      <w:tr>
        <w:tc>
          <w:tcPr>
            <w:tcW w:type="dxa" w:w="4500"/>
            <w:shd w:color="FDEBD0" w:val="solid"/>
            <w:vAlign w:val="center"/>
          </w:tcPr>
          <w:p>
            <w:pPr>
              <w:jc w:val="center"/>
            </w:pPr>
            <w:r>
              <w:rPr>
                <w:rFonts w:ascii="Arial" w:cs="Arial" w:eastAsia="Arial" w:hAnsi="Arial"/>
                <w:sz w:val="20"/>
                <w:szCs w:val="20"/>
              </w:rPr>
              <w:t xml:space="preserve">Max Depth</w:t>
            </w:r>
          </w:p>
        </w:tc>
        <w:tc>
          <w:tcPr>
            <w:tcW w:type="dxa" w:w="4500"/>
            <w:shd w:color="FDEBD0" w:val="solid"/>
            <w:vAlign w:val="center"/>
          </w:tcPr>
          <w:p>
            <w:pPr>
              <w:jc w:val="center"/>
            </w:pPr>
            <w:r>
              <w:rPr>
                <w:rFonts w:ascii="Arial" w:cs="Arial" w:eastAsia="Arial" w:hAnsi="Arial"/>
                <w:sz w:val="20"/>
                <w:szCs w:val="20"/>
              </w:rPr>
              <w:t xml:space="preserve">10</w:t>
            </w:r>
          </w:p>
        </w:tc>
      </w:tr>
      <w:tr>
        <w:tc>
          <w:tcPr>
            <w:tcW w:type="dxa" w:w="4500"/>
            <w:vAlign w:val="center"/>
          </w:tcPr>
          <w:p>
            <w:pPr>
              <w:jc w:val="center"/>
            </w:pPr>
            <w:r>
              <w:rPr>
                <w:rFonts w:ascii="Arial" w:cs="Arial" w:eastAsia="Arial" w:hAnsi="Arial"/>
                <w:sz w:val="20"/>
                <w:szCs w:val="20"/>
              </w:rPr>
              <w:t xml:space="preserve">Random State</w:t>
            </w:r>
          </w:p>
        </w:tc>
        <w:tc>
          <w:tcPr>
            <w:tcW w:type="dxa" w:w="4500"/>
            <w:vAlign w:val="center"/>
          </w:tcPr>
          <w:p>
            <w:pPr>
              <w:jc w:val="center"/>
            </w:pPr>
            <w:r>
              <w:rPr>
                <w:rFonts w:ascii="Arial" w:cs="Arial" w:eastAsia="Arial" w:hAnsi="Arial"/>
                <w:sz w:val="20"/>
                <w:szCs w:val="20"/>
              </w:rPr>
              <w:t xml:space="preserve">42</w:t>
            </w:r>
          </w:p>
        </w:tc>
      </w:tr>
      <w:tr>
        <w:tc>
          <w:tcPr>
            <w:tcW w:type="dxa" w:w="4500"/>
            <w:shd w:color="FDEBD0" w:val="solid"/>
            <w:vAlign w:val="center"/>
          </w:tcPr>
          <w:p>
            <w:pPr>
              <w:jc w:val="center"/>
            </w:pPr>
            <w:r>
              <w:rPr>
                <w:rFonts w:ascii="Arial" w:cs="Arial" w:eastAsia="Arial" w:hAnsi="Arial"/>
                <w:sz w:val="20"/>
                <w:szCs w:val="20"/>
              </w:rPr>
              <w:t xml:space="preserve">Features Used</w:t>
            </w:r>
          </w:p>
        </w:tc>
        <w:tc>
          <w:tcPr>
            <w:tcW w:type="dxa" w:w="4500"/>
            <w:shd w:color="FDEBD0" w:val="solid"/>
            <w:vAlign w:val="center"/>
          </w:tcPr>
          <w:p>
            <w:pPr>
              <w:jc w:val="center"/>
            </w:pPr>
            <w:r>
              <w:rPr>
                <w:rFonts w:ascii="Arial" w:cs="Arial" w:eastAsia="Arial" w:hAnsi="Arial"/>
                <w:sz w:val="20"/>
                <w:szCs w:val="20"/>
              </w:rPr>
              <w:t xml:space="preserve">12 (day, month, year excluded)</w:t>
            </w:r>
          </w:p>
        </w:tc>
      </w:tr>
      <w:tr>
        <w:tc>
          <w:tcPr>
            <w:tcW w:type="dxa" w:w="4500"/>
            <w:vAlign w:val="center"/>
          </w:tcPr>
          <w:p>
            <w:pPr>
              <w:jc w:val="center"/>
            </w:pPr>
            <w:r>
              <w:rPr>
                <w:rFonts w:ascii="Arial" w:cs="Arial" w:eastAsia="Arial" w:hAnsi="Arial"/>
                <w:sz w:val="20"/>
                <w:szCs w:val="20"/>
              </w:rPr>
              <w:t xml:space="preserve">Train / Test Split</w:t>
            </w:r>
          </w:p>
        </w:tc>
        <w:tc>
          <w:tcPr>
            <w:tcW w:type="dxa" w:w="4500"/>
            <w:vAlign w:val="center"/>
          </w:tcPr>
          <w:p>
            <w:pPr>
              <w:jc w:val="center"/>
            </w:pPr>
            <w:r>
              <w:rPr>
                <w:rFonts w:ascii="Arial" w:cs="Arial" w:eastAsia="Arial" w:hAnsi="Arial"/>
                <w:sz w:val="20"/>
                <w:szCs w:val="20"/>
              </w:rPr>
              <w:t xml:space="preserve">80% / 20% (stratified)</w:t>
            </w:r>
          </w:p>
        </w:tc>
      </w:tr>
    </w:tbl>
    <w:p>
      <w:pPr>
        <w:spacing w:after="200"/>
      </w:pPr>
    </w:p>
    <w:p>
      <w:pPr>
        <w:pStyle w:val="Heading1"/>
        <w:spacing w:before="360" w:after="120"/>
      </w:pPr>
      <w:r>
        <w:t xml:space="preserve">2. Performance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color="784212" w:val="solid"/>
            <w:vAlign w:val="center"/>
          </w:tcPr>
          <w:p>
            <w:pPr>
              <w:jc w:val="center"/>
            </w:pPr>
            <w:r>
              <w:rPr>
                <w:rFonts w:ascii="Arial" w:cs="Arial" w:eastAsia="Arial" w:hAnsi="Arial"/>
                <w:b/>
                <w:bCs/>
                <w:color w:val="FFFFFF"/>
                <w:sz w:val="20"/>
                <w:szCs w:val="20"/>
              </w:rPr>
              <w:t xml:space="preserve">Metric</w:t>
            </w:r>
          </w:p>
        </w:tc>
        <w:tc>
          <w:tcPr>
            <w:tcW w:type="dxa" w:w="4500"/>
            <w:shd w:color="784212" w:val="solid"/>
            <w:vAlign w:val="center"/>
          </w:tcPr>
          <w:p>
            <w:pPr>
              <w:jc w:val="center"/>
            </w:pPr>
            <w:r>
              <w:rPr>
                <w:rFonts w:ascii="Arial" w:cs="Arial" w:eastAsia="Arial" w:hAnsi="Arial"/>
                <w:b/>
                <w:bCs/>
                <w:color w:val="FFFFFF"/>
                <w:sz w:val="20"/>
                <w:szCs w:val="20"/>
              </w:rPr>
              <w:t xml:space="preserve">Score</w:t>
            </w:r>
          </w:p>
        </w:tc>
      </w:tr>
      <w:tr>
        <w:tc>
          <w:tcPr>
            <w:tcW w:type="dxa" w:w="4500"/>
            <w:shd w:color="FDEBD0" w:val="solid"/>
            <w:vAlign w:val="center"/>
          </w:tcPr>
          <w:p>
            <w:pPr>
              <w:jc w:val="center"/>
            </w:pPr>
            <w:r>
              <w:rPr>
                <w:rFonts w:ascii="Arial" w:cs="Arial" w:eastAsia="Arial" w:hAnsi="Arial"/>
                <w:sz w:val="20"/>
                <w:szCs w:val="20"/>
              </w:rPr>
              <w:t xml:space="preserve">Accuracy</w:t>
            </w:r>
          </w:p>
        </w:tc>
        <w:tc>
          <w:tcPr>
            <w:tcW w:type="dxa" w:w="4500"/>
            <w:shd w:color="FDEBD0" w:val="solid"/>
            <w:vAlign w:val="center"/>
          </w:tcPr>
          <w:p>
            <w:pPr>
              <w:jc w:val="center"/>
            </w:pPr>
            <w:r>
              <w:rPr>
                <w:rFonts w:ascii="Arial" w:cs="Arial" w:eastAsia="Arial" w:hAnsi="Arial"/>
                <w:sz w:val="20"/>
                <w:szCs w:val="20"/>
              </w:rPr>
              <w:t xml:space="preserve">93.88%</w:t>
            </w:r>
          </w:p>
        </w:tc>
      </w:tr>
      <w:tr>
        <w:tc>
          <w:tcPr>
            <w:tcW w:type="dxa" w:w="4500"/>
            <w:vAlign w:val="center"/>
          </w:tcPr>
          <w:p>
            <w:pPr>
              <w:jc w:val="center"/>
            </w:pPr>
            <w:r>
              <w:rPr>
                <w:rFonts w:ascii="Arial" w:cs="Arial" w:eastAsia="Arial" w:hAnsi="Arial"/>
                <w:sz w:val="20"/>
                <w:szCs w:val="20"/>
              </w:rPr>
              <w:t xml:space="preserve">Precision (weighted)</w:t>
            </w:r>
          </w:p>
        </w:tc>
        <w:tc>
          <w:tcPr>
            <w:tcW w:type="dxa" w:w="4500"/>
            <w:vAlign w:val="center"/>
          </w:tcPr>
          <w:p>
            <w:pPr>
              <w:jc w:val="center"/>
            </w:pPr>
            <w:r>
              <w:rPr>
                <w:rFonts w:ascii="Arial" w:cs="Arial" w:eastAsia="Arial" w:hAnsi="Arial"/>
                <w:sz w:val="20"/>
                <w:szCs w:val="20"/>
              </w:rPr>
              <w:t xml:space="preserve">94.13%</w:t>
            </w:r>
          </w:p>
        </w:tc>
      </w:tr>
      <w:tr>
        <w:tc>
          <w:tcPr>
            <w:tcW w:type="dxa" w:w="4500"/>
            <w:shd w:color="FDEBD0" w:val="solid"/>
            <w:vAlign w:val="center"/>
          </w:tcPr>
          <w:p>
            <w:pPr>
              <w:jc w:val="center"/>
            </w:pPr>
            <w:r>
              <w:rPr>
                <w:rFonts w:ascii="Arial" w:cs="Arial" w:eastAsia="Arial" w:hAnsi="Arial"/>
                <w:sz w:val="20"/>
                <w:szCs w:val="20"/>
              </w:rPr>
              <w:t xml:space="preserve">Recall (weighted)</w:t>
            </w:r>
          </w:p>
        </w:tc>
        <w:tc>
          <w:tcPr>
            <w:tcW w:type="dxa" w:w="4500"/>
            <w:shd w:color="FDEBD0" w:val="solid"/>
            <w:vAlign w:val="center"/>
          </w:tcPr>
          <w:p>
            <w:pPr>
              <w:jc w:val="center"/>
            </w:pPr>
            <w:r>
              <w:rPr>
                <w:rFonts w:ascii="Arial" w:cs="Arial" w:eastAsia="Arial" w:hAnsi="Arial"/>
                <w:sz w:val="20"/>
                <w:szCs w:val="20"/>
              </w:rPr>
              <w:t xml:space="preserve">93.88%</w:t>
            </w:r>
          </w:p>
        </w:tc>
      </w:tr>
      <w:tr>
        <w:tc>
          <w:tcPr>
            <w:tcW w:type="dxa" w:w="4500"/>
            <w:vAlign w:val="center"/>
          </w:tcPr>
          <w:p>
            <w:pPr>
              <w:jc w:val="center"/>
            </w:pPr>
            <w:r>
              <w:rPr>
                <w:rFonts w:ascii="Arial" w:cs="Arial" w:eastAsia="Arial" w:hAnsi="Arial"/>
                <w:sz w:val="20"/>
                <w:szCs w:val="20"/>
              </w:rPr>
              <w:t xml:space="preserve">F1-Score (weighted)</w:t>
            </w:r>
          </w:p>
        </w:tc>
        <w:tc>
          <w:tcPr>
            <w:tcW w:type="dxa" w:w="4500"/>
            <w:vAlign w:val="center"/>
          </w:tcPr>
          <w:p>
            <w:pPr>
              <w:jc w:val="center"/>
            </w:pPr>
            <w:r>
              <w:rPr>
                <w:rFonts w:ascii="Arial" w:cs="Arial" w:eastAsia="Arial" w:hAnsi="Arial"/>
                <w:sz w:val="20"/>
                <w:szCs w:val="20"/>
              </w:rPr>
              <w:t xml:space="preserve">93.94%</w:t>
            </w:r>
          </w:p>
        </w:tc>
      </w:tr>
      <w:tr>
        <w:tc>
          <w:tcPr>
            <w:tcW w:type="dxa" w:w="4500"/>
            <w:shd w:color="FDEBD0" w:val="solid"/>
            <w:vAlign w:val="center"/>
          </w:tcPr>
          <w:p>
            <w:pPr>
              <w:jc w:val="center"/>
            </w:pPr>
            <w:r>
              <w:rPr>
                <w:rFonts w:ascii="Arial" w:cs="Arial" w:eastAsia="Arial" w:hAnsi="Arial"/>
                <w:sz w:val="20"/>
                <w:szCs w:val="20"/>
              </w:rPr>
              <w:t xml:space="preserve">CV Accuracy (5-fold)</w:t>
            </w:r>
          </w:p>
        </w:tc>
        <w:tc>
          <w:tcPr>
            <w:tcW w:type="dxa" w:w="4500"/>
            <w:shd w:color="FDEBD0" w:val="solid"/>
            <w:vAlign w:val="center"/>
          </w:tcPr>
          <w:p>
            <w:pPr>
              <w:jc w:val="center"/>
            </w:pPr>
            <w:r>
              <w:rPr>
                <w:rFonts w:ascii="Arial" w:cs="Arial" w:eastAsia="Arial" w:hAnsi="Arial"/>
                <w:sz w:val="20"/>
                <w:szCs w:val="20"/>
              </w:rPr>
              <w:t xml:space="preserve">95.49% ± 4.16%</w:t>
            </w:r>
          </w:p>
        </w:tc>
      </w:tr>
    </w:tbl>
    <w:p>
      <w:pPr>
        <w:spacing w:after="200"/>
      </w:pPr>
    </w:p>
    <w:p>
      <w:pPr>
        <w:pStyle w:val="Heading1"/>
        <w:spacing w:before="360" w:after="120"/>
      </w:pPr>
      <w:r>
        <w:t xml:space="preserve">3. Per-Class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shd w:color="784212" w:val="solid"/>
            <w:vAlign w:val="center"/>
          </w:tcPr>
          <w:p>
            <w:pPr>
              <w:jc w:val="center"/>
            </w:pPr>
            <w:r>
              <w:rPr>
                <w:rFonts w:ascii="Arial" w:cs="Arial" w:eastAsia="Arial" w:hAnsi="Arial"/>
                <w:b/>
                <w:bCs/>
                <w:color w:val="FFFFFF"/>
                <w:sz w:val="20"/>
                <w:szCs w:val="20"/>
              </w:rPr>
              <w:t xml:space="preserve">Class</w:t>
            </w:r>
          </w:p>
        </w:tc>
        <w:tc>
          <w:tcPr>
            <w:tcW w:type="dxa" w:w="1800"/>
            <w:shd w:color="784212" w:val="solid"/>
            <w:vAlign w:val="center"/>
          </w:tcPr>
          <w:p>
            <w:pPr>
              <w:jc w:val="center"/>
            </w:pPr>
            <w:r>
              <w:rPr>
                <w:rFonts w:ascii="Arial" w:cs="Arial" w:eastAsia="Arial" w:hAnsi="Arial"/>
                <w:b/>
                <w:bCs/>
                <w:color w:val="FFFFFF"/>
                <w:sz w:val="20"/>
                <w:szCs w:val="20"/>
              </w:rPr>
              <w:t xml:space="preserve">Precision</w:t>
            </w:r>
          </w:p>
        </w:tc>
        <w:tc>
          <w:tcPr>
            <w:tcW w:type="dxa" w:w="1800"/>
            <w:shd w:color="784212" w:val="solid"/>
            <w:vAlign w:val="center"/>
          </w:tcPr>
          <w:p>
            <w:pPr>
              <w:jc w:val="center"/>
            </w:pPr>
            <w:r>
              <w:rPr>
                <w:rFonts w:ascii="Arial" w:cs="Arial" w:eastAsia="Arial" w:hAnsi="Arial"/>
                <w:b/>
                <w:bCs/>
                <w:color w:val="FFFFFF"/>
                <w:sz w:val="20"/>
                <w:szCs w:val="20"/>
              </w:rPr>
              <w:t xml:space="preserve">Recall</w:t>
            </w:r>
          </w:p>
        </w:tc>
        <w:tc>
          <w:tcPr>
            <w:tcW w:type="dxa" w:w="1800"/>
            <w:shd w:color="784212" w:val="solid"/>
            <w:vAlign w:val="center"/>
          </w:tcPr>
          <w:p>
            <w:pPr>
              <w:jc w:val="center"/>
            </w:pPr>
            <w:r>
              <w:rPr>
                <w:rFonts w:ascii="Arial" w:cs="Arial" w:eastAsia="Arial" w:hAnsi="Arial"/>
                <w:b/>
                <w:bCs/>
                <w:color w:val="FFFFFF"/>
                <w:sz w:val="20"/>
                <w:szCs w:val="20"/>
              </w:rPr>
              <w:t xml:space="preserve">F1-Score</w:t>
            </w:r>
          </w:p>
        </w:tc>
        <w:tc>
          <w:tcPr>
            <w:tcW w:type="dxa" w:w="1600"/>
            <w:shd w:color="784212" w:val="solid"/>
            <w:vAlign w:val="center"/>
          </w:tcPr>
          <w:p>
            <w:pPr>
              <w:jc w:val="center"/>
            </w:pPr>
            <w:r>
              <w:rPr>
                <w:rFonts w:ascii="Arial" w:cs="Arial" w:eastAsia="Arial" w:hAnsi="Arial"/>
                <w:b/>
                <w:bCs/>
                <w:color w:val="FFFFFF"/>
                <w:sz w:val="20"/>
                <w:szCs w:val="20"/>
              </w:rPr>
              <w:t xml:space="preserve">Support</w:t>
            </w:r>
          </w:p>
        </w:tc>
      </w:tr>
      <w:tr>
        <w:tc>
          <w:tcPr>
            <w:tcW w:type="dxa" w:w="2000"/>
            <w:shd w:color="FDEBD0" w:val="solid"/>
            <w:vAlign w:val="center"/>
          </w:tcPr>
          <w:p>
            <w:pPr>
              <w:jc w:val="center"/>
            </w:pPr>
            <w:r>
              <w:rPr>
                <w:rFonts w:ascii="Arial" w:cs="Arial" w:eastAsia="Arial" w:hAnsi="Arial"/>
                <w:sz w:val="20"/>
                <w:szCs w:val="20"/>
              </w:rPr>
              <w:t xml:space="preserve">Low</w:t>
            </w:r>
          </w:p>
        </w:tc>
        <w:tc>
          <w:tcPr>
            <w:tcW w:type="dxa" w:w="1800"/>
            <w:shd w:color="FDEBD0" w:val="solid"/>
            <w:vAlign w:val="center"/>
          </w:tcPr>
          <w:p>
            <w:pPr>
              <w:jc w:val="center"/>
            </w:pPr>
            <w:r>
              <w:rPr>
                <w:rFonts w:ascii="Arial" w:cs="Arial" w:eastAsia="Arial" w:hAnsi="Arial"/>
                <w:sz w:val="20"/>
                <w:szCs w:val="20"/>
              </w:rPr>
              <w:t xml:space="preserve">1.00</w:t>
            </w:r>
          </w:p>
        </w:tc>
        <w:tc>
          <w:tcPr>
            <w:tcW w:type="dxa" w:w="1800"/>
            <w:shd w:color="FDEBD0" w:val="solid"/>
            <w:vAlign w:val="center"/>
          </w:tcPr>
          <w:p>
            <w:pPr>
              <w:jc w:val="center"/>
            </w:pPr>
            <w:r>
              <w:rPr>
                <w:rFonts w:ascii="Arial" w:cs="Arial" w:eastAsia="Arial" w:hAnsi="Arial"/>
                <w:sz w:val="20"/>
                <w:szCs w:val="20"/>
              </w:rPr>
              <w:t xml:space="preserve">1.00</w:t>
            </w:r>
          </w:p>
        </w:tc>
        <w:tc>
          <w:tcPr>
            <w:tcW w:type="dxa" w:w="1800"/>
            <w:shd w:color="FDEBD0" w:val="solid"/>
            <w:vAlign w:val="center"/>
          </w:tcPr>
          <w:p>
            <w:pPr>
              <w:jc w:val="center"/>
            </w:pPr>
            <w:r>
              <w:rPr>
                <w:rFonts w:ascii="Arial" w:cs="Arial" w:eastAsia="Arial" w:hAnsi="Arial"/>
                <w:sz w:val="20"/>
                <w:szCs w:val="20"/>
              </w:rPr>
              <w:t xml:space="preserve">1.00</w:t>
            </w:r>
          </w:p>
        </w:tc>
        <w:tc>
          <w:tcPr>
            <w:tcW w:type="dxa" w:w="1600"/>
            <w:shd w:color="FDEBD0" w:val="solid"/>
            <w:vAlign w:val="center"/>
          </w:tcPr>
          <w:p>
            <w:pPr>
              <w:jc w:val="center"/>
            </w:pPr>
            <w:r>
              <w:rPr>
                <w:rFonts w:ascii="Arial" w:cs="Arial" w:eastAsia="Arial" w:hAnsi="Arial"/>
                <w:sz w:val="20"/>
                <w:szCs w:val="20"/>
              </w:rPr>
              <w:t xml:space="preserve">21</w:t>
            </w:r>
          </w:p>
        </w:tc>
      </w:tr>
      <w:tr>
        <w:tc>
          <w:tcPr>
            <w:tcW w:type="dxa" w:w="2000"/>
            <w:vAlign w:val="center"/>
          </w:tcPr>
          <w:p>
            <w:pPr>
              <w:jc w:val="center"/>
            </w:pPr>
            <w:r>
              <w:rPr>
                <w:rFonts w:ascii="Arial" w:cs="Arial" w:eastAsia="Arial" w:hAnsi="Arial"/>
                <w:sz w:val="20"/>
                <w:szCs w:val="20"/>
              </w:rPr>
              <w:t xml:space="preserve">Moderate</w:t>
            </w:r>
          </w:p>
        </w:tc>
        <w:tc>
          <w:tcPr>
            <w:tcW w:type="dxa" w:w="1800"/>
            <w:vAlign w:val="center"/>
          </w:tcPr>
          <w:p>
            <w:pPr>
              <w:jc w:val="center"/>
            </w:pPr>
            <w:r>
              <w:rPr>
                <w:rFonts w:ascii="Arial" w:cs="Arial" w:eastAsia="Arial" w:hAnsi="Arial"/>
                <w:sz w:val="20"/>
                <w:szCs w:val="20"/>
              </w:rPr>
              <w:t xml:space="preserve">0.94</w:t>
            </w:r>
          </w:p>
        </w:tc>
        <w:tc>
          <w:tcPr>
            <w:tcW w:type="dxa" w:w="1800"/>
            <w:vAlign w:val="center"/>
          </w:tcPr>
          <w:p>
            <w:pPr>
              <w:jc w:val="center"/>
            </w:pPr>
            <w:r>
              <w:rPr>
                <w:rFonts w:ascii="Arial" w:cs="Arial" w:eastAsia="Arial" w:hAnsi="Arial"/>
                <w:sz w:val="20"/>
                <w:szCs w:val="20"/>
              </w:rPr>
              <w:t xml:space="preserve">0.89</w:t>
            </w:r>
          </w:p>
        </w:tc>
        <w:tc>
          <w:tcPr>
            <w:tcW w:type="dxa" w:w="1800"/>
            <w:vAlign w:val="center"/>
          </w:tcPr>
          <w:p>
            <w:pPr>
              <w:jc w:val="center"/>
            </w:pPr>
            <w:r>
              <w:rPr>
                <w:rFonts w:ascii="Arial" w:cs="Arial" w:eastAsia="Arial" w:hAnsi="Arial"/>
                <w:sz w:val="20"/>
                <w:szCs w:val="20"/>
              </w:rPr>
              <w:t xml:space="preserve">0.91</w:t>
            </w:r>
          </w:p>
        </w:tc>
        <w:tc>
          <w:tcPr>
            <w:tcW w:type="dxa" w:w="1600"/>
            <w:vAlign w:val="center"/>
          </w:tcPr>
          <w:p>
            <w:pPr>
              <w:jc w:val="center"/>
            </w:pPr>
            <w:r>
              <w:rPr>
                <w:rFonts w:ascii="Arial" w:cs="Arial" w:eastAsia="Arial" w:hAnsi="Arial"/>
                <w:sz w:val="20"/>
                <w:szCs w:val="20"/>
              </w:rPr>
              <w:t xml:space="preserve">18</w:t>
            </w:r>
          </w:p>
        </w:tc>
      </w:tr>
      <w:tr>
        <w:tc>
          <w:tcPr>
            <w:tcW w:type="dxa" w:w="2000"/>
            <w:shd w:color="FDEBD0" w:val="solid"/>
            <w:vAlign w:val="center"/>
          </w:tcPr>
          <w:p>
            <w:pPr>
              <w:jc w:val="center"/>
            </w:pPr>
            <w:r>
              <w:rPr>
                <w:rFonts w:ascii="Arial" w:cs="Arial" w:eastAsia="Arial" w:hAnsi="Arial"/>
                <w:sz w:val="20"/>
                <w:szCs w:val="20"/>
              </w:rPr>
              <w:t xml:space="preserve">Severe</w:t>
            </w:r>
          </w:p>
        </w:tc>
        <w:tc>
          <w:tcPr>
            <w:tcW w:type="dxa" w:w="1800"/>
            <w:shd w:color="FDEBD0" w:val="solid"/>
            <w:vAlign w:val="center"/>
          </w:tcPr>
          <w:p>
            <w:pPr>
              <w:jc w:val="center"/>
            </w:pPr>
            <w:r>
              <w:rPr>
                <w:rFonts w:ascii="Arial" w:cs="Arial" w:eastAsia="Arial" w:hAnsi="Arial"/>
                <w:sz w:val="20"/>
                <w:szCs w:val="20"/>
              </w:rPr>
              <w:t xml:space="preserve">0.82</w:t>
            </w:r>
          </w:p>
        </w:tc>
        <w:tc>
          <w:tcPr>
            <w:tcW w:type="dxa" w:w="1800"/>
            <w:shd w:color="FDEBD0" w:val="solid"/>
            <w:vAlign w:val="center"/>
          </w:tcPr>
          <w:p>
            <w:pPr>
              <w:jc w:val="center"/>
            </w:pPr>
            <w:r>
              <w:rPr>
                <w:rFonts w:ascii="Arial" w:cs="Arial" w:eastAsia="Arial" w:hAnsi="Arial"/>
                <w:sz w:val="20"/>
                <w:szCs w:val="20"/>
              </w:rPr>
              <w:t xml:space="preserve">0.90</w:t>
            </w:r>
          </w:p>
        </w:tc>
        <w:tc>
          <w:tcPr>
            <w:tcW w:type="dxa" w:w="1800"/>
            <w:shd w:color="FDEBD0" w:val="solid"/>
            <w:vAlign w:val="center"/>
          </w:tcPr>
          <w:p>
            <w:pPr>
              <w:jc w:val="center"/>
            </w:pPr>
            <w:r>
              <w:rPr>
                <w:rFonts w:ascii="Arial" w:cs="Arial" w:eastAsia="Arial" w:hAnsi="Arial"/>
                <w:sz w:val="20"/>
                <w:szCs w:val="20"/>
              </w:rPr>
              <w:t xml:space="preserve">0.86</w:t>
            </w:r>
          </w:p>
        </w:tc>
        <w:tc>
          <w:tcPr>
            <w:tcW w:type="dxa" w:w="1600"/>
            <w:shd w:color="FDEBD0" w:val="solid"/>
            <w:vAlign w:val="center"/>
          </w:tcPr>
          <w:p>
            <w:pPr>
              <w:jc w:val="center"/>
            </w:pPr>
            <w:r>
              <w:rPr>
                <w:rFonts w:ascii="Arial" w:cs="Arial" w:eastAsia="Arial" w:hAnsi="Arial"/>
                <w:sz w:val="20"/>
                <w:szCs w:val="20"/>
              </w:rPr>
              <w:t xml:space="preserve">10</w:t>
            </w:r>
          </w:p>
        </w:tc>
      </w:tr>
    </w:tbl>
    <w:p>
      <w:pPr>
        <w:spacing w:after="120"/>
      </w:pPr>
    </w:p>
    <w:p>
      <w:pPr>
        <w:spacing w:after="120"/>
      </w:pPr>
      <w:r>
        <w:rPr>
          <w:rFonts w:ascii="Arial" w:cs="Arial" w:eastAsia="Arial" w:hAnsi="Arial"/>
          <w:sz w:val="22"/>
          <w:szCs w:val="22"/>
        </w:rPr>
        <w:t xml:space="preserve">The model excels at all three classes. Notably, Severe class recall is 0.90 — meaning 9 out of 10 actual Severe fire risks are correctly detected. Only 1 Severe case was misclassified as Moderate, making this model reliable for critical fire risk detection.</w:t>
      </w:r>
    </w:p>
    <w:p>
      <w:pPr>
        <w:pStyle w:val="Heading1"/>
        <w:spacing w:before="360" w:after="120"/>
      </w:pPr>
      <w:r>
        <w:t xml:space="preserve">4. Evaluation Dashboard</w:t>
      </w:r>
    </w:p>
    <w:p>
      <w:pPr>
        <w:spacing w:after="100"/>
        <w:jc w:val="center"/>
      </w:pPr>
      <w:r>
        <w:drawing>
          <wp:inline distT="0" distB="0" distL="0" distR="0">
            <wp:extent cx="628650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286500" cy="4857750"/>
                    </a:xfrm>
                    <a:prstGeom prst="rect">
                      <a:avLst/>
                    </a:prstGeom>
                  </pic:spPr>
                </pic:pic>
              </a:graphicData>
            </a:graphic>
          </wp:inline>
        </w:drawing>
      </w:r>
    </w:p>
    <w:p>
      <w:pPr>
        <w:spacing w:after="120"/>
      </w:pPr>
      <w:r>
        <w:rPr>
          <w:rFonts w:ascii="Arial" w:cs="Arial" w:eastAsia="Arial" w:hAnsi="Arial"/>
          <w:i/>
          <w:iCs/>
          <w:color w:val="666666"/>
          <w:sz w:val="22"/>
          <w:szCs w:val="22"/>
        </w:rPr>
        <w:t xml:space="preserve">Figure 1: Random Forest evaluation — Confusion Matrix, ROC Curves (OvR), Per-Class F1, and Feature Importance.</w:t>
      </w:r>
    </w:p>
    <w:p>
      <w:r>
        <w:br w:type="page"/>
      </w:r>
    </w:p>
    <w:p>
      <w:pPr>
        <w:pStyle w:val="Heading1"/>
        <w:spacing w:before="360" w:after="120"/>
      </w:pPr>
      <w:r>
        <w:t xml:space="preserve">5. Cross-Validation Results</w:t>
      </w:r>
    </w:p>
    <w:p>
      <w:pPr>
        <w:spacing w:after="10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62250"/>
                    </a:xfrm>
                    <a:prstGeom prst="rect">
                      <a:avLst/>
                    </a:prstGeom>
                  </pic:spPr>
                </pic:pic>
              </a:graphicData>
            </a:graphic>
          </wp:inline>
        </w:drawing>
      </w:r>
    </w:p>
    <w:p>
      <w:pPr>
        <w:spacing w:after="120"/>
      </w:pPr>
      <w:r>
        <w:rPr>
          <w:rFonts w:ascii="Arial" w:cs="Arial" w:eastAsia="Arial" w:hAnsi="Arial"/>
          <w:i/>
          <w:iCs/>
          <w:color w:val="666666"/>
          <w:sz w:val="22"/>
          <w:szCs w:val="22"/>
        </w:rPr>
        <w:t xml:space="preserve">Figure 2: 5-Fold Cross-Validation accuracy per fold. Mean = 95.49%, Std Dev = ±4.16%.</w:t>
      </w:r>
    </w:p>
    <w:p>
      <w:pPr>
        <w:spacing w:after="120"/>
      </w:pPr>
    </w:p>
    <w:p>
      <w:pPr>
        <w:spacing w:after="120"/>
      </w:pPr>
      <w:r>
        <w:rPr>
          <w:rFonts w:ascii="Arial" w:cs="Arial" w:eastAsia="Arial" w:hAnsi="Arial"/>
          <w:sz w:val="22"/>
          <w:szCs w:val="22"/>
        </w:rPr>
        <w:t xml:space="preserve">The low standard deviation (±4.16%) confirms that Random Forest generalizes consistently across all data splits. This stability comes from averaging 200 trees — individual errors cancel each other out.</w:t>
      </w:r>
    </w:p>
    <w:p>
      <w:pPr>
        <w:pStyle w:val="Heading1"/>
        <w:spacing w:before="360" w:after="120"/>
      </w:pPr>
      <w:r>
        <w:t xml:space="preserve">6. Feature Importance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color="784212" w:val="solid"/>
            <w:vAlign w:val="center"/>
          </w:tcPr>
          <w:p>
            <w:pPr>
              <w:jc w:val="center"/>
            </w:pPr>
            <w:r>
              <w:rPr>
                <w:rFonts w:ascii="Arial" w:cs="Arial" w:eastAsia="Arial" w:hAnsi="Arial"/>
                <w:b/>
                <w:bCs/>
                <w:color w:val="FFFFFF"/>
                <w:sz w:val="20"/>
                <w:szCs w:val="20"/>
              </w:rPr>
              <w:t xml:space="preserve">Rank</w:t>
            </w:r>
          </w:p>
        </w:tc>
        <w:tc>
          <w:tcPr>
            <w:tcW w:type="dxa" w:w="3200"/>
            <w:shd w:color="784212" w:val="solid"/>
            <w:vAlign w:val="center"/>
          </w:tcPr>
          <w:p>
            <w:pPr>
              <w:jc w:val="center"/>
            </w:pPr>
            <w:r>
              <w:rPr>
                <w:rFonts w:ascii="Arial" w:cs="Arial" w:eastAsia="Arial" w:hAnsi="Arial"/>
                <w:b/>
                <w:bCs/>
                <w:color w:val="FFFFFF"/>
                <w:sz w:val="20"/>
                <w:szCs w:val="20"/>
              </w:rPr>
              <w:t xml:space="preserve">Feature</w:t>
            </w:r>
          </w:p>
        </w:tc>
        <w:tc>
          <w:tcPr>
            <w:tcW w:type="dxa" w:w="1700"/>
            <w:shd w:color="784212" w:val="solid"/>
            <w:vAlign w:val="center"/>
          </w:tcPr>
          <w:p>
            <w:pPr>
              <w:jc w:val="center"/>
            </w:pPr>
            <w:r>
              <w:rPr>
                <w:rFonts w:ascii="Arial" w:cs="Arial" w:eastAsia="Arial" w:hAnsi="Arial"/>
                <w:b/>
                <w:bCs/>
                <w:color w:val="FFFFFF"/>
                <w:sz w:val="20"/>
                <w:szCs w:val="20"/>
              </w:rPr>
              <w:t xml:space="preserve">Importance</w:t>
            </w:r>
          </w:p>
        </w:tc>
        <w:tc>
          <w:tcPr>
            <w:tcW w:type="dxa" w:w="2400"/>
            <w:shd w:color="784212" w:val="solid"/>
            <w:vAlign w:val="center"/>
          </w:tcPr>
          <w:p>
            <w:pPr>
              <w:jc w:val="center"/>
            </w:pPr>
            <w:r>
              <w:rPr>
                <w:rFonts w:ascii="Arial" w:cs="Arial" w:eastAsia="Arial" w:hAnsi="Arial"/>
                <w:b/>
                <w:bCs/>
                <w:color w:val="FFFFFF"/>
                <w:sz w:val="20"/>
                <w:szCs w:val="20"/>
              </w:rPr>
              <w:t xml:space="preserve">Category</w:t>
            </w:r>
          </w:p>
        </w:tc>
      </w:tr>
      <w:tr>
        <w:tc>
          <w:tcPr>
            <w:tcW w:type="dxa" w:w="700"/>
            <w:shd w:color="FDEBD0" w:val="solid"/>
            <w:vAlign w:val="center"/>
          </w:tcPr>
          <w:p>
            <w:pPr>
              <w:jc w:val="center"/>
            </w:pPr>
            <w:r>
              <w:rPr>
                <w:rFonts w:ascii="Arial" w:cs="Arial" w:eastAsia="Arial" w:hAnsi="Arial"/>
                <w:sz w:val="20"/>
                <w:szCs w:val="20"/>
              </w:rPr>
              <w:t xml:space="preserve">1</w:t>
            </w:r>
          </w:p>
        </w:tc>
        <w:tc>
          <w:tcPr>
            <w:tcW w:type="dxa" w:w="3200"/>
            <w:shd w:color="FDEBD0" w:val="solid"/>
            <w:vAlign w:val="center"/>
          </w:tcPr>
          <w:p>
            <w:pPr>
              <w:jc w:val="center"/>
            </w:pPr>
            <w:r>
              <w:rPr>
                <w:rFonts w:ascii="Arial" w:cs="Arial" w:eastAsia="Arial" w:hAnsi="Arial"/>
                <w:sz w:val="20"/>
                <w:szCs w:val="20"/>
              </w:rPr>
              <w:t xml:space="preserve">ISI (Initial Spread Index)</w:t>
            </w:r>
          </w:p>
        </w:tc>
        <w:tc>
          <w:tcPr>
            <w:tcW w:type="dxa" w:w="1700"/>
            <w:shd w:color="FDEBD0" w:val="solid"/>
            <w:vAlign w:val="center"/>
          </w:tcPr>
          <w:p>
            <w:pPr>
              <w:jc w:val="center"/>
            </w:pPr>
            <w:r>
              <w:rPr>
                <w:rFonts w:ascii="Arial" w:cs="Arial" w:eastAsia="Arial" w:hAnsi="Arial"/>
                <w:sz w:val="20"/>
                <w:szCs w:val="20"/>
              </w:rPr>
              <w:t xml:space="preserve">25.76%</w:t>
            </w:r>
          </w:p>
        </w:tc>
        <w:tc>
          <w:tcPr>
            <w:tcW w:type="dxa" w:w="2400"/>
            <w:shd w:color="FDEBD0" w:val="solid"/>
            <w:vAlign w:val="center"/>
          </w:tcPr>
          <w:p>
            <w:pPr>
              <w:jc w:val="center"/>
            </w:pPr>
            <w:r>
              <w:rPr>
                <w:rFonts w:ascii="Arial" w:cs="Arial" w:eastAsia="Arial" w:hAnsi="Arial"/>
                <w:sz w:val="20"/>
                <w:szCs w:val="20"/>
              </w:rPr>
              <w:t xml:space="preserve">FWI Component</w:t>
            </w:r>
          </w:p>
        </w:tc>
      </w:tr>
      <w:tr>
        <w:tc>
          <w:tcPr>
            <w:tcW w:type="dxa" w:w="700"/>
            <w:vAlign w:val="center"/>
          </w:tcPr>
          <w:p>
            <w:pPr>
              <w:jc w:val="center"/>
            </w:pPr>
            <w:r>
              <w:rPr>
                <w:rFonts w:ascii="Arial" w:cs="Arial" w:eastAsia="Arial" w:hAnsi="Arial"/>
                <w:sz w:val="20"/>
                <w:szCs w:val="20"/>
              </w:rPr>
              <w:t xml:space="preserve">2</w:t>
            </w:r>
          </w:p>
        </w:tc>
        <w:tc>
          <w:tcPr>
            <w:tcW w:type="dxa" w:w="3200"/>
            <w:vAlign w:val="center"/>
          </w:tcPr>
          <w:p>
            <w:pPr>
              <w:jc w:val="center"/>
            </w:pPr>
            <w:r>
              <w:rPr>
                <w:rFonts w:ascii="Arial" w:cs="Arial" w:eastAsia="Arial" w:hAnsi="Arial"/>
                <w:sz w:val="20"/>
                <w:szCs w:val="20"/>
              </w:rPr>
              <w:t xml:space="preserve">FFMC (Fine Fuel Moisture Code)</w:t>
            </w:r>
          </w:p>
        </w:tc>
        <w:tc>
          <w:tcPr>
            <w:tcW w:type="dxa" w:w="1700"/>
            <w:vAlign w:val="center"/>
          </w:tcPr>
          <w:p>
            <w:pPr>
              <w:jc w:val="center"/>
            </w:pPr>
            <w:r>
              <w:rPr>
                <w:rFonts w:ascii="Arial" w:cs="Arial" w:eastAsia="Arial" w:hAnsi="Arial"/>
                <w:sz w:val="20"/>
                <w:szCs w:val="20"/>
              </w:rPr>
              <w:t xml:space="preserve">24.33%</w:t>
            </w:r>
          </w:p>
        </w:tc>
        <w:tc>
          <w:tcPr>
            <w:tcW w:type="dxa" w:w="2400"/>
            <w:vAlign w:val="center"/>
          </w:tcPr>
          <w:p>
            <w:pPr>
              <w:jc w:val="center"/>
            </w:pPr>
            <w:r>
              <w:rPr>
                <w:rFonts w:ascii="Arial" w:cs="Arial" w:eastAsia="Arial" w:hAnsi="Arial"/>
                <w:sz w:val="20"/>
                <w:szCs w:val="20"/>
              </w:rPr>
              <w:t xml:space="preserve">FWI Component</w:t>
            </w:r>
          </w:p>
        </w:tc>
      </w:tr>
      <w:tr>
        <w:tc>
          <w:tcPr>
            <w:tcW w:type="dxa" w:w="700"/>
            <w:shd w:color="FDEBD0" w:val="solid"/>
            <w:vAlign w:val="center"/>
          </w:tcPr>
          <w:p>
            <w:pPr>
              <w:jc w:val="center"/>
            </w:pPr>
            <w:r>
              <w:rPr>
                <w:rFonts w:ascii="Arial" w:cs="Arial" w:eastAsia="Arial" w:hAnsi="Arial"/>
                <w:sz w:val="20"/>
                <w:szCs w:val="20"/>
              </w:rPr>
              <w:t xml:space="preserve">3</w:t>
            </w:r>
          </w:p>
        </w:tc>
        <w:tc>
          <w:tcPr>
            <w:tcW w:type="dxa" w:w="3200"/>
            <w:shd w:color="FDEBD0" w:val="solid"/>
            <w:vAlign w:val="center"/>
          </w:tcPr>
          <w:p>
            <w:pPr>
              <w:jc w:val="center"/>
            </w:pPr>
            <w:r>
              <w:rPr>
                <w:rFonts w:ascii="Arial" w:cs="Arial" w:eastAsia="Arial" w:hAnsi="Arial"/>
                <w:sz w:val="20"/>
                <w:szCs w:val="20"/>
              </w:rPr>
              <w:t xml:space="preserve">DMC (Duff Moisture Code)</w:t>
            </w:r>
          </w:p>
        </w:tc>
        <w:tc>
          <w:tcPr>
            <w:tcW w:type="dxa" w:w="1700"/>
            <w:shd w:color="FDEBD0" w:val="solid"/>
            <w:vAlign w:val="center"/>
          </w:tcPr>
          <w:p>
            <w:pPr>
              <w:jc w:val="center"/>
            </w:pPr>
            <w:r>
              <w:rPr>
                <w:rFonts w:ascii="Arial" w:cs="Arial" w:eastAsia="Arial" w:hAnsi="Arial"/>
                <w:sz w:val="20"/>
                <w:szCs w:val="20"/>
              </w:rPr>
              <w:t xml:space="preserve">12.65%</w:t>
            </w:r>
          </w:p>
        </w:tc>
        <w:tc>
          <w:tcPr>
            <w:tcW w:type="dxa" w:w="2400"/>
            <w:shd w:color="FDEBD0" w:val="solid"/>
            <w:vAlign w:val="center"/>
          </w:tcPr>
          <w:p>
            <w:pPr>
              <w:jc w:val="center"/>
            </w:pPr>
            <w:r>
              <w:rPr>
                <w:rFonts w:ascii="Arial" w:cs="Arial" w:eastAsia="Arial" w:hAnsi="Arial"/>
                <w:sz w:val="20"/>
                <w:szCs w:val="20"/>
              </w:rPr>
              <w:t xml:space="preserve">FWI Component</w:t>
            </w:r>
          </w:p>
        </w:tc>
      </w:tr>
      <w:tr>
        <w:tc>
          <w:tcPr>
            <w:tcW w:type="dxa" w:w="700"/>
            <w:vAlign w:val="center"/>
          </w:tcPr>
          <w:p>
            <w:pPr>
              <w:jc w:val="center"/>
            </w:pPr>
            <w:r>
              <w:rPr>
                <w:rFonts w:ascii="Arial" w:cs="Arial" w:eastAsia="Arial" w:hAnsi="Arial"/>
                <w:sz w:val="20"/>
                <w:szCs w:val="20"/>
              </w:rPr>
              <w:t xml:space="preserve">4</w:t>
            </w:r>
          </w:p>
        </w:tc>
        <w:tc>
          <w:tcPr>
            <w:tcW w:type="dxa" w:w="3200"/>
            <w:vAlign w:val="center"/>
          </w:tcPr>
          <w:p>
            <w:pPr>
              <w:jc w:val="center"/>
            </w:pPr>
            <w:r>
              <w:rPr>
                <w:rFonts w:ascii="Arial" w:cs="Arial" w:eastAsia="Arial" w:hAnsi="Arial"/>
                <w:sz w:val="20"/>
                <w:szCs w:val="20"/>
              </w:rPr>
              <w:t xml:space="preserve">BUI (Buildup Index)</w:t>
            </w:r>
          </w:p>
        </w:tc>
        <w:tc>
          <w:tcPr>
            <w:tcW w:type="dxa" w:w="1700"/>
            <w:vAlign w:val="center"/>
          </w:tcPr>
          <w:p>
            <w:pPr>
              <w:jc w:val="center"/>
            </w:pPr>
            <w:r>
              <w:rPr>
                <w:rFonts w:ascii="Arial" w:cs="Arial" w:eastAsia="Arial" w:hAnsi="Arial"/>
                <w:sz w:val="20"/>
                <w:szCs w:val="20"/>
              </w:rPr>
              <w:t xml:space="preserve">12.06%</w:t>
            </w:r>
          </w:p>
        </w:tc>
        <w:tc>
          <w:tcPr>
            <w:tcW w:type="dxa" w:w="2400"/>
            <w:vAlign w:val="center"/>
          </w:tcPr>
          <w:p>
            <w:pPr>
              <w:jc w:val="center"/>
            </w:pPr>
            <w:r>
              <w:rPr>
                <w:rFonts w:ascii="Arial" w:cs="Arial" w:eastAsia="Arial" w:hAnsi="Arial"/>
                <w:sz w:val="20"/>
                <w:szCs w:val="20"/>
              </w:rPr>
              <w:t xml:space="preserve">FWI Component</w:t>
            </w:r>
          </w:p>
        </w:tc>
      </w:tr>
      <w:tr>
        <w:tc>
          <w:tcPr>
            <w:tcW w:type="dxa" w:w="700"/>
            <w:shd w:color="FDEBD0" w:val="solid"/>
            <w:vAlign w:val="center"/>
          </w:tcPr>
          <w:p>
            <w:pPr>
              <w:jc w:val="center"/>
            </w:pPr>
            <w:r>
              <w:rPr>
                <w:rFonts w:ascii="Arial" w:cs="Arial" w:eastAsia="Arial" w:hAnsi="Arial"/>
                <w:sz w:val="20"/>
                <w:szCs w:val="20"/>
              </w:rPr>
              <w:t xml:space="preserve">5</w:t>
            </w:r>
          </w:p>
        </w:tc>
        <w:tc>
          <w:tcPr>
            <w:tcW w:type="dxa" w:w="3200"/>
            <w:shd w:color="FDEBD0" w:val="solid"/>
            <w:vAlign w:val="center"/>
          </w:tcPr>
          <w:p>
            <w:pPr>
              <w:jc w:val="center"/>
            </w:pPr>
            <w:r>
              <w:rPr>
                <w:rFonts w:ascii="Arial" w:cs="Arial" w:eastAsia="Arial" w:hAnsi="Arial"/>
                <w:sz w:val="20"/>
                <w:szCs w:val="20"/>
              </w:rPr>
              <w:t xml:space="preserve">DC (Drought Code)</w:t>
            </w:r>
          </w:p>
        </w:tc>
        <w:tc>
          <w:tcPr>
            <w:tcW w:type="dxa" w:w="1700"/>
            <w:shd w:color="FDEBD0" w:val="solid"/>
            <w:vAlign w:val="center"/>
          </w:tcPr>
          <w:p>
            <w:pPr>
              <w:jc w:val="center"/>
            </w:pPr>
            <w:r>
              <w:rPr>
                <w:rFonts w:ascii="Arial" w:cs="Arial" w:eastAsia="Arial" w:hAnsi="Arial"/>
                <w:sz w:val="20"/>
                <w:szCs w:val="20"/>
              </w:rPr>
              <w:t xml:space="preserve">9.33%</w:t>
            </w:r>
          </w:p>
        </w:tc>
        <w:tc>
          <w:tcPr>
            <w:tcW w:type="dxa" w:w="2400"/>
            <w:shd w:color="FDEBD0" w:val="solid"/>
            <w:vAlign w:val="center"/>
          </w:tcPr>
          <w:p>
            <w:pPr>
              <w:jc w:val="center"/>
            </w:pPr>
            <w:r>
              <w:rPr>
                <w:rFonts w:ascii="Arial" w:cs="Arial" w:eastAsia="Arial" w:hAnsi="Arial"/>
                <w:sz w:val="20"/>
                <w:szCs w:val="20"/>
              </w:rPr>
              <w:t xml:space="preserve">FWI Component</w:t>
            </w:r>
          </w:p>
        </w:tc>
      </w:tr>
      <w:tr>
        <w:tc>
          <w:tcPr>
            <w:tcW w:type="dxa" w:w="700"/>
            <w:vAlign w:val="center"/>
          </w:tcPr>
          <w:p>
            <w:pPr>
              <w:jc w:val="center"/>
            </w:pPr>
            <w:r>
              <w:rPr>
                <w:rFonts w:ascii="Arial" w:cs="Arial" w:eastAsia="Arial" w:hAnsi="Arial"/>
                <w:sz w:val="20"/>
                <w:szCs w:val="20"/>
              </w:rPr>
              <w:t xml:space="preserve">6</w:t>
            </w:r>
          </w:p>
        </w:tc>
        <w:tc>
          <w:tcPr>
            <w:tcW w:type="dxa" w:w="3200"/>
            <w:vAlign w:val="center"/>
          </w:tcPr>
          <w:p>
            <w:pPr>
              <w:jc w:val="center"/>
            </w:pPr>
            <w:r>
              <w:rPr>
                <w:rFonts w:ascii="Arial" w:cs="Arial" w:eastAsia="Arial" w:hAnsi="Arial"/>
                <w:sz w:val="20"/>
                <w:szCs w:val="20"/>
              </w:rPr>
              <w:t xml:space="preserve">Heat_Index</w:t>
            </w:r>
          </w:p>
        </w:tc>
        <w:tc>
          <w:tcPr>
            <w:tcW w:type="dxa" w:w="1700"/>
            <w:vAlign w:val="center"/>
          </w:tcPr>
          <w:p>
            <w:pPr>
              <w:jc w:val="center"/>
            </w:pPr>
            <w:r>
              <w:rPr>
                <w:rFonts w:ascii="Arial" w:cs="Arial" w:eastAsia="Arial" w:hAnsi="Arial"/>
                <w:sz w:val="20"/>
                <w:szCs w:val="20"/>
              </w:rPr>
              <w:t xml:space="preserve">3.47%</w:t>
            </w:r>
          </w:p>
        </w:tc>
        <w:tc>
          <w:tcPr>
            <w:tcW w:type="dxa" w:w="2400"/>
            <w:vAlign w:val="center"/>
          </w:tcPr>
          <w:p>
            <w:pPr>
              <w:jc w:val="center"/>
            </w:pPr>
            <w:r>
              <w:rPr>
                <w:rFonts w:ascii="Arial" w:cs="Arial" w:eastAsia="Arial" w:hAnsi="Arial"/>
                <w:sz w:val="20"/>
                <w:szCs w:val="20"/>
              </w:rPr>
              <w:t xml:space="preserve">Engineered</w:t>
            </w:r>
          </w:p>
        </w:tc>
      </w:tr>
      <w:tr>
        <w:tc>
          <w:tcPr>
            <w:tcW w:type="dxa" w:w="700"/>
            <w:shd w:color="FDEBD0" w:val="solid"/>
            <w:vAlign w:val="center"/>
          </w:tcPr>
          <w:p>
            <w:pPr>
              <w:jc w:val="center"/>
            </w:pPr>
            <w:r>
              <w:rPr>
                <w:rFonts w:ascii="Arial" w:cs="Arial" w:eastAsia="Arial" w:hAnsi="Arial"/>
                <w:sz w:val="20"/>
                <w:szCs w:val="20"/>
              </w:rPr>
              <w:t xml:space="preserve">7</w:t>
            </w:r>
          </w:p>
        </w:tc>
        <w:tc>
          <w:tcPr>
            <w:tcW w:type="dxa" w:w="3200"/>
            <w:shd w:color="FDEBD0" w:val="solid"/>
            <w:vAlign w:val="center"/>
          </w:tcPr>
          <w:p>
            <w:pPr>
              <w:jc w:val="center"/>
            </w:pPr>
            <w:r>
              <w:rPr>
                <w:rFonts w:ascii="Arial" w:cs="Arial" w:eastAsia="Arial" w:hAnsi="Arial"/>
                <w:sz w:val="20"/>
                <w:szCs w:val="20"/>
              </w:rPr>
              <w:t xml:space="preserve">Rain</w:t>
            </w:r>
          </w:p>
        </w:tc>
        <w:tc>
          <w:tcPr>
            <w:tcW w:type="dxa" w:w="1700"/>
            <w:shd w:color="FDEBD0" w:val="solid"/>
            <w:vAlign w:val="center"/>
          </w:tcPr>
          <w:p>
            <w:pPr>
              <w:jc w:val="center"/>
            </w:pPr>
            <w:r>
              <w:rPr>
                <w:rFonts w:ascii="Arial" w:cs="Arial" w:eastAsia="Arial" w:hAnsi="Arial"/>
                <w:sz w:val="20"/>
                <w:szCs w:val="20"/>
              </w:rPr>
              <w:t xml:space="preserve">3.25%</w:t>
            </w:r>
          </w:p>
        </w:tc>
        <w:tc>
          <w:tcPr>
            <w:tcW w:type="dxa" w:w="2400"/>
            <w:shd w:color="FDEBD0" w:val="solid"/>
            <w:vAlign w:val="center"/>
          </w:tcPr>
          <w:p>
            <w:pPr>
              <w:jc w:val="center"/>
            </w:pPr>
            <w:r>
              <w:rPr>
                <w:rFonts w:ascii="Arial" w:cs="Arial" w:eastAsia="Arial" w:hAnsi="Arial"/>
                <w:sz w:val="20"/>
                <w:szCs w:val="20"/>
              </w:rPr>
              <w:t xml:space="preserve">Meteorological</w:t>
            </w:r>
          </w:p>
        </w:tc>
      </w:tr>
      <w:tr>
        <w:tc>
          <w:tcPr>
            <w:tcW w:type="dxa" w:w="700"/>
            <w:vAlign w:val="center"/>
          </w:tcPr>
          <w:p>
            <w:pPr>
              <w:jc w:val="center"/>
            </w:pPr>
            <w:r>
              <w:rPr>
                <w:rFonts w:ascii="Arial" w:cs="Arial" w:eastAsia="Arial" w:hAnsi="Arial"/>
                <w:sz w:val="20"/>
                <w:szCs w:val="20"/>
              </w:rPr>
              <w:t xml:space="preserve">8</w:t>
            </w:r>
          </w:p>
        </w:tc>
        <w:tc>
          <w:tcPr>
            <w:tcW w:type="dxa" w:w="3200"/>
            <w:vAlign w:val="center"/>
          </w:tcPr>
          <w:p>
            <w:pPr>
              <w:jc w:val="center"/>
            </w:pPr>
            <w:r>
              <w:rPr>
                <w:rFonts w:ascii="Arial" w:cs="Arial" w:eastAsia="Arial" w:hAnsi="Arial"/>
                <w:sz w:val="20"/>
                <w:szCs w:val="20"/>
              </w:rPr>
              <w:t xml:space="preserve">Temperature</w:t>
            </w:r>
          </w:p>
        </w:tc>
        <w:tc>
          <w:tcPr>
            <w:tcW w:type="dxa" w:w="1700"/>
            <w:vAlign w:val="center"/>
          </w:tcPr>
          <w:p>
            <w:pPr>
              <w:jc w:val="center"/>
            </w:pPr>
            <w:r>
              <w:rPr>
                <w:rFonts w:ascii="Arial" w:cs="Arial" w:eastAsia="Arial" w:hAnsi="Arial"/>
                <w:sz w:val="20"/>
                <w:szCs w:val="20"/>
              </w:rPr>
              <w:t xml:space="preserve">2.64%</w:t>
            </w:r>
          </w:p>
        </w:tc>
        <w:tc>
          <w:tcPr>
            <w:tcW w:type="dxa" w:w="2400"/>
            <w:vAlign w:val="center"/>
          </w:tcPr>
          <w:p>
            <w:pPr>
              <w:jc w:val="center"/>
            </w:pPr>
            <w:r>
              <w:rPr>
                <w:rFonts w:ascii="Arial" w:cs="Arial" w:eastAsia="Arial" w:hAnsi="Arial"/>
                <w:sz w:val="20"/>
                <w:szCs w:val="20"/>
              </w:rPr>
              <w:t xml:space="preserve">Meteorological</w:t>
            </w:r>
          </w:p>
        </w:tc>
      </w:tr>
    </w:tbl>
    <w:p>
      <w:pPr>
        <w:spacing w:after="120"/>
      </w:pPr>
    </w:p>
    <w:p>
      <w:pPr>
        <w:spacing w:after="120"/>
      </w:pPr>
      <w:r>
        <w:rPr>
          <w:rFonts w:ascii="Arial" w:cs="Arial" w:eastAsia="Arial" w:hAnsi="Arial"/>
          <w:sz w:val="22"/>
          <w:szCs w:val="22"/>
        </w:rPr>
        <w:t xml:space="preserve">ISI and FFMC together account for ~50% of all predictive power. These are FWI system components directly tied to how fast a fire spreads and how dry the fuel is — confirming strong domain alignment with fire science.</w:t>
      </w:r>
    </w:p>
    <w:p>
      <w:pPr>
        <w:pStyle w:val="Heading1"/>
        <w:spacing w:before="360" w:after="120"/>
      </w:pPr>
      <w:r>
        <w:t xml:space="preserve">7. Confusion Matrix Analysis</w:t>
      </w:r>
    </w:p>
    <w:p>
      <w:pPr>
        <w:pStyle w:val="ListParagraph"/>
        <w:numPr>
          <w:ilvl w:val="0"/>
          <w:numId w:val="1"/>
        </w:numPr>
        <w:spacing w:after="80"/>
      </w:pPr>
      <w:r>
        <w:rPr>
          <w:rFonts w:ascii="Arial" w:cs="Arial" w:eastAsia="Arial" w:hAnsi="Arial"/>
          <w:sz w:val="22"/>
          <w:szCs w:val="22"/>
        </w:rPr>
        <w:t xml:space="preserve">Low (21/21): Perfect classification — zero errors.</w:t>
      </w:r>
    </w:p>
    <w:p>
      <w:pPr>
        <w:pStyle w:val="ListParagraph"/>
        <w:numPr>
          <w:ilvl w:val="0"/>
          <w:numId w:val="1"/>
        </w:numPr>
        <w:spacing w:after="80"/>
      </w:pPr>
      <w:r>
        <w:rPr>
          <w:rFonts w:ascii="Arial" w:cs="Arial" w:eastAsia="Arial" w:hAnsi="Arial"/>
          <w:sz w:val="22"/>
          <w:szCs w:val="22"/>
        </w:rPr>
        <w:t xml:space="preserve">Moderate (16/18): 2 samples wrongly predicted as Severe — minor over-alerting.</w:t>
      </w:r>
    </w:p>
    <w:p>
      <w:pPr>
        <w:pStyle w:val="ListParagraph"/>
        <w:numPr>
          <w:ilvl w:val="0"/>
          <w:numId w:val="1"/>
        </w:numPr>
        <w:spacing w:after="80"/>
      </w:pPr>
      <w:r>
        <w:rPr>
          <w:rFonts w:ascii="Arial" w:cs="Arial" w:eastAsia="Arial" w:hAnsi="Arial"/>
          <w:sz w:val="22"/>
          <w:szCs w:val="22"/>
        </w:rPr>
        <w:t xml:space="preserve">Severe (9/10): Only 1 sample wrongly predicted as Moderate — excellent critical class detection.</w:t>
      </w:r>
    </w:p>
    <w:p>
      <w:pPr>
        <w:spacing w:after="120"/>
      </w:pPr>
      <w:r>
        <w:rPr>
          <w:rFonts w:ascii="Arial" w:cs="Arial" w:eastAsia="Arial" w:hAnsi="Arial"/>
          <w:sz w:val="22"/>
          <w:szCs w:val="22"/>
        </w:rPr>
        <w:t xml:space="preserve">Compared to Decision Tree (3 Severe misclassified), Random Forest reduces the most critical error by 67% — a major operational improvement.</w:t>
      </w:r>
    </w:p>
    <w:p>
      <w:pPr>
        <w:pStyle w:val="Heading1"/>
        <w:spacing w:before="360" w:after="120"/>
      </w:pPr>
      <w:r>
        <w:t xml:space="preserve">8. ROC-AUC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color="784212" w:val="solid"/>
            <w:vAlign w:val="center"/>
          </w:tcPr>
          <w:p>
            <w:pPr>
              <w:jc w:val="center"/>
            </w:pPr>
            <w:r>
              <w:rPr>
                <w:rFonts w:ascii="Arial" w:cs="Arial" w:eastAsia="Arial" w:hAnsi="Arial"/>
                <w:b/>
                <w:bCs/>
                <w:color w:val="FFFFFF"/>
                <w:sz w:val="20"/>
                <w:szCs w:val="20"/>
              </w:rPr>
              <w:t xml:space="preserve">Class</w:t>
            </w:r>
          </w:p>
        </w:tc>
        <w:tc>
          <w:tcPr>
            <w:tcW w:type="dxa" w:w="2000"/>
            <w:shd w:color="784212" w:val="solid"/>
            <w:vAlign w:val="center"/>
          </w:tcPr>
          <w:p>
            <w:pPr>
              <w:jc w:val="center"/>
            </w:pPr>
            <w:r>
              <w:rPr>
                <w:rFonts w:ascii="Arial" w:cs="Arial" w:eastAsia="Arial" w:hAnsi="Arial"/>
                <w:b/>
                <w:bCs/>
                <w:color w:val="FFFFFF"/>
                <w:sz w:val="20"/>
                <w:szCs w:val="20"/>
              </w:rPr>
              <w:t xml:space="preserve">AUC Score</w:t>
            </w:r>
          </w:p>
        </w:tc>
        <w:tc>
          <w:tcPr>
            <w:tcW w:type="dxa" w:w="4500"/>
            <w:shd w:color="784212" w:val="solid"/>
            <w:vAlign w:val="center"/>
          </w:tcPr>
          <w:p>
            <w:pPr>
              <w:jc w:val="center"/>
            </w:pPr>
            <w:r>
              <w:rPr>
                <w:rFonts w:ascii="Arial" w:cs="Arial" w:eastAsia="Arial" w:hAnsi="Arial"/>
                <w:b/>
                <w:bCs/>
                <w:color w:val="FFFFFF"/>
                <w:sz w:val="20"/>
                <w:szCs w:val="20"/>
              </w:rPr>
              <w:t xml:space="preserve">Interpretation</w:t>
            </w:r>
          </w:p>
        </w:tc>
      </w:tr>
      <w:tr>
        <w:tc>
          <w:tcPr>
            <w:tcW w:type="dxa" w:w="2500"/>
            <w:shd w:color="FDEBD0" w:val="solid"/>
            <w:vAlign w:val="center"/>
          </w:tcPr>
          <w:p>
            <w:pPr>
              <w:jc w:val="center"/>
            </w:pPr>
            <w:r>
              <w:rPr>
                <w:rFonts w:ascii="Arial" w:cs="Arial" w:eastAsia="Arial" w:hAnsi="Arial"/>
                <w:sz w:val="20"/>
                <w:szCs w:val="20"/>
              </w:rPr>
              <w:t xml:space="preserve">Low</w:t>
            </w:r>
          </w:p>
        </w:tc>
        <w:tc>
          <w:tcPr>
            <w:tcW w:type="dxa" w:w="2000"/>
            <w:shd w:color="FDEBD0" w:val="solid"/>
            <w:vAlign w:val="center"/>
          </w:tcPr>
          <w:p>
            <w:pPr>
              <w:jc w:val="center"/>
            </w:pPr>
            <w:r>
              <w:rPr>
                <w:rFonts w:ascii="Arial" w:cs="Arial" w:eastAsia="Arial" w:hAnsi="Arial"/>
                <w:sz w:val="20"/>
                <w:szCs w:val="20"/>
              </w:rPr>
              <w:t xml:space="preserve">~1.00</w:t>
            </w:r>
          </w:p>
        </w:tc>
        <w:tc>
          <w:tcPr>
            <w:tcW w:type="dxa" w:w="4500"/>
            <w:shd w:color="FDEBD0" w:val="solid"/>
            <w:vAlign w:val="center"/>
          </w:tcPr>
          <w:p>
            <w:pPr>
              <w:jc w:val="center"/>
            </w:pPr>
            <w:r>
              <w:rPr>
                <w:rFonts w:ascii="Arial" w:cs="Arial" w:eastAsia="Arial" w:hAnsi="Arial"/>
                <w:sz w:val="20"/>
                <w:szCs w:val="20"/>
              </w:rPr>
              <w:t xml:space="preserve">Perfect separation</w:t>
            </w:r>
          </w:p>
        </w:tc>
      </w:tr>
      <w:tr>
        <w:tc>
          <w:tcPr>
            <w:tcW w:type="dxa" w:w="2500"/>
            <w:vAlign w:val="center"/>
          </w:tcPr>
          <w:p>
            <w:pPr>
              <w:jc w:val="center"/>
            </w:pPr>
            <w:r>
              <w:rPr>
                <w:rFonts w:ascii="Arial" w:cs="Arial" w:eastAsia="Arial" w:hAnsi="Arial"/>
                <w:sz w:val="20"/>
                <w:szCs w:val="20"/>
              </w:rPr>
              <w:t xml:space="preserve">Moderate</w:t>
            </w:r>
          </w:p>
        </w:tc>
        <w:tc>
          <w:tcPr>
            <w:tcW w:type="dxa" w:w="2000"/>
            <w:vAlign w:val="center"/>
          </w:tcPr>
          <w:p>
            <w:pPr>
              <w:jc w:val="center"/>
            </w:pPr>
            <w:r>
              <w:rPr>
                <w:rFonts w:ascii="Arial" w:cs="Arial" w:eastAsia="Arial" w:hAnsi="Arial"/>
                <w:sz w:val="20"/>
                <w:szCs w:val="20"/>
              </w:rPr>
              <w:t xml:space="preserve">~0.97</w:t>
            </w:r>
          </w:p>
        </w:tc>
        <w:tc>
          <w:tcPr>
            <w:tcW w:type="dxa" w:w="4500"/>
            <w:vAlign w:val="center"/>
          </w:tcPr>
          <w:p>
            <w:pPr>
              <w:jc w:val="center"/>
            </w:pPr>
            <w:r>
              <w:rPr>
                <w:rFonts w:ascii="Arial" w:cs="Arial" w:eastAsia="Arial" w:hAnsi="Arial"/>
                <w:sz w:val="20"/>
                <w:szCs w:val="20"/>
              </w:rPr>
              <w:t xml:space="preserve">Excellent</w:t>
            </w:r>
          </w:p>
        </w:tc>
      </w:tr>
      <w:tr>
        <w:tc>
          <w:tcPr>
            <w:tcW w:type="dxa" w:w="2500"/>
            <w:shd w:color="FDEBD0" w:val="solid"/>
            <w:vAlign w:val="center"/>
          </w:tcPr>
          <w:p>
            <w:pPr>
              <w:jc w:val="center"/>
            </w:pPr>
            <w:r>
              <w:rPr>
                <w:rFonts w:ascii="Arial" w:cs="Arial" w:eastAsia="Arial" w:hAnsi="Arial"/>
                <w:sz w:val="20"/>
                <w:szCs w:val="20"/>
              </w:rPr>
              <w:t xml:space="preserve">Severe</w:t>
            </w:r>
          </w:p>
        </w:tc>
        <w:tc>
          <w:tcPr>
            <w:tcW w:type="dxa" w:w="2000"/>
            <w:shd w:color="FDEBD0" w:val="solid"/>
            <w:vAlign w:val="center"/>
          </w:tcPr>
          <w:p>
            <w:pPr>
              <w:jc w:val="center"/>
            </w:pPr>
            <w:r>
              <w:rPr>
                <w:rFonts w:ascii="Arial" w:cs="Arial" w:eastAsia="Arial" w:hAnsi="Arial"/>
                <w:sz w:val="20"/>
                <w:szCs w:val="20"/>
              </w:rPr>
              <w:t xml:space="preserve">~0.97</w:t>
            </w:r>
          </w:p>
        </w:tc>
        <w:tc>
          <w:tcPr>
            <w:tcW w:type="dxa" w:w="4500"/>
            <w:shd w:color="FDEBD0" w:val="solid"/>
            <w:vAlign w:val="center"/>
          </w:tcPr>
          <w:p>
            <w:pPr>
              <w:jc w:val="center"/>
            </w:pPr>
            <w:r>
              <w:rPr>
                <w:rFonts w:ascii="Arial" w:cs="Arial" w:eastAsia="Arial" w:hAnsi="Arial"/>
                <w:sz w:val="20"/>
                <w:szCs w:val="20"/>
              </w:rPr>
              <w:t xml:space="preserve">Excellent — strong minority class detection</w:t>
            </w:r>
          </w:p>
        </w:tc>
      </w:tr>
    </w:tbl>
    <w:p>
      <w:pPr>
        <w:spacing w:after="200"/>
      </w:pPr>
    </w:p>
    <w:p>
      <w:pPr>
        <w:pStyle w:val="Heading1"/>
        <w:spacing w:before="360" w:after="120"/>
      </w:pPr>
      <w:r>
        <w:t xml:space="preserve">9. Strengths &amp; Weaknesses</w:t>
      </w:r>
    </w:p>
    <w:p>
      <w:pPr>
        <w:pStyle w:val="Heading2"/>
        <w:spacing w:before="240" w:after="80"/>
      </w:pPr>
      <w:r>
        <w:t xml:space="preserve">Strengths</w:t>
      </w:r>
    </w:p>
    <w:p>
      <w:pPr>
        <w:pStyle w:val="ListParagraph"/>
        <w:numPr>
          <w:ilvl w:val="0"/>
          <w:numId w:val="1"/>
        </w:numPr>
        <w:spacing w:after="80"/>
      </w:pPr>
      <w:r>
        <w:rPr>
          <w:rFonts w:ascii="Arial" w:cs="Arial" w:eastAsia="Arial" w:hAnsi="Arial"/>
          <w:sz w:val="22"/>
          <w:szCs w:val="22"/>
        </w:rPr>
        <w:t xml:space="preserve">Highest accuracy (93.88%) among all tested models.</w:t>
      </w:r>
    </w:p>
    <w:p>
      <w:pPr>
        <w:pStyle w:val="ListParagraph"/>
        <w:numPr>
          <w:ilvl w:val="0"/>
          <w:numId w:val="1"/>
        </w:numPr>
        <w:spacing w:after="80"/>
      </w:pPr>
      <w:r>
        <w:rPr>
          <w:rFonts w:ascii="Arial" w:cs="Arial" w:eastAsia="Arial" w:hAnsi="Arial"/>
          <w:sz w:val="22"/>
          <w:szCs w:val="22"/>
        </w:rPr>
        <w:t xml:space="preserve">Very stable cross-validation (±4.16%) — low variance, high reliability.</w:t>
      </w:r>
    </w:p>
    <w:p>
      <w:pPr>
        <w:pStyle w:val="ListParagraph"/>
        <w:numPr>
          <w:ilvl w:val="0"/>
          <w:numId w:val="1"/>
        </w:numPr>
        <w:spacing w:after="80"/>
      </w:pPr>
      <w:r>
        <w:rPr>
          <w:rFonts w:ascii="Arial" w:cs="Arial" w:eastAsia="Arial" w:hAnsi="Arial"/>
          <w:sz w:val="22"/>
          <w:szCs w:val="22"/>
        </w:rPr>
        <w:t xml:space="preserve">Excellent Severe class detection (Recall = 0.90).</w:t>
      </w:r>
    </w:p>
    <w:p>
      <w:pPr>
        <w:pStyle w:val="ListParagraph"/>
        <w:numPr>
          <w:ilvl w:val="0"/>
          <w:numId w:val="1"/>
        </w:numPr>
        <w:spacing w:after="80"/>
      </w:pPr>
      <w:r>
        <w:rPr>
          <w:rFonts w:ascii="Arial" w:cs="Arial" w:eastAsia="Arial" w:hAnsi="Arial"/>
          <w:sz w:val="22"/>
          <w:szCs w:val="22"/>
        </w:rPr>
        <w:t xml:space="preserve">Naturally resistant to overfitting due to ensemble averaging.</w:t>
      </w:r>
    </w:p>
    <w:p>
      <w:pPr>
        <w:pStyle w:val="ListParagraph"/>
        <w:numPr>
          <w:ilvl w:val="0"/>
          <w:numId w:val="1"/>
        </w:numPr>
        <w:spacing w:after="80"/>
      </w:pPr>
      <w:r>
        <w:rPr>
          <w:rFonts w:ascii="Arial" w:cs="Arial" w:eastAsia="Arial" w:hAnsi="Arial"/>
          <w:sz w:val="22"/>
          <w:szCs w:val="22"/>
        </w:rPr>
        <w:t xml:space="preserve">Provides feature importance rankings for model interpretability.</w:t>
      </w:r>
    </w:p>
    <w:p>
      <w:pPr>
        <w:pStyle w:val="Heading2"/>
        <w:spacing w:before="240" w:after="80"/>
      </w:pPr>
      <w:r>
        <w:t xml:space="preserve">Weaknesses</w:t>
      </w:r>
    </w:p>
    <w:p>
      <w:pPr>
        <w:pStyle w:val="ListParagraph"/>
        <w:numPr>
          <w:ilvl w:val="0"/>
          <w:numId w:val="1"/>
        </w:numPr>
        <w:spacing w:after="80"/>
      </w:pPr>
      <w:r>
        <w:rPr>
          <w:rFonts w:ascii="Arial" w:cs="Arial" w:eastAsia="Arial" w:hAnsi="Arial"/>
          <w:sz w:val="22"/>
          <w:szCs w:val="22"/>
        </w:rPr>
        <w:t xml:space="preserve">Less interpretable than a single Decision Tree (black-box nature).</w:t>
      </w:r>
    </w:p>
    <w:p>
      <w:pPr>
        <w:pStyle w:val="ListParagraph"/>
        <w:numPr>
          <w:ilvl w:val="0"/>
          <w:numId w:val="1"/>
        </w:numPr>
        <w:spacing w:after="80"/>
      </w:pPr>
      <w:r>
        <w:rPr>
          <w:rFonts w:ascii="Arial" w:cs="Arial" w:eastAsia="Arial" w:hAnsi="Arial"/>
          <w:sz w:val="22"/>
          <w:szCs w:val="22"/>
        </w:rPr>
        <w:t xml:space="preserve">Slower to train than a single tree (200 trees × depth 10).</w:t>
      </w:r>
    </w:p>
    <w:p>
      <w:pPr>
        <w:pStyle w:val="ListParagraph"/>
        <w:numPr>
          <w:ilvl w:val="0"/>
          <w:numId w:val="1"/>
        </w:numPr>
        <w:spacing w:after="80"/>
      </w:pPr>
      <w:r>
        <w:rPr>
          <w:rFonts w:ascii="Arial" w:cs="Arial" w:eastAsia="Arial" w:hAnsi="Arial"/>
          <w:sz w:val="22"/>
          <w:szCs w:val="22"/>
        </w:rPr>
        <w:t xml:space="preserve">Higher memory usage for deployment.</w:t>
      </w:r>
    </w:p>
    <w:p>
      <w:pPr>
        <w:pStyle w:val="Heading1"/>
        <w:spacing w:before="360" w:after="120"/>
      </w:pPr>
      <w:r>
        <w:t xml:space="preserve">10. Recommendations</w:t>
      </w:r>
    </w:p>
    <w:p>
      <w:pPr>
        <w:pStyle w:val="ListParagraph"/>
        <w:numPr>
          <w:ilvl w:val="0"/>
          <w:numId w:val="1"/>
        </w:numPr>
        <w:spacing w:after="80"/>
      </w:pPr>
      <w:r>
        <w:rPr>
          <w:rFonts w:ascii="Arial" w:cs="Arial" w:eastAsia="Arial" w:hAnsi="Arial"/>
          <w:sz w:val="22"/>
          <w:szCs w:val="22"/>
        </w:rPr>
        <w:t xml:space="preserve">Recommended for deployment as the primary fire risk prediction model.</w:t>
      </w:r>
    </w:p>
    <w:p>
      <w:pPr>
        <w:pStyle w:val="ListParagraph"/>
        <w:numPr>
          <w:ilvl w:val="0"/>
          <w:numId w:val="1"/>
        </w:numPr>
        <w:spacing w:after="80"/>
      </w:pPr>
      <w:r>
        <w:rPr>
          <w:rFonts w:ascii="Arial" w:cs="Arial" w:eastAsia="Arial" w:hAnsi="Arial"/>
          <w:sz w:val="22"/>
          <w:szCs w:val="22"/>
        </w:rPr>
        <w:t xml:space="preserve">Apply SMOTE to oversample the Severe class for even better minority detection.</w:t>
      </w:r>
    </w:p>
    <w:p>
      <w:pPr>
        <w:pStyle w:val="ListParagraph"/>
        <w:numPr>
          <w:ilvl w:val="0"/>
          <w:numId w:val="1"/>
        </w:numPr>
        <w:spacing w:after="80"/>
      </w:pPr>
      <w:r>
        <w:rPr>
          <w:rFonts w:ascii="Arial" w:cs="Arial" w:eastAsia="Arial" w:hAnsi="Arial"/>
          <w:sz w:val="22"/>
          <w:szCs w:val="22"/>
        </w:rPr>
        <w:t xml:space="preserve">Tune hyperparameters (max_features, min_samples_split) using GridSearchCV.</w:t>
      </w:r>
    </w:p>
    <w:p>
      <w:pPr>
        <w:pStyle w:val="ListParagraph"/>
        <w:numPr>
          <w:ilvl w:val="0"/>
          <w:numId w:val="1"/>
        </w:numPr>
        <w:spacing w:after="80"/>
      </w:pPr>
      <w:r>
        <w:rPr>
          <w:rFonts w:ascii="Arial" w:cs="Arial" w:eastAsia="Arial" w:hAnsi="Arial"/>
          <w:sz w:val="22"/>
          <w:szCs w:val="22"/>
        </w:rPr>
        <w:t xml:space="preserve">Use SHAP values for explaining individual predictions to fire management officials.</w:t>
      </w:r>
    </w:p>
    <w:p>
      <w:pPr>
        <w:pStyle w:val="ListParagraph"/>
        <w:numPr>
          <w:ilvl w:val="0"/>
          <w:numId w:val="1"/>
        </w:numPr>
        <w:spacing w:after="80"/>
      </w:pPr>
      <w:r>
        <w:rPr>
          <w:rFonts w:ascii="Arial" w:cs="Arial" w:eastAsia="Arial" w:hAnsi="Arial"/>
          <w:sz w:val="22"/>
          <w:szCs w:val="22"/>
        </w:rPr>
        <w:t xml:space="preserve">Combine with Decision Tree for explanation — RF for accuracy, DT for transparency.</w:t>
      </w:r>
    </w:p>
    <w:p>
      <w:pPr>
        <w:spacing w:after="400"/>
      </w:pPr>
    </w:p>
    <w:p>
      <w:pPr>
        <w:jc w:val="center"/>
      </w:pPr>
      <w:r>
        <w:rPr>
          <w:rFonts w:ascii="Arial" w:cs="Arial" w:eastAsia="Arial" w:hAnsi="Arial"/>
          <w:i/>
          <w:iCs/>
          <w:color w:val="888888"/>
          <w:sz w:val="20"/>
          <w:szCs w:val="20"/>
        </w:rPr>
        <w:t xml:space="preserve">— End of Random Forest Evaluation Report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pPr>
    <w:rPr>
      <w:b/>
      <w:bCs/>
      <w:color w:val="784212"/>
      <w:sz w:val="32"/>
      <w:szCs w:val="32"/>
    </w:rPr>
  </w:style>
  <w:style w:type="paragraph" w:styleId="Heading2">
    <w:name w:val="Heading 2"/>
    <w:basedOn w:val="Normal"/>
    <w:next w:val="Normal"/>
    <w:qFormat/>
    <w:pPr>
      <w:spacing w:before="240" w:after="80"/>
    </w:pPr>
    <w:rPr>
      <w:b/>
      <w:bCs/>
      <w:color w:val="A04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b5e58f7918e76bf55afb43fcb8c0ab47da23f31.undefined"/><Relationship Id="rId7" Type="http://schemas.openxmlformats.org/officeDocument/2006/relationships/image" Target="media/0dca101175918626803f5c94ad9cca2a085ecff7.undefined"/><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2026-03-12T08:38:46.033Z</dcterms:created>
  <dcterms:modified xsi:type="dcterms:W3CDTF">2026-03-12T08:38:46.034Z</dcterms:modified>
</cp:coreProperties>
</file>

<file path=docProps/custom.xml><?xml version="1.0" encoding="utf-8"?>
<Properties xmlns="http://schemas.openxmlformats.org/officeDocument/2006/custom-properties" xmlns:vt="http://schemas.openxmlformats.org/officeDocument/2006/docPropsVTypes"/>
</file>