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32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UWM – Entities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highlight w:val="yellow"/>
          <w:rtl w:val="0"/>
        </w:rPr>
        <w:t xml:space="preserve">Screen: Communication Channels Tab</w:t>
      </w: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99"/>
        <w:gridCol w:w="1029"/>
        <w:gridCol w:w="875"/>
        <w:gridCol w:w="861"/>
        <w:gridCol w:w="1954"/>
        <w:gridCol w:w="3977"/>
        <w:tblGridChange w:id="0">
          <w:tblGrid>
            <w:gridCol w:w="1099"/>
            <w:gridCol w:w="1029"/>
            <w:gridCol w:w="875"/>
            <w:gridCol w:w="861"/>
            <w:gridCol w:w="1954"/>
            <w:gridCol w:w="397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 a Type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Length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 Length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Required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Channel Type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Dropdown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Select the type of communication channel (e.g., email, phone number, mailing address)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Yes (if Channel Type is Email)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Enter the email address for the communication channel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Yes (if Channel Type is Phone Number)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Enter the phone number for the communication channel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Mailing Address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4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Yes (if Channel Type is Mailing Address)</w:t>
            </w:r>
          </w:p>
        </w:tc>
        <w:tc>
          <w:tcPr>
            <w:tcBorders>
              <w:top w:color="d9d9e3" w:space="0" w:sz="4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Enter the mailing address for the communication channel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1. Borrower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5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[Auto-generated unique identifier]</w:t>
      </w:r>
    </w:p>
    <w:p w:rsidR="00000000" w:rsidDel="00000000" w:rsidP="00000000" w:rsidRDefault="00000000" w:rsidRPr="00000000" w14:paraId="00000026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First Name: [Text, Max Length: 50]</w:t>
      </w:r>
    </w:p>
    <w:p w:rsidR="00000000" w:rsidDel="00000000" w:rsidP="00000000" w:rsidRDefault="00000000" w:rsidRPr="00000000" w14:paraId="00000027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Last Name: [Text, Max Length: 50]</w:t>
      </w:r>
    </w:p>
    <w:p w:rsidR="00000000" w:rsidDel="00000000" w:rsidP="00000000" w:rsidRDefault="00000000" w:rsidRPr="00000000" w14:paraId="00000028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Date of Birth: [Date]</w:t>
      </w:r>
    </w:p>
    <w:p w:rsidR="00000000" w:rsidDel="00000000" w:rsidP="00000000" w:rsidRDefault="00000000" w:rsidRPr="00000000" w14:paraId="00000029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Social Security Number: [Text, Max Length: 9]</w:t>
      </w:r>
    </w:p>
    <w:p w:rsidR="00000000" w:rsidDel="00000000" w:rsidP="00000000" w:rsidRDefault="00000000" w:rsidRPr="00000000" w14:paraId="0000002A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Email: [Text, Max Length: 255]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Phone Number: [Text, Max Length: 20]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ind w:left="1440" w:hanging="360"/>
        <w:rPr/>
      </w:pPr>
      <w:r w:rsidDel="00000000" w:rsidR="00000000" w:rsidRPr="00000000">
        <w:rPr>
          <w:rtl w:val="0"/>
        </w:rPr>
        <w:t xml:space="preserve">Address: [Text, Max Length: 500]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2. Loan Application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ID: [Auto-generated unique identifier]</w:t>
      </w:r>
    </w:p>
    <w:p w:rsidR="00000000" w:rsidDel="00000000" w:rsidP="00000000" w:rsidRDefault="00000000" w:rsidRPr="00000000" w14:paraId="00000030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[Foreign key referencing Borrower Table]</w:t>
      </w:r>
    </w:p>
    <w:p w:rsidR="00000000" w:rsidDel="00000000" w:rsidP="00000000" w:rsidRDefault="00000000" w:rsidRPr="00000000" w14:paraId="00000031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Loan Amount: [Decimal, Min Value: 0]</w:t>
      </w:r>
    </w:p>
    <w:p w:rsidR="00000000" w:rsidDel="00000000" w:rsidP="00000000" w:rsidRDefault="00000000" w:rsidRPr="00000000" w14:paraId="00000032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Loan Term (in months): [Integer, Min Value: 1]</w:t>
      </w:r>
    </w:p>
    <w:p w:rsidR="00000000" w:rsidDel="00000000" w:rsidP="00000000" w:rsidRDefault="00000000" w:rsidRPr="00000000" w14:paraId="00000033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Interest Rate: [Decimal, Min Value: 0]</w:t>
      </w:r>
    </w:p>
    <w:p w:rsidR="00000000" w:rsidDel="00000000" w:rsidP="00000000" w:rsidRDefault="00000000" w:rsidRPr="00000000" w14:paraId="00000034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Date: [Date]</w:t>
      </w:r>
    </w:p>
    <w:p w:rsidR="00000000" w:rsidDel="00000000" w:rsidP="00000000" w:rsidRDefault="00000000" w:rsidRPr="00000000" w14:paraId="00000035">
      <w:pPr>
        <w:numPr>
          <w:ilvl w:val="1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Approval Status: [Text, Max Length: 50]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3. Employment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Employment ID: [Auto-generated unique identifier]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[Foreign key referencing Borrower Table]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Employer Name: [Text, Max Length: 100]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Employment Start Date: [Date]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Employment End Date: [Date]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ind w:left="1440" w:hanging="360"/>
        <w:rPr/>
      </w:pPr>
      <w:r w:rsidDel="00000000" w:rsidR="00000000" w:rsidRPr="00000000">
        <w:rPr>
          <w:rtl w:val="0"/>
        </w:rPr>
        <w:t xml:space="preserve">Income: [Decimal, Min Value: 0]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4. Asset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Asset ID: [Auto-generated unique identifier]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[Foreign key referencing Borrower Table]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Asset Type: [Text, Max Length: 100]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Asset Value: [Decimal, Min Value: 0]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5. Liability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Liability ID: [Auto-generated unique identifier]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[Foreign key referencing Borrower Table]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Liability Type: [Text, Max Length: 100]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Liability Amount: [Decimal, Min Value: 0]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6. Credit Report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Credit Report ID: [Auto-generated unique identifier]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Borrower ID: [Foreign key referencing Borrower Table]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Credit Score: [Integer, Min Value: 300, Max Value: 850]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Credit History: [Text]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7. Rate Lock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Fields: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Rate Lock ID: [Auto-generated unique identifier]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Application ID: [Foreign key referencing Loan Application Table]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Interest Rate: [Decimal, Min Value: 0]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Lock-in Period (in days): [Integer, Min Value: 1]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Relations between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Borrower Table: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One-to-One relationship with Loan Application Table (based on Borrower ID)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One-to-Many relationship with Employment Table (based on Borrower ID)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One-to-Many relationship with Asset Table (based on Borrower ID)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One-to-Many relationship with Liability Table (based on Borrower ID)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One-to-One relationship with Credit Report Table (based on Borrower ID)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Loan Application Table: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One-to-One relationship with Borrower Table (based on Borrower ID)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One-to-Many relationship with Rate Lock Table (based on Application ID)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Employment Table: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Many-to-One relationship with Borrower Table (based on Borrower ID)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Asset Table: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Many-to-One relationship with Borrower Table (based on Borrower ID)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Liability Table: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Many-to-One relationship with Borrower Table (based on Borrower ID)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Credit Report Table: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One-to-One relationship with Borrower Table (based on Borrower ID)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Rate Lock Table: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Many-to-One relationship with Loan Application Table (based on Application ID)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Borrower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Borrower 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b w:val="1"/>
          <w:rtl w:val="0"/>
        </w:rPr>
        <w:t xml:space="preserve">Loan Application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Application ID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Key: Borrower ID (references Borrower Table)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Employment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Employment ID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Key: Borrower ID (references Borrower Table)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Asset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Asset ID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Key: Borrower ID (references Borrower Table)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Liability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Liability ID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Key: Borrower ID (references Borrower Table)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 xml:space="preserve">Credit Report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Credit Report ID</w:t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Foreign Key: Borrower ID (references Borrower Table)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rtl w:val="0"/>
        </w:rPr>
        <w:t xml:space="preserve">Rate Lock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Primary Key: Rate Lock ID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Foreign Key: Application ID (references Loan Application Table)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033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25603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flex-grow" w:customStyle="1">
    <w:name w:val="flex-grow"/>
    <w:basedOn w:val="DefaultParagraphFont"/>
    <w:rsid w:val="00256036"/>
  </w:style>
  <w:style w:type="character" w:styleId="Strong">
    <w:name w:val="Strong"/>
    <w:basedOn w:val="DefaultParagraphFont"/>
    <w:uiPriority w:val="22"/>
    <w:qFormat w:val="1"/>
    <w:rsid w:val="00256036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56036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25603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56036"/>
    <w:rPr>
      <w:color w:val="80008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AgIURPfyMobp7XSuOetMedW/Eg==">CgMxLjAyCGguZ2pkZ3hzOAByITE2SzltMU5CTXdkX2Y2bGszZHdoc3hESElJa01rd3NaQw==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2023-07-11T11:17:00Z</dcterms:created>
  <dc:creator>LENOVO</dc:creator>
</cp:coreProperties>
</file>