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TalentAI</w:t>
      </w:r>
    </w:p>
    <w:p>
      <w:pPr>
        <w:pStyle w:val="Heading1"/>
        <w:spacing w:after="80"/>
      </w:pPr>
      <w:r>
        <w:t xml:space="preserve">Non-Functional Requirements (NFR) Addendum</w:t>
      </w:r>
    </w:p>
    <w:p>
      <w:pPr>
        <w:spacing w:after="160"/>
      </w:pPr>
      <w:r>
        <w:rPr>
          <w:i/>
          <w:iCs/>
        </w:rPr>
        <w:t xml:space="preserve">Companion to the TalentAI BRD/FRD, Requirements Specification, and Business Rules &amp; Acceptance Criteria documents.</w:t>
      </w:r>
    </w:p>
    <w:p>
      <w:pPr>
        <w:spacing w:after="160"/>
      </w:pPr>
      <w:r>
        <w:rPr>
          <w:i w:val="false"/>
          <w:iCs w:val="false"/>
        </w:rPr>
        <w:t xml:space="preserve">Version 1.0</w:t>
      </w:r>
    </w:p>
    <w:p>
      <w:pPr>
        <w:spacing w:after="160"/>
      </w:pPr>
      <w:r>
        <w:rPr>
          <w:i w:val="false"/>
          <w:iCs w:val="false"/>
        </w:rPr>
        <w:t xml:space="preserve">Prepared by: Business Analysis Team</w:t>
      </w:r>
    </w:p>
    <w:p>
      <w:pPr>
        <w:spacing w:after="160"/>
      </w:pPr>
      <w:r>
        <w:rPr>
          <w:i w:val="false"/>
          <w:iCs w:val="false"/>
        </w:rPr>
        <w:t xml:space="preserve">Date: August 28, 2026</w:t>
      </w:r>
    </w:p>
    <w:p>
      <w:pPr>
        <w:spacing w:after="160"/>
      </w:pPr>
      <w:r>
        <w:rPr>
          <w:i w:val="false"/>
          <w:iCs w:val="false"/>
        </w:rPr>
        <w:t xml:space="preserve">Status: Draft — For Stakeholder Review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60"/>
      </w:pPr>
      <w:r>
        <w:rPr>
          <w:i w:val="false"/>
          <w:iCs w:val="false"/>
        </w:rPr>
        <w:t xml:space="preserve">The TalentAI BRD/FRD (Section 9) and Requirements Specification (Section 28) each define a baseline set of non-functional requirements (NFRs). This addendum consolidates both baselines into a single reference, resolves overlaps, and extends the set with NFRs that are implied elsewhere in the requirement set but not previously captured as standalone NFRs — specifically AI governance/explainability constraints (Section 7.4.1, Constraints C01–C12), data retention and classification (Section 10.2), and integration reliability tiering (Section 11).</w:t>
      </w:r>
    </w:p>
    <w:p>
      <w:pPr>
        <w:spacing w:after="160"/>
      </w:pPr>
      <w:r>
        <w:rPr>
          <w:i w:val="false"/>
          <w:iCs w:val="false"/>
        </w:rPr>
        <w:t xml:space="preserve">Each requirement below retains the existing NFR-[Category]-[Sequence] numbering convention used in the BRD, extended with a new NFR-AI category for AI-governance-specific requirements and a new NFR-DATA category for data lifecycle requirements. Priority follows the same MoSCoW convention used elsewhere in the requirement set (M = Must Have, S = Should Have, C = Could Have).</w:t>
      </w:r>
    </w:p>
    <w:p>
      <w:pPr>
        <w:pStyle w:val="Heading1"/>
        <w:spacing w:after="160" w:before="320"/>
      </w:pPr>
      <w:r>
        <w:t xml:space="preserve">2.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NFR-PERF-01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support at least 10,000 concurrent candidate portal users without degradation (target: page load &lt; 2 seconds at P95).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§9.1 — supports BO-01, BO-04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NFR-PERF-02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AI resume parsing and match scoring shall complete within 30 seconds of application submission for 95% of applications.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§9.1 — supports BO-02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NFR-PERF-03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support bulk ingestion/parsing of at least 5,000 resumes within a single import batch without failure.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§9.1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NFR-PERF-04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Candidate search queries shall return results within 3 seconds.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Requirements Spec §28 (NFR-02)</w:t>
            </w:r>
          </w:p>
        </w:tc>
      </w:tr>
    </w:tbl>
    <w:p>
      <w:pPr>
        <w:pStyle w:val="Heading1"/>
        <w:spacing w:after="160" w:before="320"/>
      </w:pPr>
      <w:r>
        <w:t xml:space="preserve">3. Scalability &amp; Elasticity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NFR-SCAL-01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expose RESTful APIs (or equivalent) for integration with HRIS, payroll, ITSM, calendar, e-signature, job boards, and background-check vendors.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§9.6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NFR-SCAL-02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architecture shall support horizontal scaling to accommodate seasonal hiring spikes (e.g., 3x normal volume).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§9.6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NFR-SCAL-03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Concurrent AI processing capacity, and limits on organizations/users/candidates/resumes for the initial release, shall be explicitly quantified during technical design.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 — Open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Constraint C10 — currently unquantified; design blocker, not a settled target</w:t>
            </w:r>
          </w:p>
        </w:tc>
      </w:tr>
    </w:tbl>
    <w:p>
      <w:pPr>
        <w:pStyle w:val="Heading1"/>
        <w:spacing w:after="160" w:before="320"/>
      </w:pPr>
      <w:r>
        <w:t xml:space="preserve">4.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NFR-AVAIL-01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maintain 99.9% uptime (excluding scheduled maintenance windows) for the production environment.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§9.2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NFR-AVAIL-02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provide automated data backup with a Recovery Point Objective (RPO) of 24 hours and Recovery Time Objective (RTO) of 4 hours.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§9.2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NFR-AVAIL-03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Core recruitment workflows (requisitions, applications, interviews, offers) shall remain operational when the AI/LLM service is degraded or unavailable; AI processing failures shall not corrupt underlying candidate or recruitment data.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Constraints C06, C07; BR-024, BR-060</w:t>
            </w:r>
          </w:p>
        </w:tc>
      </w:tr>
    </w:tbl>
    <w:p>
      <w:pPr>
        <w:pStyle w:val="Heading1"/>
        <w:spacing w:after="160" w:before="320"/>
      </w:pPr>
      <w:r>
        <w:t xml:space="preserve">5.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NFR-SEC-01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All data in transit shall be encrypted using TLS 1.2 or higher; all data at rest shall be encrypted using AES-256.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§9.3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NFR-SEC-02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undergo annual third-party penetration testing and vulnerability assessment, with no unresolved critical findings at UAT sign-off.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§9.3; §14 UAT exit criteria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NFR-SEC-03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enforce multi-factor authentication (MFA) for all internal/administrative user accounts.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§9.3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NFR-SEC-04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provide field-level access restrictions for sensitive data (e.g., background check results, compensation, demographic data).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§9.3; §10.2 data classification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NFR-SEC-05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support Single Sign-On (SSO) via SAML 2.0/OIDC integration with the organization's identity provider.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§2.6 solution constraint; FR-ADM-02</w:t>
            </w:r>
          </w:p>
        </w:tc>
      </w:tr>
    </w:tbl>
    <w:p>
      <w:pPr>
        <w:pStyle w:val="Heading1"/>
        <w:spacing w:after="160" w:before="320"/>
      </w:pPr>
      <w:r>
        <w:t xml:space="preserve">6. Privacy &amp; Regulatory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NFR-PRIV-01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support GDPR requirements including right to access, right to erasure, data portability, and consent management for EU candidates.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§9.4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NFR-PRIV-02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support region-specific data residency requirements (data stored within specified geographic boundaries where mandated).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 — Open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§9.4; Constraint C12; open question §16 — operating regions not yet finalized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NFR-PRIV-03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comply with applicable AI-in-employment regulations (e.g., EEOC guidance, NYC Local Law 144-style automated employment decision tool audit requirements, EU AI Act provisions for high-risk AI systems in employment), including bias-audit and disclosure obligations.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§9.4; §7.4.1 AI Governance Notes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NFR-PRIV-04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maintain records of candidate consent for data processing and AI evaluation, with timestamp and version of consent language presented.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§9.4; FR-APP-05; Requirements Spec BR-07</w:t>
            </w:r>
          </w:p>
        </w:tc>
      </w:tr>
    </w:tbl>
    <w:p>
      <w:pPr>
        <w:pStyle w:val="Heading1"/>
        <w:spacing w:after="160" w:before="320"/>
      </w:pPr>
      <w:r>
        <w:t xml:space="preserve">7. AI-Specific Non-Functional Requirements</w:t>
      </w:r>
    </w:p>
    <w:p>
      <w:pPr>
        <w:spacing w:after="160"/>
      </w:pPr>
      <w:r>
        <w:rPr>
          <w:i w:val="false"/>
          <w:iCs w:val="false"/>
        </w:rPr>
        <w:t xml:space="preserve">AI matching and screening is the core differentiator of TalentAI (Section 7.4 of the BRD), and it operates under explicit governance constraints (Constraints C01, C04, C05, C12) that function as non-functional requirements even though the BRD does not list them under Section 9. They are consolidated here as a distinct category so they receive equivalent design and test rigor to security and privacy.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NFR-AI-01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The system shall never issue a final hiring or rejection decision autonomously; every AI-influenced outcome shall require a human review checkpoint before recruitment action is taken.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Constraint C01; FR-AI-05; BR-055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NFR-AI-02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Every AI-generated match score or recommendation shall be accompanied by a human-readable explanation citing the specific factors (matched, partial, missing requirements) that produced it.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Constraint C04; FR-AI-03; BR-058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NFR-AI-03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AI screening outcomes shall be monitored for adverse impact against protected demographic categories (where legally permitted to collect), with a minimum quarterly bias/fairness audit cadence and documented results.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§7.4.1 AI Governance Notes; FR-AI-08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NFR-AI-04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 documented model card (purpose, training data provenance, known limitations) shall be maintained and made available to Compliance/Legal for each AI model in production use.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§7.4.1 AI Governance Notes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NFR-AI-05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Every AI-generated score, recommendation, and the data/criteria used to produce it shall be logged and retained for audit purposes per configurable retention policy (minimum 24 months).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FR-AI-10; §10.2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NFR-AI-06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The AI override rate (top-ranked candidates not shortlisted by the recruiter) shall be tracked as a standing metric and trigger investigation when it exceeds 40%.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§12 KPI table</w:t>
            </w:r>
          </w:p>
        </w:tc>
      </w:tr>
    </w:tbl>
    <w:p>
      <w:pPr>
        <w:pStyle w:val="Heading1"/>
        <w:spacing w:after="160" w:before="320"/>
      </w:pPr>
      <w:r>
        <w:t xml:space="preserve">8. Usability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NFR-USE-01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Candidate-facing application portal shall conform to WCAG 2.1 Level AA accessibility standards.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§9.5; FR-APP-09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NFR-USE-02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Recruiter/hiring manager interfaces shall be usable without formal training within 1 hour, validated via usability testing.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§9.5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NFR-USE-03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be fully responsive across desktop, tablet, and mobile browsers for candidate-facing screens.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§9.5</w:t>
            </w:r>
          </w:p>
        </w:tc>
      </w:tr>
    </w:tbl>
    <w:p>
      <w:pPr>
        <w:pStyle w:val="Heading1"/>
        <w:spacing w:after="160" w:before="320"/>
      </w:pPr>
      <w:r>
        <w:t xml:space="preserve">9. Integration &amp; Interoperability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NFR-INTG-01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Integrations classified Must-have in the integration roadmap (HRIS, Calendar, E-Signature, Background Check, SSO) shall meet a higher reliability and retry SLA than Should-have or Could-have integrations (Video Interview, ITSM, Payroll, Compensation Benchmarking).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§11 integration table</w:t>
            </w:r>
          </w:p>
        </w:tc>
      </w:tr>
    </w:tbl>
    <w:p>
      <w:pPr>
        <w:pStyle w:val="Heading1"/>
        <w:spacing w:after="160" w:before="320"/>
      </w:pPr>
      <w:r>
        <w:t xml:space="preserve">10. Maintainability &amp; Configurability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NFR-MAIN-01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provide an admin configuration layer for workflows, templates, and scoring criteria without requiring vendor development effort, since organizational recruitment policy shall not be hard-coded.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§9.7; Constraint C11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NFR-MAIN-02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provide comprehensive system and integration logs accessible to support/admin teams for troubleshooting.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§9.7</w:t>
            </w:r>
          </w:p>
        </w:tc>
      </w:tr>
    </w:tbl>
    <w:p>
      <w:pPr>
        <w:pStyle w:val="Heading1"/>
        <w:spacing w:after="160" w:before="320"/>
      </w:pPr>
      <w:r>
        <w:t xml:space="preserve">11. Data Retention &amp; Classification</w:t>
      </w:r>
    </w:p>
    <w:p>
      <w:pPr>
        <w:spacing w:after="160"/>
      </w:pPr>
      <w:r>
        <w:rPr>
          <w:i w:val="false"/>
          <w:iCs w:val="false"/>
        </w:rPr>
        <w:t xml:space="preserve">The BRD (Section 10.2) defines retention and classification by data category as part of Data Requirements rather than Non-Functional Requirements. Because these classifications directly drive storage design, access control, and purge automation, they are restated here as explicit NFRs.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900"/>
        <w:gridCol w:w="24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Requirement 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2460"/>
            <w:shd w:fill="D9E2F3" w:val="clear"/>
          </w:tcPr>
          <w:p>
            <w:r>
              <w:rPr>
                <w:b/>
                <w:bCs/>
              </w:rPr>
              <w:t xml:space="preserve">Source / Rationale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NFR-DATA-01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Candidate PII (contact information, resume) shall be retained for a default 24 months post-application, configurable per local law, classified Confidential.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§10.2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NFR-DATA-02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AI screening scores and logs shall be retained per audit requirement, minimum 24 months, classified Confidential.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§10.2; FR-AI-10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NFR-DATA-03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Background check results and demographic/EEO self-identification data shall be classified Highly Confidential — Restricted, with access limited to authorized roles and aggregated reporting only for demographic data.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BRD §10.2</w:t>
            </w:r>
          </w:p>
        </w:tc>
      </w:tr>
      <w:tr>
        <w:tc>
          <w:tcPr>
            <w:tcW w:type="dxa" w:w="1500"/>
          </w:tcPr>
          <w:p>
            <w:r>
              <w:rPr>
                <w:b/>
                <w:bCs/>
              </w:rPr>
              <w:t xml:space="preserve">NFR-DATA-04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System shall support configurable data retention and auto-purge policies for candidate PII in line with regional regulations.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2460"/>
          </w:tcPr>
          <w:p>
            <w:r>
              <w:rPr>
                <w:b w:val="false"/>
                <w:bCs w:val="false"/>
              </w:rPr>
              <w:t xml:space="preserve">FR-ADM-05</w:t>
            </w:r>
          </w:p>
        </w:tc>
      </w:tr>
    </w:tbl>
    <w:p>
      <w:pPr>
        <w:pStyle w:val="Heading1"/>
        <w:spacing w:after="160" w:before="320"/>
      </w:pPr>
      <w:r>
        <w:t xml:space="preserve">12. Open Items Requiring Stakeholder Input</w:t>
      </w:r>
    </w:p>
    <w:p>
      <w:pPr>
        <w:spacing w:after="160"/>
      </w:pPr>
      <w:r>
        <w:rPr>
          <w:i w:val="false"/>
          <w:iCs w:val="false"/>
        </w:rPr>
        <w:t xml:space="preserve">The following items are referenced elsewhere in the requirement set as unresolved. They should not be treated as settled NFRs until stakeholder input is obtained; downstream design should treat the related NFRs above as provisional until these are closed.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400"/>
        <w:gridCol w:w="2260"/>
      </w:tblGrid>
      <w:tr>
        <w:trPr>
          <w:tblHeader/>
        </w:trPr>
        <w:tc>
          <w:tcPr>
            <w:tcW w:type="dxa" w:w="500"/>
            <w:shd w:fill="D9E2F3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b/>
                <w:bCs/>
              </w:rPr>
              <w:t xml:space="preserve">Open Item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260"/>
            <w:shd w:fill="D9E2F3" w:val="clear"/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500"/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4200"/>
            <w:shd w:fill="FCE4D6" w:val="clear"/>
          </w:tcPr>
          <w:p>
            <w:r>
              <w:rPr>
                <w:b w:val="false"/>
                <w:bCs w:val="false"/>
              </w:rPr>
              <w:t xml:space="preserve">Concurrent AI processing capacity and per-release limits (organizations, users, candidates, resumes) are not yet quantified.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Blocks finalization of NFR-SCAL-03.</w:t>
            </w:r>
          </w:p>
        </w:tc>
        <w:tc>
          <w:tcPr>
            <w:tcW w:type="dxa" w:w="2260"/>
          </w:tcPr>
          <w:p>
            <w:r>
              <w:rPr>
                <w:b w:val="false"/>
                <w:bCs w:val="false"/>
              </w:rPr>
              <w:t xml:space="preserve">BRD Constraint C10</w:t>
            </w:r>
          </w:p>
        </w:tc>
      </w:tr>
      <w:tr>
        <w:tc>
          <w:tcPr>
            <w:tcW w:type="dxa" w:w="500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200"/>
            <w:shd w:fill="FCE4D6" w:val="clear"/>
          </w:tcPr>
          <w:p>
            <w:r>
              <w:rPr>
                <w:b w:val="false"/>
                <w:bCs w:val="false"/>
              </w:rPr>
              <w:t xml:space="preserve">Operating regions and their corresponding AI-in-hiring regulatory obligations are not yet confirmed.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Blocks finalization of NFR-PRIV-02 and NFR-PRIV-03 scope.</w:t>
            </w:r>
          </w:p>
        </w:tc>
        <w:tc>
          <w:tcPr>
            <w:tcW w:type="dxa" w:w="2260"/>
          </w:tcPr>
          <w:p>
            <w:r>
              <w:rPr>
                <w:b w:val="false"/>
                <w:bCs w:val="false"/>
              </w:rPr>
              <w:t xml:space="preserve">BRD §16 Open Questions</w:t>
            </w:r>
          </w:p>
        </w:tc>
      </w:tr>
      <w:tr>
        <w:tc>
          <w:tcPr>
            <w:tcW w:type="dxa" w:w="500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200"/>
            <w:shd w:fill="FCE4D6" w:val="clear"/>
          </w:tcPr>
          <w:p>
            <w:r>
              <w:rPr>
                <w:b w:val="false"/>
                <w:bCs w:val="false"/>
              </w:rPr>
              <w:t xml:space="preserve">Data residency requirements per region cannot be finalized until operating regions are confirmed.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Dependent on item 2 above.</w:t>
            </w:r>
          </w:p>
        </w:tc>
        <w:tc>
          <w:tcPr>
            <w:tcW w:type="dxa" w:w="2260"/>
          </w:tcPr>
          <w:p>
            <w:r>
              <w:rPr>
                <w:b w:val="false"/>
                <w:bCs w:val="false"/>
              </w:rPr>
              <w:t xml:space="preserve">BRD §9.4, §2.6</w:t>
            </w:r>
          </w:p>
        </w:tc>
      </w:tr>
      <w:tr>
        <w:tc>
          <w:tcPr>
            <w:tcW w:type="dxa" w:w="500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4200"/>
            <w:shd w:fill="FCE4D6" w:val="clear"/>
          </w:tcPr>
          <w:p>
            <w:r>
              <w:rPr>
                <w:b w:val="false"/>
                <w:bCs w:val="false"/>
              </w:rPr>
              <w:t xml:space="preserve">Organizational risk appetite for AI-driven auto-advancement of high-scoring candidates (vs. fully manual review of all candidates) has not been confirmed.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Affects the strictness of NFR-AI-01 in implementation.</w:t>
            </w:r>
          </w:p>
        </w:tc>
        <w:tc>
          <w:tcPr>
            <w:tcW w:type="dxa" w:w="2260"/>
          </w:tcPr>
          <w:p>
            <w:r>
              <w:rPr>
                <w:b w:val="false"/>
                <w:bCs w:val="false"/>
              </w:rPr>
              <w:t xml:space="preserve">BRD §16 Open Questions</w:t>
            </w:r>
          </w:p>
        </w:tc>
      </w:tr>
    </w:tbl>
    <w:p>
      <w:pPr>
        <w:pStyle w:val="Heading1"/>
        <w:spacing w:after="160" w:before="320"/>
      </w:pPr>
      <w:r>
        <w:t xml:space="preserve">13. Traceability</w:t>
      </w:r>
    </w:p>
    <w:p>
      <w:pPr>
        <w:spacing w:after="160"/>
      </w:pPr>
      <w:r>
        <w:rPr>
          <w:i w:val="false"/>
          <w:iCs w:val="false"/>
        </w:rPr>
        <w:t xml:space="preserve">This addendum should be read alongside: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TalentAI BRD/FRD — Section 9 (Non-Functional Requirements baseline), Section 7.4.1 (AI Governance Notes), Section 10.2 (Data Retention &amp; Privacy Classification), Section 11 (Integration Requirements), Section 2.6 (Constraints), and Section 16 (Open Questions).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TalentAI Requirements Specification — Section 28 (Non-Functional Requirements baseline).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TalentAI Business Rules &amp; Acceptance Criteria — Section 2.J (AI Governance business rules BR-055 through BR-060), which several AI-specific NFRs above directly operationalize.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2026-08-28T15:43:21.568Z</dcterms:created>
  <dcterms:modified xsi:type="dcterms:W3CDTF">2026-08-28T15:43:21.568Z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