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Trabajo</w:t>
      </w:r>
      <w:r>
        <w:t xml:space="preserve"> </w:t>
      </w:r>
      <w:r>
        <w:t xml:space="preserve">Practico</w:t>
      </w:r>
      <w:r>
        <w:t xml:space="preserve"> </w:t>
      </w:r>
      <w:r>
        <w:t xml:space="preserve">1:</w:t>
      </w:r>
      <w:r>
        <w:t xml:space="preserve"> </w:t>
      </w:r>
      <w:r>
        <w:t xml:space="preserve">Mapas</w:t>
      </w:r>
      <w:r>
        <w:t xml:space="preserve"> </w:t>
      </w:r>
      <w:r>
        <w:t xml:space="preserve">perceptuales</w:t>
      </w:r>
      <w:r>
        <w:t xml:space="preserve"> </w:t>
      </w:r>
      <w:r>
        <w:t xml:space="preserve">y</w:t>
      </w:r>
      <w:r>
        <w:t xml:space="preserve"> </w:t>
      </w:r>
      <w:r>
        <w:t xml:space="preserve">Análisis</w:t>
      </w:r>
      <w:r>
        <w:t xml:space="preserve"> </w:t>
      </w:r>
      <w:r>
        <w:t xml:space="preserve">Factorial</w:t>
      </w:r>
    </w:p>
    <w:p>
      <w:pPr>
        <w:pStyle w:val="Subtitle"/>
      </w:pPr>
      <w:r>
        <w:t xml:space="preserve">Maestría</w:t>
      </w:r>
      <w:r>
        <w:t xml:space="preserve"> </w:t>
      </w:r>
      <w:r>
        <w:t xml:space="preserve">en</w:t>
      </w:r>
      <w:r>
        <w:t xml:space="preserve"> </w:t>
      </w:r>
      <w:r>
        <w:t xml:space="preserve">Generación</w:t>
      </w:r>
      <w:r>
        <w:t xml:space="preserve"> </w:t>
      </w:r>
      <w:r>
        <w:t xml:space="preserve">y</w:t>
      </w:r>
      <w:r>
        <w:t xml:space="preserve"> </w:t>
      </w:r>
      <w:r>
        <w:t xml:space="preserve">Análisis</w:t>
      </w:r>
      <w:r>
        <w:t xml:space="preserve"> </w:t>
      </w:r>
      <w:r>
        <w:t xml:space="preserve">de</w:t>
      </w:r>
      <w:r>
        <w:t xml:space="preserve"> </w:t>
      </w:r>
      <w:r>
        <w:t xml:space="preserve">Información</w:t>
      </w:r>
      <w:r>
        <w:t xml:space="preserve"> </w:t>
      </w:r>
      <w:r>
        <w:t xml:space="preserve">Estadística</w:t>
      </w:r>
      <w:r>
        <w:t xml:space="preserve"> </w:t>
      </w:r>
      <w:r>
        <w:t xml:space="preserve">-</w:t>
      </w:r>
      <w:r>
        <w:t xml:space="preserve"> </w:t>
      </w:r>
      <w:r>
        <w:t xml:space="preserve">UNTREF</w:t>
      </w:r>
    </w:p>
    <w:p>
      <w:pPr>
        <w:pStyle w:val="Author"/>
      </w:pPr>
      <w:r>
        <w:t xml:space="preserve">Andrea</w:t>
      </w:r>
      <w:r>
        <w:t xml:space="preserve"> </w:t>
      </w:r>
      <w:r>
        <w:t xml:space="preserve">Gomez</w:t>
      </w:r>
      <w:r>
        <w:t xml:space="preserve"> </w:t>
      </w:r>
      <w:r>
        <w:t xml:space="preserve">Vargas</w:t>
      </w:r>
      <w:r>
        <w:t xml:space="preserve"> </w:t>
      </w:r>
      <w:r>
        <w:t xml:space="preserve">&amp;</w:t>
      </w:r>
      <w:r>
        <w:t xml:space="preserve"> </w:t>
      </w:r>
      <w:r>
        <w:t xml:space="preserve">Karen</w:t>
      </w:r>
      <w:r>
        <w:t xml:space="preserve"> </w:t>
      </w:r>
      <w:r>
        <w:t xml:space="preserve">Ulloa</w:t>
      </w:r>
    </w:p>
    <w:p>
      <w:pPr>
        <w:pStyle w:val="Date"/>
      </w:pPr>
      <w:r>
        <w:t xml:space="preserve">24/08/2026</w:t>
      </w:r>
    </w:p>
    <w:sdt>
      <w:sdtPr>
        <w:docPartObj>
          <w:docPartGallery w:val="Table of Contents"/>
          <w:docPartUnique/>
        </w:docPartObj>
      </w:sdtPr>
      <w:sdtContent>
        <w:p>
          <w:pPr>
            <w:pStyle w:val="TOCHeading"/>
          </w:pPr>
          <w:r>
            <w:t xml:space="preserve">Tabla</w:t>
          </w:r>
          <w:r>
            <w:t xml:space="preserve"> </w:t>
          </w:r>
          <w:r>
            <w:t xml:space="preserve">de</w:t>
          </w:r>
          <w:r>
            <w:t xml:space="preserve"> </w:t>
          </w:r>
          <w:r>
            <w:t xml:space="preserve">contenidos</w:t>
          </w:r>
        </w:p>
        <w:p>
          <w:r>
            <w:fldChar w:fldCharType="begin" w:dirty="true"/>
            <w:instrText xml:space="preserve">TOC \o "1-3" \h \z \u</w:instrText>
            <w:fldChar w:fldCharType="separate"/>
            <w:fldChar w:fldCharType="end"/>
          </w:r>
        </w:p>
      </w:sdtContent>
    </w:sdt>
    <w:bookmarkStart w:id="22" w:name="caso-de-estudio-lealtad-de-consumidores"/>
    <w:p>
      <w:pPr>
        <w:pStyle w:val="Heading2"/>
      </w:pPr>
      <w:r>
        <w:t xml:space="preserve">Caso de estudio: lealtad de consumidores</w:t>
      </w:r>
    </w:p>
    <w:p>
      <w:pPr>
        <w:pStyle w:val="FirstParagraph"/>
      </w:pPr>
      <w:r>
        <w:t xml:space="preserve">El objetivo de este análisis es identificar la estructura subyacente en un conjunto de ítems utilizados para medir la</w:t>
      </w:r>
      <w:r>
        <w:t xml:space="preserve"> </w:t>
      </w:r>
      <w:r>
        <w:rPr>
          <w:b/>
          <w:bCs/>
        </w:rPr>
        <w:t xml:space="preserve">lealtad de los consumidores hacia una marca de zapatillas</w:t>
      </w:r>
      <w:r>
        <w:t xml:space="preserve">.</w:t>
      </w:r>
    </w:p>
    <w:p>
      <w:pPr>
        <w:pStyle w:val="BodyText"/>
      </w:pPr>
      <w:r>
        <w:t xml:space="preserve">La empresa</w:t>
      </w:r>
      <w:r>
        <w:t xml:space="preserve"> </w:t>
      </w:r>
      <w:r>
        <w:rPr>
          <w:i/>
          <w:iCs/>
        </w:rPr>
        <w:t xml:space="preserve">Shoetas</w:t>
      </w:r>
      <w:r>
        <w:t xml:space="preserve"> </w:t>
      </w:r>
      <w:r>
        <w:t xml:space="preserve">desea evaluar el grado de lealtad de sus consumidores. Para ello, se entrevistó mediante un cuestionario a</w:t>
      </w:r>
      <w:r>
        <w:t xml:space="preserve"> </w:t>
      </w:r>
      <w:r>
        <w:rPr>
          <w:b/>
          <w:bCs/>
        </w:rPr>
        <w:t xml:space="preserve">189 personas</w:t>
      </w:r>
      <w:r>
        <w:t xml:space="preserve"> </w:t>
      </w:r>
      <w:r>
        <w:t xml:space="preserve">en una tienda de artículos deportivos.</w:t>
      </w:r>
    </w:p>
    <w:p>
      <w:pPr>
        <w:pStyle w:val="BodyText"/>
      </w:pPr>
      <w:r>
        <w:t xml:space="preserve">El estudio considera inicialmente dos dimensiones de la lealtad:</w:t>
      </w:r>
      <w:r>
        <w:t xml:space="preserve"> </w:t>
      </w:r>
      <w:r>
        <w:rPr>
          <w:b/>
          <w:bCs/>
        </w:rPr>
        <w:t xml:space="preserve">lealtad cognitiva</w:t>
      </w:r>
      <w:r>
        <w:t xml:space="preserve"> </w:t>
      </w:r>
      <w:r>
        <w:t xml:space="preserve">y</w:t>
      </w:r>
      <w:r>
        <w:t xml:space="preserve"> </w:t>
      </w:r>
      <w:r>
        <w:rPr>
          <w:b/>
          <w:bCs/>
        </w:rPr>
        <w:t xml:space="preserve">lealtad afectiva</w:t>
      </w:r>
      <w:r>
        <w:t xml:space="preserve">. Todos los ítems fueron medidos mediante una escala Likert de cinco puntos, donde:</w:t>
      </w:r>
    </w:p>
    <w:p>
      <w:pPr>
        <w:pStyle w:val="Compact"/>
        <w:numPr>
          <w:ilvl w:val="0"/>
          <w:numId w:val="1001"/>
        </w:numPr>
      </w:pPr>
      <w:r>
        <w:rPr>
          <w:b/>
          <w:bCs/>
        </w:rPr>
        <w:t xml:space="preserve">1 = completamente en desacuerdo</w:t>
      </w:r>
    </w:p>
    <w:p>
      <w:pPr>
        <w:pStyle w:val="Compact"/>
        <w:numPr>
          <w:ilvl w:val="0"/>
          <w:numId w:val="1001"/>
        </w:numPr>
      </w:pPr>
      <w:r>
        <w:rPr>
          <w:b/>
          <w:bCs/>
        </w:rPr>
        <w:t xml:space="preserve">5 = completamente de acuerdo</w:t>
      </w:r>
    </w:p>
    <w:bookmarkStart w:id="20" w:name="lealtad-cognitiva"/>
    <w:p>
      <w:pPr>
        <w:pStyle w:val="Heading3"/>
      </w:pPr>
      <w:r>
        <w:t xml:space="preserve">Lealtad cognitiva</w:t>
      </w:r>
    </w:p>
    <w:p>
      <w:pPr>
        <w:pStyle w:val="FirstParagraph"/>
      </w:pPr>
      <w:r>
        <w:t xml:space="preserve">La lealtad cognitiva fue evaluada mediante seis afirmaciones:</w:t>
      </w:r>
    </w:p>
    <w:p>
      <w:pPr>
        <w:pStyle w:val="Compact"/>
        <w:numPr>
          <w:ilvl w:val="0"/>
          <w:numId w:val="1002"/>
        </w:numPr>
      </w:pPr>
      <w:r>
        <w:rPr>
          <w:b/>
          <w:bCs/>
        </w:rPr>
        <w:t xml:space="preserve">CLOY1:</w:t>
      </w:r>
      <w:r>
        <w:t xml:space="preserve"> </w:t>
      </w:r>
      <w:r>
        <w:t xml:space="preserve">Es preferible utilizar las zapatillas Shoetas.</w:t>
      </w:r>
    </w:p>
    <w:p>
      <w:pPr>
        <w:pStyle w:val="Compact"/>
        <w:numPr>
          <w:ilvl w:val="0"/>
          <w:numId w:val="1002"/>
        </w:numPr>
      </w:pPr>
      <w:r>
        <w:rPr>
          <w:b/>
          <w:bCs/>
        </w:rPr>
        <w:t xml:space="preserve">CLOY2:</w:t>
      </w:r>
      <w:r>
        <w:t xml:space="preserve"> </w:t>
      </w:r>
      <w:r>
        <w:t xml:space="preserve">Las características generales de las zapatillas Shoetas corresponden con mis expectativas.</w:t>
      </w:r>
    </w:p>
    <w:p>
      <w:pPr>
        <w:pStyle w:val="Compact"/>
        <w:numPr>
          <w:ilvl w:val="0"/>
          <w:numId w:val="1002"/>
        </w:numPr>
      </w:pPr>
      <w:r>
        <w:rPr>
          <w:b/>
          <w:bCs/>
        </w:rPr>
        <w:t xml:space="preserve">CLOY3:</w:t>
      </w:r>
      <w:r>
        <w:t xml:space="preserve"> </w:t>
      </w:r>
      <w:r>
        <w:t xml:space="preserve">Si alguien me propusiera utilizar otra marca de zapatillas, continuaría utilizando Shoetas por su diseño.</w:t>
      </w:r>
    </w:p>
    <w:p>
      <w:pPr>
        <w:pStyle w:val="Compact"/>
        <w:numPr>
          <w:ilvl w:val="0"/>
          <w:numId w:val="1002"/>
        </w:numPr>
      </w:pPr>
      <w:r>
        <w:rPr>
          <w:b/>
          <w:bCs/>
        </w:rPr>
        <w:t xml:space="preserve">CLOY4:</w:t>
      </w:r>
      <w:r>
        <w:t xml:space="preserve"> </w:t>
      </w:r>
      <w:r>
        <w:t xml:space="preserve">Si alguien me propusiera utilizar otra marca de zapatillas, continuaría utilizando Shoetas por su durabilidad.</w:t>
      </w:r>
    </w:p>
    <w:p>
      <w:pPr>
        <w:pStyle w:val="Compact"/>
        <w:numPr>
          <w:ilvl w:val="0"/>
          <w:numId w:val="1002"/>
        </w:numPr>
      </w:pPr>
      <w:r>
        <w:rPr>
          <w:b/>
          <w:bCs/>
        </w:rPr>
        <w:t xml:space="preserve">CLOY5:</w:t>
      </w:r>
      <w:r>
        <w:t xml:space="preserve"> </w:t>
      </w:r>
      <w:r>
        <w:t xml:space="preserve">Si alguien me propusiera utilizar otra marca de zapatillas, continuaría utilizando Shoetas por su calidad.</w:t>
      </w:r>
    </w:p>
    <w:p>
      <w:pPr>
        <w:pStyle w:val="Compact"/>
        <w:numPr>
          <w:ilvl w:val="0"/>
          <w:numId w:val="1002"/>
        </w:numPr>
      </w:pPr>
      <w:r>
        <w:rPr>
          <w:b/>
          <w:bCs/>
        </w:rPr>
        <w:t xml:space="preserve">CLOY6:</w:t>
      </w:r>
      <w:r>
        <w:t xml:space="preserve"> </w:t>
      </w:r>
      <w:r>
        <w:t xml:space="preserve">Si alguien me propusiera utilizar otra marca de zapatillas, continuaría utilizando Shoetas por su precio.</w:t>
      </w:r>
    </w:p>
    <w:bookmarkEnd w:id="20"/>
    <w:bookmarkStart w:id="21" w:name="lealtad-afectiva"/>
    <w:p>
      <w:pPr>
        <w:pStyle w:val="Heading3"/>
      </w:pPr>
      <w:r>
        <w:t xml:space="preserve">Lealtad afectiva</w:t>
      </w:r>
    </w:p>
    <w:p>
      <w:pPr>
        <w:pStyle w:val="FirstParagraph"/>
      </w:pPr>
      <w:r>
        <w:t xml:space="preserve">La lealtad afectiva fue evaluada mediante tres afirmaciones:</w:t>
      </w:r>
    </w:p>
    <w:p>
      <w:pPr>
        <w:pStyle w:val="Compact"/>
        <w:numPr>
          <w:ilvl w:val="0"/>
          <w:numId w:val="1003"/>
        </w:numPr>
      </w:pPr>
      <w:r>
        <w:rPr>
          <w:b/>
          <w:bCs/>
        </w:rPr>
        <w:t xml:space="preserve">ALOY1:</w:t>
      </w:r>
      <w:r>
        <w:t xml:space="preserve"> </w:t>
      </w:r>
      <w:r>
        <w:t xml:space="preserve">Me gustan las zapatillas Shoetas más que otras zapatillas.</w:t>
      </w:r>
    </w:p>
    <w:p>
      <w:pPr>
        <w:pStyle w:val="Compact"/>
        <w:numPr>
          <w:ilvl w:val="0"/>
          <w:numId w:val="1003"/>
        </w:numPr>
      </w:pPr>
      <w:r>
        <w:rPr>
          <w:b/>
          <w:bCs/>
        </w:rPr>
        <w:t xml:space="preserve">ALOY2:</w:t>
      </w:r>
      <w:r>
        <w:t xml:space="preserve"> </w:t>
      </w:r>
      <w:r>
        <w:t xml:space="preserve">Me gustan las características de mis zapatillas Shoetas.</w:t>
      </w:r>
    </w:p>
    <w:p>
      <w:pPr>
        <w:pStyle w:val="Compact"/>
        <w:numPr>
          <w:ilvl w:val="0"/>
          <w:numId w:val="1003"/>
        </w:numPr>
      </w:pPr>
      <w:r>
        <w:rPr>
          <w:b/>
          <w:bCs/>
        </w:rPr>
        <w:t xml:space="preserve">ALOY3:</w:t>
      </w:r>
      <w:r>
        <w:t xml:space="preserve"> </w:t>
      </w:r>
      <w:r>
        <w:t xml:space="preserve">Tengo una actitud positiva hacia las zapatillas Shoetas.</w:t>
      </w:r>
    </w:p>
    <w:bookmarkEnd w:id="21"/>
    <w:bookmarkEnd w:id="22"/>
    <w:bookmarkStart w:id="23" w:name="objetivo-del-análisis"/>
    <w:p>
      <w:pPr>
        <w:pStyle w:val="Heading2"/>
      </w:pPr>
      <w:r>
        <w:t xml:space="preserve">Objetivo del análisis</w:t>
      </w:r>
    </w:p>
    <w:p>
      <w:pPr>
        <w:pStyle w:val="FirstParagraph"/>
      </w:pPr>
      <w:r>
        <w:t xml:space="preserve">A partir de estos nueve ítems se realizará un</w:t>
      </w:r>
      <w:r>
        <w:t xml:space="preserve"> </w:t>
      </w:r>
      <w:r>
        <w:rPr>
          <w:b/>
          <w:bCs/>
        </w:rPr>
        <w:t xml:space="preserve">análisis factorial exploratorio</w:t>
      </w:r>
      <w:r>
        <w:t xml:space="preserve"> </w:t>
      </w:r>
      <w:r>
        <w:t xml:space="preserve">con el objetivo de determinar si las variables pueden resumirse en un número menor de factores subyacentes y evaluar si la estructura obtenida coincide con las dimensiones teóricas de</w:t>
      </w:r>
      <w:r>
        <w:t xml:space="preserve"> </w:t>
      </w:r>
      <w:r>
        <w:rPr>
          <w:b/>
          <w:bCs/>
        </w:rPr>
        <w:t xml:space="preserve">lealtad cognitiva</w:t>
      </w:r>
      <w:r>
        <w:t xml:space="preserve"> </w:t>
      </w:r>
      <w:r>
        <w:t xml:space="preserve">y</w:t>
      </w:r>
      <w:r>
        <w:t xml:space="preserve"> </w:t>
      </w:r>
      <w:r>
        <w:rPr>
          <w:b/>
          <w:bCs/>
        </w:rPr>
        <w:t xml:space="preserve">lealtad afectiva</w:t>
      </w:r>
      <w:r>
        <w:t xml:space="preserve">.</w:t>
      </w:r>
    </w:p>
    <w:p>
      <w:pPr>
        <w:pStyle w:val="BodyText"/>
      </w:pPr>
      <w:r>
        <w:t xml:space="preserve">El análisis comienza con una exploración inicial de la base de datos, con el objetivo de verificar su estructura, el tipo de variables disponibles y la presencia de valores faltantes. A continuación, se seleccionan los nueve ítems vinculados con la lealtad de los consumidores, excluyendo la variable identificadora.</w:t>
      </w:r>
    </w:p>
    <w:p>
      <w:pPr>
        <w:pStyle w:val="BodyText"/>
      </w:pPr>
      <w:r>
        <w:t xml:space="preserve">Sobre este conjunto de variables se calculan estadísticos descriptivos y la matriz de correlaciones. Posteriormente, se evalúa la adecuación de los datos para la aplicación de un análisis factorial mediante el test de esfericidad de Bartlett y el índice KMO.</w:t>
      </w:r>
    </w:p>
    <w:p>
      <w:pPr>
        <w:pStyle w:val="BodyText"/>
      </w:pPr>
      <w:r>
        <w:t xml:space="preserve">Una vez verificada la pertinencia del análisis factorial, se determina el número de factores a retener mediante el análisis de autovalores y el gráfico de sedimentación. Finalmente, se estima una solución factorial con rotación Varimax y se analizan las cargas factoriales, las comunalidades y la proporción de varianza explicada, con el objetivo de evaluar si la estructura obtenida reproduce las dimensiones teóricas de lealtad cognitiva y afectiva.</w:t>
      </w:r>
    </w:p>
    <w:bookmarkEnd w:id="23"/>
    <w:bookmarkStart w:id="24" w:name="paquetes-y-datos-de-trabajo"/>
    <w:p>
      <w:pPr>
        <w:pStyle w:val="Heading2"/>
      </w:pPr>
      <w:r>
        <w:t xml:space="preserve">Paquetes y datos de trabajo</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from</w:t>
      </w:r>
      <w:r>
        <w:rPr>
          <w:rStyle w:val="NormalTok"/>
        </w:rPr>
        <w:t xml:space="preserve"> factor_analyzer </w:t>
      </w:r>
      <w:r>
        <w:rPr>
          <w:rStyle w:val="ImportTok"/>
        </w:rPr>
        <w:t xml:space="preserve">import</w:t>
      </w:r>
      <w:r>
        <w:rPr>
          <w:rStyle w:val="NormalTok"/>
        </w:rPr>
        <w:t xml:space="preserve"> FactorAnalyzer</w:t>
      </w:r>
      <w:r>
        <w:br/>
      </w:r>
      <w:r>
        <w:rPr>
          <w:rStyle w:val="ImportTok"/>
        </w:rPr>
        <w:t xml:space="preserve">from</w:t>
      </w:r>
      <w:r>
        <w:rPr>
          <w:rStyle w:val="NormalTok"/>
        </w:rPr>
        <w:t xml:space="preserve"> factor_analyzer.factor_analyzer </w:t>
      </w:r>
      <w:r>
        <w:rPr>
          <w:rStyle w:val="ImportTok"/>
        </w:rPr>
        <w:t xml:space="preserve">import</w:t>
      </w:r>
      <w:r>
        <w:rPr>
          <w:rStyle w:val="NormalTok"/>
        </w:rPr>
        <w:t xml:space="preserve"> (</w:t>
      </w:r>
      <w:r>
        <w:br/>
      </w:r>
      <w:r>
        <w:rPr>
          <w:rStyle w:val="NormalTok"/>
        </w:rPr>
        <w:t xml:space="preserve">    calculate_bartlett_sphericity,</w:t>
      </w:r>
      <w:r>
        <w:br/>
      </w:r>
      <w:r>
        <w:rPr>
          <w:rStyle w:val="NormalTok"/>
        </w:rPr>
        <w:t xml:space="preserve">    calculate_kmo</w:t>
      </w:r>
      <w:r>
        <w:br/>
      </w:r>
      <w:r>
        <w:rPr>
          <w:rStyle w:val="NormalTok"/>
        </w:rPr>
        <w:t xml:space="preserve">)</w:t>
      </w:r>
    </w:p>
    <w:p>
      <w:pPr>
        <w:pStyle w:val="SourceCode"/>
      </w:pPr>
      <w:r>
        <w:rPr>
          <w:rStyle w:val="NormalTok"/>
        </w:rPr>
        <w:t xml:space="preserve">Loyalty </w:t>
      </w:r>
      <w:r>
        <w:rPr>
          <w:rStyle w:val="OperatorTok"/>
        </w:rPr>
        <w:t xml:space="preserve">=</w:t>
      </w:r>
      <w:r>
        <w:rPr>
          <w:rStyle w:val="NormalTok"/>
        </w:rPr>
        <w:t xml:space="preserve"> </w:t>
      </w:r>
      <w:r>
        <w:rPr>
          <w:rStyle w:val="StringTok"/>
        </w:rPr>
        <w:t xml:space="preserve">"data/Loyalty.xls"</w:t>
      </w:r>
      <w:r>
        <w:br/>
      </w:r>
      <w:r>
        <w:br/>
      </w:r>
      <w:r>
        <w:rPr>
          <w:rStyle w:val="NormalTok"/>
        </w:rPr>
        <w:t xml:space="preserve">df </w:t>
      </w:r>
      <w:r>
        <w:rPr>
          <w:rStyle w:val="OperatorTok"/>
        </w:rPr>
        <w:t xml:space="preserve">=</w:t>
      </w:r>
      <w:r>
        <w:rPr>
          <w:rStyle w:val="NormalTok"/>
        </w:rPr>
        <w:t xml:space="preserve"> pd.read_excel(Loyalty)</w:t>
      </w:r>
    </w:p>
    <w:bookmarkEnd w:id="24"/>
    <w:bookmarkStart w:id="26" w:name="exploración-inicial"/>
    <w:p>
      <w:pPr>
        <w:pStyle w:val="Heading2"/>
      </w:pPr>
      <w:r>
        <w:t xml:space="preserve">Exploración inicial</w:t>
      </w:r>
    </w:p>
    <w:p>
      <w:pPr>
        <w:pStyle w:val="Compact"/>
        <w:numPr>
          <w:ilvl w:val="0"/>
          <w:numId w:val="1004"/>
        </w:numPr>
      </w:pPr>
      <w:r>
        <w:t xml:space="preserve">Información general de la base</w:t>
      </w:r>
    </w:p>
    <w:p>
      <w:pPr>
        <w:pStyle w:val="SourceCode"/>
      </w:pPr>
      <w:r>
        <w:rPr>
          <w:rStyle w:val="NormalTok"/>
        </w:rPr>
        <w:t xml:space="preserve">df.info()</w:t>
      </w:r>
    </w:p>
    <w:p>
      <w:pPr>
        <w:pStyle w:val="SourceCode"/>
      </w:pPr>
      <w:r>
        <w:rPr>
          <w:rStyle w:val="VerbatimChar"/>
        </w:rPr>
        <w:t xml:space="preserve">&lt;class 'pandas.DataFrame'&gt;</w:t>
      </w:r>
      <w:r>
        <w:br/>
      </w:r>
      <w:r>
        <w:rPr>
          <w:rStyle w:val="VerbatimChar"/>
        </w:rPr>
        <w:t xml:space="preserve">RangeIndex: 189 entries, 0 to 188</w:t>
      </w:r>
      <w:r>
        <w:br/>
      </w:r>
      <w:r>
        <w:rPr>
          <w:rStyle w:val="VerbatimChar"/>
        </w:rPr>
        <w:t xml:space="preserve">Data columns (total 10 columns):</w:t>
      </w:r>
      <w:r>
        <w:br/>
      </w:r>
      <w:r>
        <w:rPr>
          <w:rStyle w:val="VerbatimChar"/>
        </w:rPr>
        <w:t xml:space="preserve"> #   Column  Non-Null Count  Dtype</w:t>
      </w:r>
      <w:r>
        <w:br/>
      </w:r>
      <w:r>
        <w:rPr>
          <w:rStyle w:val="VerbatimChar"/>
        </w:rPr>
        <w:t xml:space="preserve">---  ------  --------------  -----</w:t>
      </w:r>
      <w:r>
        <w:br/>
      </w:r>
      <w:r>
        <w:rPr>
          <w:rStyle w:val="VerbatimChar"/>
        </w:rPr>
        <w:t xml:space="preserve"> 0   ALOY1   189 non-null    int64</w:t>
      </w:r>
      <w:r>
        <w:br/>
      </w:r>
      <w:r>
        <w:rPr>
          <w:rStyle w:val="VerbatimChar"/>
        </w:rPr>
        <w:t xml:space="preserve"> 1   ALOY2   189 non-null    int64</w:t>
      </w:r>
      <w:r>
        <w:br/>
      </w:r>
      <w:r>
        <w:rPr>
          <w:rStyle w:val="VerbatimChar"/>
        </w:rPr>
        <w:t xml:space="preserve"> 2   ALOY3   189 non-null    int64</w:t>
      </w:r>
      <w:r>
        <w:br/>
      </w:r>
      <w:r>
        <w:rPr>
          <w:rStyle w:val="VerbatimChar"/>
        </w:rPr>
        <w:t xml:space="preserve"> 3   CLOY1   189 non-null    int64</w:t>
      </w:r>
      <w:r>
        <w:br/>
      </w:r>
      <w:r>
        <w:rPr>
          <w:rStyle w:val="VerbatimChar"/>
        </w:rPr>
        <w:t xml:space="preserve"> 4   CLOY2   189 non-null    int64</w:t>
      </w:r>
      <w:r>
        <w:br/>
      </w:r>
      <w:r>
        <w:rPr>
          <w:rStyle w:val="VerbatimChar"/>
        </w:rPr>
        <w:t xml:space="preserve"> 5   CLOY3   189 non-null    int64</w:t>
      </w:r>
      <w:r>
        <w:br/>
      </w:r>
      <w:r>
        <w:rPr>
          <w:rStyle w:val="VerbatimChar"/>
        </w:rPr>
        <w:t xml:space="preserve"> 6   CLOY4   189 non-null    int64</w:t>
      </w:r>
      <w:r>
        <w:br/>
      </w:r>
      <w:r>
        <w:rPr>
          <w:rStyle w:val="VerbatimChar"/>
        </w:rPr>
        <w:t xml:space="preserve"> 7   CLOY5   189 non-null    int64</w:t>
      </w:r>
      <w:r>
        <w:br/>
      </w:r>
      <w:r>
        <w:rPr>
          <w:rStyle w:val="VerbatimChar"/>
        </w:rPr>
        <w:t xml:space="preserve"> 8   CLOY6   189 non-null    int64</w:t>
      </w:r>
      <w:r>
        <w:br/>
      </w:r>
      <w:r>
        <w:rPr>
          <w:rStyle w:val="VerbatimChar"/>
        </w:rPr>
        <w:t xml:space="preserve"> 9   id      189 non-null    int64</w:t>
      </w:r>
      <w:r>
        <w:br/>
      </w:r>
      <w:r>
        <w:rPr>
          <w:rStyle w:val="VerbatimChar"/>
        </w:rPr>
        <w:t xml:space="preserve">dtypes: int64(10)</w:t>
      </w:r>
      <w:r>
        <w:br/>
      </w:r>
      <w:r>
        <w:rPr>
          <w:rStyle w:val="VerbatimChar"/>
        </w:rPr>
        <w:t xml:space="preserve">memory usage: 14.9 KB</w:t>
      </w:r>
    </w:p>
    <w:p>
      <w:pPr>
        <w:pStyle w:val="Compact"/>
        <w:numPr>
          <w:ilvl w:val="0"/>
          <w:numId w:val="1005"/>
        </w:numPr>
      </w:pPr>
      <w:r>
        <w:t xml:space="preserve">Primeras filas de la base</w:t>
      </w:r>
    </w:p>
    <w:p>
      <w:pPr>
        <w:pStyle w:val="SourceCode"/>
      </w:pPr>
      <w:r>
        <w:rPr>
          <w:rStyle w:val="NormalTok"/>
        </w:rPr>
        <w:t xml:space="preserve">display(df.head().style.hide(axis</w:t>
      </w:r>
      <w:r>
        <w:rPr>
          <w:rStyle w:val="OperatorTok"/>
        </w:rPr>
        <w:t xml:space="preserve">=</w:t>
      </w:r>
      <w:r>
        <w:rPr>
          <w:rStyle w:val="StringTok"/>
        </w:rPr>
        <w:t xml:space="preserve">"index"</w:t>
      </w:r>
      <w:r>
        <w:rPr>
          <w:rStyle w:val="NormalTok"/>
        </w:rPr>
        <w:t xml:space="preserve">))</w:t>
      </w:r>
    </w:p>
    <w:bookmarkStart w:id="25" w:name="T_730e9"/>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ALOY1</w:t>
            </w:r>
          </w:p>
        </w:tc>
        <w:tc>
          <w:tcPr/>
          <w:p>
            <w:pPr>
              <w:pStyle w:val="Compact"/>
              <w:jc w:val="left"/>
            </w:pPr>
            <w:r>
              <w:t xml:space="preserve">ALOY2</w:t>
            </w:r>
          </w:p>
        </w:tc>
        <w:tc>
          <w:tcPr/>
          <w:p>
            <w:pPr>
              <w:pStyle w:val="Compact"/>
              <w:jc w:val="left"/>
            </w:pPr>
            <w:r>
              <w:t xml:space="preserve">ALOY3</w:t>
            </w:r>
          </w:p>
        </w:tc>
        <w:tc>
          <w:tcPr/>
          <w:p>
            <w:pPr>
              <w:pStyle w:val="Compact"/>
              <w:jc w:val="left"/>
            </w:pPr>
            <w:r>
              <w:t xml:space="preserve">CLOY1</w:t>
            </w:r>
          </w:p>
        </w:tc>
        <w:tc>
          <w:tcPr/>
          <w:p>
            <w:pPr>
              <w:pStyle w:val="Compact"/>
              <w:jc w:val="left"/>
            </w:pPr>
            <w:r>
              <w:t xml:space="preserve">CLOY2</w:t>
            </w:r>
          </w:p>
        </w:tc>
        <w:tc>
          <w:tcPr/>
          <w:p>
            <w:pPr>
              <w:pStyle w:val="Compact"/>
              <w:jc w:val="left"/>
            </w:pPr>
            <w:r>
              <w:t xml:space="preserve">CLOY3</w:t>
            </w:r>
          </w:p>
        </w:tc>
        <w:tc>
          <w:tcPr/>
          <w:p>
            <w:pPr>
              <w:pStyle w:val="Compact"/>
              <w:jc w:val="left"/>
            </w:pPr>
            <w:r>
              <w:t xml:space="preserve">CLOY4</w:t>
            </w:r>
          </w:p>
        </w:tc>
        <w:tc>
          <w:tcPr/>
          <w:p>
            <w:pPr>
              <w:pStyle w:val="Compact"/>
              <w:jc w:val="left"/>
            </w:pPr>
            <w:r>
              <w:t xml:space="preserve">CLOY5</w:t>
            </w:r>
          </w:p>
        </w:tc>
        <w:tc>
          <w:tcPr/>
          <w:p>
            <w:pPr>
              <w:pStyle w:val="Compact"/>
              <w:jc w:val="left"/>
            </w:pPr>
            <w:r>
              <w:t xml:space="preserve">CLOY6</w:t>
            </w:r>
          </w:p>
        </w:tc>
        <w:tc>
          <w:tcPr/>
          <w:p>
            <w:pPr>
              <w:pStyle w:val="Compact"/>
              <w:jc w:val="left"/>
            </w:pPr>
            <w:r>
              <w:t xml:space="preserve">id</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3</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r>
    </w:tbl>
    <w:bookmarkEnd w:id="25"/>
    <w:p>
      <w:pPr>
        <w:pStyle w:val="BodyText"/>
      </w:pPr>
      <w:r>
        <w:t xml:space="preserve">La base contiene</w:t>
      </w:r>
      <w:r>
        <w:t xml:space="preserve"> </w:t>
      </w:r>
      <w:r>
        <w:rPr>
          <w:b/>
          <w:bCs/>
        </w:rPr>
        <w:t xml:space="preserve">189 observaciones y 10 variables</w:t>
      </w:r>
      <w:r>
        <w:t xml:space="preserve">. Nueve de ellas corresponden a los ítems utilizados para medir la lealtad cognitiva y afectiva, mientras que la variable</w:t>
      </w:r>
      <w:r>
        <w:t xml:space="preserve"> </w:t>
      </w:r>
      <w:r>
        <w:rPr>
          <w:rStyle w:val="VerbatimChar"/>
        </w:rPr>
        <w:t xml:space="preserve">id</w:t>
      </w:r>
      <w:r>
        <w:t xml:space="preserve"> </w:t>
      </w:r>
      <w:r>
        <w:t xml:space="preserve">funciona únicamente como identificador de cada caso.</w:t>
      </w:r>
    </w:p>
    <w:p>
      <w:pPr>
        <w:pStyle w:val="BodyText"/>
      </w:pPr>
      <w:r>
        <w:t xml:space="preserve">La exploración inicial muestra que todas las variables se encuentran almacenadas como valores numéricos enteros y que no se registran valores faltantes. Por lo tanto, no es necesario realizar un tratamiento previo de datos ausentes antes de continuar con el análisis.</w:t>
      </w:r>
    </w:p>
    <w:bookmarkEnd w:id="26"/>
    <w:bookmarkStart w:id="27" w:name="selección-de-variables"/>
    <w:p>
      <w:pPr>
        <w:pStyle w:val="Heading2"/>
      </w:pPr>
      <w:r>
        <w:t xml:space="preserve">Selección de variables</w:t>
      </w:r>
    </w:p>
    <w:p>
      <w:pPr>
        <w:pStyle w:val="SourceCode"/>
      </w:pPr>
      <w:r>
        <w:rPr>
          <w:rStyle w:val="NormalTok"/>
        </w:rPr>
        <w:t xml:space="preserve">variables </w:t>
      </w:r>
      <w:r>
        <w:rPr>
          <w:rStyle w:val="OperatorTok"/>
        </w:rPr>
        <w:t xml:space="preserve">=</w:t>
      </w:r>
      <w:r>
        <w:rPr>
          <w:rStyle w:val="NormalTok"/>
        </w:rPr>
        <w:t xml:space="preserve"> [</w:t>
      </w:r>
      <w:r>
        <w:br/>
      </w:r>
      <w:r>
        <w:rPr>
          <w:rStyle w:val="NormalTok"/>
        </w:rPr>
        <w:t xml:space="preserve">    </w:t>
      </w:r>
      <w:r>
        <w:rPr>
          <w:rStyle w:val="StringTok"/>
        </w:rPr>
        <w:t xml:space="preserve">"ALOY1"</w:t>
      </w:r>
      <w:r>
        <w:rPr>
          <w:rStyle w:val="NormalTok"/>
        </w:rPr>
        <w:t xml:space="preserve">, </w:t>
      </w:r>
      <w:r>
        <w:rPr>
          <w:rStyle w:val="StringTok"/>
        </w:rPr>
        <w:t xml:space="preserve">"ALOY2"</w:t>
      </w:r>
      <w:r>
        <w:rPr>
          <w:rStyle w:val="NormalTok"/>
        </w:rPr>
        <w:t xml:space="preserve">, </w:t>
      </w:r>
      <w:r>
        <w:rPr>
          <w:rStyle w:val="StringTok"/>
        </w:rPr>
        <w:t xml:space="preserve">"ALOY3"</w:t>
      </w:r>
      <w:r>
        <w:rPr>
          <w:rStyle w:val="NormalTok"/>
        </w:rPr>
        <w:t xml:space="preserve">,</w:t>
      </w:r>
      <w:r>
        <w:br/>
      </w:r>
      <w:r>
        <w:rPr>
          <w:rStyle w:val="NormalTok"/>
        </w:rPr>
        <w:t xml:space="preserve">    </w:t>
      </w:r>
      <w:r>
        <w:rPr>
          <w:rStyle w:val="StringTok"/>
        </w:rPr>
        <w:t xml:space="preserve">"CLOY1"</w:t>
      </w:r>
      <w:r>
        <w:rPr>
          <w:rStyle w:val="NormalTok"/>
        </w:rPr>
        <w:t xml:space="preserve">, </w:t>
      </w:r>
      <w:r>
        <w:rPr>
          <w:rStyle w:val="StringTok"/>
        </w:rPr>
        <w:t xml:space="preserve">"CLOY2"</w:t>
      </w:r>
      <w:r>
        <w:rPr>
          <w:rStyle w:val="NormalTok"/>
        </w:rPr>
        <w:t xml:space="preserve">, </w:t>
      </w:r>
      <w:r>
        <w:rPr>
          <w:rStyle w:val="StringTok"/>
        </w:rPr>
        <w:t xml:space="preserve">"CLOY3"</w:t>
      </w:r>
      <w:r>
        <w:rPr>
          <w:rStyle w:val="NormalTok"/>
        </w:rPr>
        <w:t xml:space="preserve">,</w:t>
      </w:r>
      <w:r>
        <w:br/>
      </w:r>
      <w:r>
        <w:rPr>
          <w:rStyle w:val="NormalTok"/>
        </w:rPr>
        <w:t xml:space="preserve">    </w:t>
      </w:r>
      <w:r>
        <w:rPr>
          <w:rStyle w:val="StringTok"/>
        </w:rPr>
        <w:t xml:space="preserve">"CLOY4"</w:t>
      </w:r>
      <w:r>
        <w:rPr>
          <w:rStyle w:val="NormalTok"/>
        </w:rPr>
        <w:t xml:space="preserve">, </w:t>
      </w:r>
      <w:r>
        <w:rPr>
          <w:rStyle w:val="StringTok"/>
        </w:rPr>
        <w:t xml:space="preserve">"CLOY5"</w:t>
      </w:r>
      <w:r>
        <w:rPr>
          <w:rStyle w:val="NormalTok"/>
        </w:rPr>
        <w:t xml:space="preserve">, </w:t>
      </w:r>
      <w:r>
        <w:rPr>
          <w:rStyle w:val="StringTok"/>
        </w:rPr>
        <w:t xml:space="preserve">"CLOY6"</w:t>
      </w:r>
      <w:r>
        <w:br/>
      </w:r>
      <w:r>
        <w:rPr>
          <w:rStyle w:val="NormalTok"/>
        </w:rPr>
        <w:t xml:space="preserve">]</w:t>
      </w:r>
      <w:r>
        <w:br/>
      </w:r>
      <w:r>
        <w:br/>
      </w:r>
      <w:r>
        <w:rPr>
          <w:rStyle w:val="NormalTok"/>
        </w:rPr>
        <w:t xml:space="preserve">datos </w:t>
      </w:r>
      <w:r>
        <w:rPr>
          <w:rStyle w:val="OperatorTok"/>
        </w:rPr>
        <w:t xml:space="preserve">=</w:t>
      </w:r>
      <w:r>
        <w:rPr>
          <w:rStyle w:val="NormalTok"/>
        </w:rPr>
        <w:t xml:space="preserve"> df[variables].copy()</w:t>
      </w:r>
    </w:p>
    <w:p>
      <w:pPr>
        <w:pStyle w:val="FirstParagraph"/>
      </w:pPr>
      <w:r>
        <w:t xml:space="preserve">Para el análisis se seleccionaron los nueve ítems de lealtad (ALOY1–ALOY3 y CLOY1–CLOY6), excluyendo la variable id, ya que esta cumple únicamente una función identificadora y no representa una característica sustantiva de los consumidores.</w:t>
      </w:r>
    </w:p>
    <w:bookmarkEnd w:id="27"/>
    <w:bookmarkStart w:id="29" w:name="estadísticos-descriptivos"/>
    <w:p>
      <w:pPr>
        <w:pStyle w:val="Heading2"/>
      </w:pPr>
      <w:r>
        <w:t xml:space="preserve">Estadísticos descriptivos</w:t>
      </w:r>
    </w:p>
    <w:p>
      <w:pPr>
        <w:pStyle w:val="SourceCode"/>
      </w:pPr>
      <w:r>
        <w:rPr>
          <w:rStyle w:val="NormalTok"/>
        </w:rPr>
        <w:t xml:space="preserve">descriptivos </w:t>
      </w:r>
      <w:r>
        <w:rPr>
          <w:rStyle w:val="OperatorTok"/>
        </w:rPr>
        <w:t xml:space="preserve">=</w:t>
      </w:r>
      <w:r>
        <w:rPr>
          <w:rStyle w:val="NormalTok"/>
        </w:rPr>
        <w:t xml:space="preserve"> datos.describe().T</w:t>
      </w:r>
      <w:r>
        <w:br/>
      </w:r>
      <w:r>
        <w:br/>
      </w:r>
      <w:r>
        <w:rPr>
          <w:rStyle w:val="NormalTok"/>
        </w:rPr>
        <w:t xml:space="preserve">descriptivos </w:t>
      </w:r>
      <w:r>
        <w:rPr>
          <w:rStyle w:val="OperatorTok"/>
        </w:rPr>
        <w:t xml:space="preserve">=</w:t>
      </w:r>
      <w:r>
        <w:rPr>
          <w:rStyle w:val="NormalTok"/>
        </w:rPr>
        <w:t xml:space="preserve"> descriptivos[</w:t>
      </w:r>
      <w:r>
        <w:br/>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 </w:t>
      </w:r>
      <w:r>
        <w:rPr>
          <w:rStyle w:val="StringTok"/>
        </w:rPr>
        <w:t xml:space="preserve">"min"</w:t>
      </w:r>
      <w:r>
        <w:rPr>
          <w:rStyle w:val="NormalTok"/>
        </w:rPr>
        <w:t xml:space="preserve">, </w:t>
      </w:r>
      <w:r>
        <w:rPr>
          <w:rStyle w:val="StringTok"/>
        </w:rPr>
        <w:t xml:space="preserve">"max"</w:t>
      </w:r>
      <w:r>
        <w:rPr>
          <w:rStyle w:val="NormalTok"/>
        </w:rPr>
        <w:t xml:space="preserve">]</w:t>
      </w:r>
      <w:r>
        <w:br/>
      </w:r>
      <w:r>
        <w:rPr>
          <w:rStyle w:val="NormalTok"/>
        </w:rPr>
        <w:t xml:space="preserve">].rename(columns</w:t>
      </w:r>
      <w:r>
        <w:rPr>
          <w:rStyle w:val="OperatorTok"/>
        </w:rPr>
        <w:t xml:space="preserve">=</w:t>
      </w:r>
      <w:r>
        <w:rPr>
          <w:rStyle w:val="NormalTok"/>
        </w:rPr>
        <w:t xml:space="preserve">{</w:t>
      </w:r>
      <w:r>
        <w:br/>
      </w:r>
      <w:r>
        <w:rPr>
          <w:rStyle w:val="NormalTok"/>
        </w:rPr>
        <w:t xml:space="preserve">    </w:t>
      </w:r>
      <w:r>
        <w:rPr>
          <w:rStyle w:val="StringTok"/>
        </w:rPr>
        <w:t xml:space="preserve">"mean"</w:t>
      </w:r>
      <w:r>
        <w:rPr>
          <w:rStyle w:val="NormalTok"/>
        </w:rPr>
        <w:t xml:space="preserve">: </w:t>
      </w:r>
      <w:r>
        <w:rPr>
          <w:rStyle w:val="StringTok"/>
        </w:rPr>
        <w:t xml:space="preserve">"Media"</w:t>
      </w:r>
      <w:r>
        <w:rPr>
          <w:rStyle w:val="NormalTok"/>
        </w:rPr>
        <w:t xml:space="preserve">,</w:t>
      </w:r>
      <w:r>
        <w:br/>
      </w:r>
      <w:r>
        <w:rPr>
          <w:rStyle w:val="NormalTok"/>
        </w:rPr>
        <w:t xml:space="preserve">    </w:t>
      </w:r>
      <w:r>
        <w:rPr>
          <w:rStyle w:val="StringTok"/>
        </w:rPr>
        <w:t xml:space="preserve">"std"</w:t>
      </w:r>
      <w:r>
        <w:rPr>
          <w:rStyle w:val="NormalTok"/>
        </w:rPr>
        <w:t xml:space="preserve">: </w:t>
      </w:r>
      <w:r>
        <w:rPr>
          <w:rStyle w:val="StringTok"/>
        </w:rPr>
        <w:t xml:space="preserve">"Desvío estándar"</w:t>
      </w:r>
      <w:r>
        <w:rPr>
          <w:rStyle w:val="NormalTok"/>
        </w:rPr>
        <w:t xml:space="preserve">,</w:t>
      </w:r>
      <w:r>
        <w:br/>
      </w:r>
      <w:r>
        <w:rPr>
          <w:rStyle w:val="NormalTok"/>
        </w:rPr>
        <w:t xml:space="preserve">    </w:t>
      </w:r>
      <w:r>
        <w:rPr>
          <w:rStyle w:val="StringTok"/>
        </w:rPr>
        <w:t xml:space="preserve">"min"</w:t>
      </w:r>
      <w:r>
        <w:rPr>
          <w:rStyle w:val="NormalTok"/>
        </w:rPr>
        <w:t xml:space="preserve">: </w:t>
      </w:r>
      <w:r>
        <w:rPr>
          <w:rStyle w:val="StringTok"/>
        </w:rPr>
        <w:t xml:space="preserve">"Mínimo"</w:t>
      </w:r>
      <w:r>
        <w:rPr>
          <w:rStyle w:val="NormalTok"/>
        </w:rPr>
        <w:t xml:space="preserve">,</w:t>
      </w:r>
      <w:r>
        <w:br/>
      </w:r>
      <w:r>
        <w:rPr>
          <w:rStyle w:val="NormalTok"/>
        </w:rPr>
        <w:t xml:space="preserve">    </w:t>
      </w:r>
      <w:r>
        <w:rPr>
          <w:rStyle w:val="StringTok"/>
        </w:rPr>
        <w:t xml:space="preserve">"max"</w:t>
      </w:r>
      <w:r>
        <w:rPr>
          <w:rStyle w:val="NormalTok"/>
        </w:rPr>
        <w:t xml:space="preserve">: </w:t>
      </w:r>
      <w:r>
        <w:rPr>
          <w:rStyle w:val="StringTok"/>
        </w:rPr>
        <w:t xml:space="preserve">"Máximo"</w:t>
      </w:r>
      <w:r>
        <w:br/>
      </w:r>
      <w:r>
        <w:rPr>
          <w:rStyle w:val="NormalTok"/>
        </w:rPr>
        <w:t xml:space="preserve">})</w:t>
      </w:r>
      <w:r>
        <w:br/>
      </w:r>
      <w:r>
        <w:br/>
      </w:r>
      <w:r>
        <w:rPr>
          <w:rStyle w:val="NormalTok"/>
        </w:rPr>
        <w:t xml:space="preserve">descriptivos[</w:t>
      </w:r>
      <w:r>
        <w:rPr>
          <w:rStyle w:val="StringTok"/>
        </w:rPr>
        <w:t xml:space="preserve">"Coef. de variación"</w:t>
      </w:r>
      <w:r>
        <w:rPr>
          <w:rStyle w:val="NormalTok"/>
        </w:rPr>
        <w:t xml:space="preserve">] </w:t>
      </w:r>
      <w:r>
        <w:rPr>
          <w:rStyle w:val="OperatorTok"/>
        </w:rPr>
        <w:t xml:space="preserve">=</w:t>
      </w:r>
      <w:r>
        <w:rPr>
          <w:rStyle w:val="NormalTok"/>
        </w:rPr>
        <w:t xml:space="preserve"> (</w:t>
      </w:r>
      <w:r>
        <w:br/>
      </w:r>
      <w:r>
        <w:rPr>
          <w:rStyle w:val="NormalTok"/>
        </w:rPr>
        <w:t xml:space="preserve">    descriptivos[</w:t>
      </w:r>
      <w:r>
        <w:rPr>
          <w:rStyle w:val="StringTok"/>
        </w:rPr>
        <w:t xml:space="preserve">"Desvío estándar"</w:t>
      </w:r>
      <w:r>
        <w:rPr>
          <w:rStyle w:val="NormalTok"/>
        </w:rPr>
        <w:t xml:space="preserve">] </w:t>
      </w:r>
      <w:r>
        <w:rPr>
          <w:rStyle w:val="OperatorTok"/>
        </w:rPr>
        <w:t xml:space="preserve">/</w:t>
      </w:r>
      <w:r>
        <w:rPr>
          <w:rStyle w:val="NormalTok"/>
        </w:rPr>
        <w:t xml:space="preserve"> descriptivos[</w:t>
      </w:r>
      <w:r>
        <w:rPr>
          <w:rStyle w:val="StringTok"/>
        </w:rPr>
        <w:t xml:space="preserve">"Media"</w:t>
      </w:r>
      <w:r>
        <w:rPr>
          <w:rStyle w:val="NormalTok"/>
        </w:rPr>
        <w:t xml:space="preserve">]</w:t>
      </w:r>
      <w:r>
        <w:br/>
      </w:r>
      <w:r>
        <w:rPr>
          <w:rStyle w:val="NormalTok"/>
        </w:rPr>
        <w:t xml:space="preserve">)</w:t>
      </w:r>
      <w:r>
        <w:br/>
      </w:r>
      <w:r>
        <w:br/>
      </w:r>
      <w:r>
        <w:rPr>
          <w:rStyle w:val="NormalTok"/>
        </w:rPr>
        <w:t xml:space="preserve">display(descriptivos.</w:t>
      </w:r>
      <w:r>
        <w:rPr>
          <w:rStyle w:val="BuiltInTok"/>
        </w:rPr>
        <w:t xml:space="preserve">round</w:t>
      </w:r>
      <w:r>
        <w:rPr>
          <w:rStyle w:val="NormalTok"/>
        </w:rPr>
        <w:t xml:space="preserve">(</w:t>
      </w:r>
      <w:r>
        <w:rPr>
          <w:rStyle w:val="DecValTok"/>
        </w:rPr>
        <w:t xml:space="preserve">2</w:t>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28" w:name="T_7f53a"/>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Media</w:t>
            </w:r>
          </w:p>
        </w:tc>
        <w:tc>
          <w:tcPr/>
          <w:p>
            <w:pPr>
              <w:pStyle w:val="Compact"/>
              <w:jc w:val="left"/>
            </w:pPr>
            <w:r>
              <w:t xml:space="preserve">Desvío estándar</w:t>
            </w:r>
          </w:p>
        </w:tc>
        <w:tc>
          <w:tcPr/>
          <w:p>
            <w:pPr>
              <w:pStyle w:val="Compact"/>
              <w:jc w:val="left"/>
            </w:pPr>
            <w:r>
              <w:t xml:space="preserve">Mínimo</w:t>
            </w:r>
          </w:p>
        </w:tc>
        <w:tc>
          <w:tcPr/>
          <w:p>
            <w:pPr>
              <w:pStyle w:val="Compact"/>
              <w:jc w:val="left"/>
            </w:pPr>
            <w:r>
              <w:t xml:space="preserve">Máximo</w:t>
            </w:r>
          </w:p>
        </w:tc>
        <w:tc>
          <w:tcPr/>
          <w:p>
            <w:pPr>
              <w:pStyle w:val="Compact"/>
              <w:jc w:val="left"/>
            </w:pPr>
            <w:r>
              <w:t xml:space="preserve">Coef. de variación</w:t>
            </w:r>
          </w:p>
        </w:tc>
      </w:tr>
      <w:tr>
        <w:tc>
          <w:tcPr/>
          <w:p>
            <w:pPr>
              <w:pStyle w:val="Compact"/>
              <w:jc w:val="left"/>
            </w:pPr>
            <w:r>
              <w:t xml:space="preserve">4.150000</w:t>
            </w:r>
          </w:p>
        </w:tc>
        <w:tc>
          <w:tcPr/>
          <w:p>
            <w:pPr>
              <w:pStyle w:val="Compact"/>
              <w:jc w:val="left"/>
            </w:pPr>
            <w:r>
              <w:t xml:space="preserve">0.840000</w:t>
            </w:r>
          </w:p>
        </w:tc>
        <w:tc>
          <w:tcPr/>
          <w:p>
            <w:pPr>
              <w:pStyle w:val="Compact"/>
              <w:jc w:val="left"/>
            </w:pPr>
            <w:r>
              <w:t xml:space="preserve">1.000000</w:t>
            </w:r>
          </w:p>
        </w:tc>
        <w:tc>
          <w:tcPr/>
          <w:p>
            <w:pPr>
              <w:pStyle w:val="Compact"/>
              <w:jc w:val="left"/>
            </w:pPr>
            <w:r>
              <w:t xml:space="preserve">5.000000</w:t>
            </w:r>
          </w:p>
        </w:tc>
        <w:tc>
          <w:tcPr/>
          <w:p>
            <w:pPr>
              <w:pStyle w:val="Compact"/>
              <w:jc w:val="left"/>
            </w:pPr>
            <w:r>
              <w:t xml:space="preserve">0.200000</w:t>
            </w:r>
          </w:p>
        </w:tc>
      </w:tr>
      <w:tr>
        <w:tc>
          <w:tcPr/>
          <w:p>
            <w:pPr>
              <w:pStyle w:val="Compact"/>
              <w:jc w:val="left"/>
            </w:pPr>
            <w:r>
              <w:t xml:space="preserve">4.280000</w:t>
            </w:r>
          </w:p>
        </w:tc>
        <w:tc>
          <w:tcPr/>
          <w:p>
            <w:pPr>
              <w:pStyle w:val="Compact"/>
              <w:jc w:val="left"/>
            </w:pPr>
            <w:r>
              <w:t xml:space="preserve">0.810000</w:t>
            </w:r>
          </w:p>
        </w:tc>
        <w:tc>
          <w:tcPr/>
          <w:p>
            <w:pPr>
              <w:pStyle w:val="Compact"/>
              <w:jc w:val="left"/>
            </w:pPr>
            <w:r>
              <w:t xml:space="preserve">1.000000</w:t>
            </w:r>
          </w:p>
        </w:tc>
        <w:tc>
          <w:tcPr/>
          <w:p>
            <w:pPr>
              <w:pStyle w:val="Compact"/>
              <w:jc w:val="left"/>
            </w:pPr>
            <w:r>
              <w:t xml:space="preserve">5.000000</w:t>
            </w:r>
          </w:p>
        </w:tc>
        <w:tc>
          <w:tcPr/>
          <w:p>
            <w:pPr>
              <w:pStyle w:val="Compact"/>
              <w:jc w:val="left"/>
            </w:pPr>
            <w:r>
              <w:t xml:space="preserve">0.190000</w:t>
            </w:r>
          </w:p>
        </w:tc>
      </w:tr>
      <w:tr>
        <w:tc>
          <w:tcPr/>
          <w:p>
            <w:pPr>
              <w:pStyle w:val="Compact"/>
              <w:jc w:val="left"/>
            </w:pPr>
            <w:r>
              <w:t xml:space="preserve">3.780000</w:t>
            </w:r>
          </w:p>
        </w:tc>
        <w:tc>
          <w:tcPr/>
          <w:p>
            <w:pPr>
              <w:pStyle w:val="Compact"/>
              <w:jc w:val="left"/>
            </w:pPr>
            <w:r>
              <w:t xml:space="preserve">0.900000</w:t>
            </w:r>
          </w:p>
        </w:tc>
        <w:tc>
          <w:tcPr/>
          <w:p>
            <w:pPr>
              <w:pStyle w:val="Compact"/>
              <w:jc w:val="left"/>
            </w:pPr>
            <w:r>
              <w:t xml:space="preserve">1.000000</w:t>
            </w:r>
          </w:p>
        </w:tc>
        <w:tc>
          <w:tcPr/>
          <w:p>
            <w:pPr>
              <w:pStyle w:val="Compact"/>
              <w:jc w:val="left"/>
            </w:pPr>
            <w:r>
              <w:t xml:space="preserve">5.000000</w:t>
            </w:r>
          </w:p>
        </w:tc>
        <w:tc>
          <w:tcPr/>
          <w:p>
            <w:pPr>
              <w:pStyle w:val="Compact"/>
              <w:jc w:val="left"/>
            </w:pPr>
            <w:r>
              <w:t xml:space="preserve">0.240000</w:t>
            </w:r>
          </w:p>
        </w:tc>
      </w:tr>
      <w:tr>
        <w:tc>
          <w:tcPr/>
          <w:p>
            <w:pPr>
              <w:pStyle w:val="Compact"/>
              <w:jc w:val="left"/>
            </w:pPr>
            <w:r>
              <w:t xml:space="preserve">4.280000</w:t>
            </w:r>
          </w:p>
        </w:tc>
        <w:tc>
          <w:tcPr/>
          <w:p>
            <w:pPr>
              <w:pStyle w:val="Compact"/>
              <w:jc w:val="left"/>
            </w:pPr>
            <w:r>
              <w:t xml:space="preserve">0.720000</w:t>
            </w:r>
          </w:p>
        </w:tc>
        <w:tc>
          <w:tcPr/>
          <w:p>
            <w:pPr>
              <w:pStyle w:val="Compact"/>
              <w:jc w:val="left"/>
            </w:pPr>
            <w:r>
              <w:t xml:space="preserve">2.000000</w:t>
            </w:r>
          </w:p>
        </w:tc>
        <w:tc>
          <w:tcPr/>
          <w:p>
            <w:pPr>
              <w:pStyle w:val="Compact"/>
              <w:jc w:val="left"/>
            </w:pPr>
            <w:r>
              <w:t xml:space="preserve">5.000000</w:t>
            </w:r>
          </w:p>
        </w:tc>
        <w:tc>
          <w:tcPr/>
          <w:p>
            <w:pPr>
              <w:pStyle w:val="Compact"/>
              <w:jc w:val="left"/>
            </w:pPr>
            <w:r>
              <w:t xml:space="preserve">0.170000</w:t>
            </w:r>
          </w:p>
        </w:tc>
      </w:tr>
      <w:tr>
        <w:tc>
          <w:tcPr/>
          <w:p>
            <w:pPr>
              <w:pStyle w:val="Compact"/>
              <w:jc w:val="left"/>
            </w:pPr>
            <w:r>
              <w:t xml:space="preserve">4.100000</w:t>
            </w:r>
          </w:p>
        </w:tc>
        <w:tc>
          <w:tcPr/>
          <w:p>
            <w:pPr>
              <w:pStyle w:val="Compact"/>
              <w:jc w:val="left"/>
            </w:pPr>
            <w:r>
              <w:t xml:space="preserve">0.790000</w:t>
            </w:r>
          </w:p>
        </w:tc>
        <w:tc>
          <w:tcPr/>
          <w:p>
            <w:pPr>
              <w:pStyle w:val="Compact"/>
              <w:jc w:val="left"/>
            </w:pPr>
            <w:r>
              <w:t xml:space="preserve">1.000000</w:t>
            </w:r>
          </w:p>
        </w:tc>
        <w:tc>
          <w:tcPr/>
          <w:p>
            <w:pPr>
              <w:pStyle w:val="Compact"/>
              <w:jc w:val="left"/>
            </w:pPr>
            <w:r>
              <w:t xml:space="preserve">5.000000</w:t>
            </w:r>
          </w:p>
        </w:tc>
        <w:tc>
          <w:tcPr/>
          <w:p>
            <w:pPr>
              <w:pStyle w:val="Compact"/>
              <w:jc w:val="left"/>
            </w:pPr>
            <w:r>
              <w:t xml:space="preserve">0.190000</w:t>
            </w:r>
          </w:p>
        </w:tc>
      </w:tr>
      <w:tr>
        <w:tc>
          <w:tcPr/>
          <w:p>
            <w:pPr>
              <w:pStyle w:val="Compact"/>
              <w:jc w:val="left"/>
            </w:pPr>
            <w:r>
              <w:t xml:space="preserve">4.170000</w:t>
            </w:r>
          </w:p>
        </w:tc>
        <w:tc>
          <w:tcPr/>
          <w:p>
            <w:pPr>
              <w:pStyle w:val="Compact"/>
              <w:jc w:val="left"/>
            </w:pPr>
            <w:r>
              <w:t xml:space="preserve">0.790000</w:t>
            </w:r>
          </w:p>
        </w:tc>
        <w:tc>
          <w:tcPr/>
          <w:p>
            <w:pPr>
              <w:pStyle w:val="Compact"/>
              <w:jc w:val="left"/>
            </w:pPr>
            <w:r>
              <w:t xml:space="preserve">1.000000</w:t>
            </w:r>
          </w:p>
        </w:tc>
        <w:tc>
          <w:tcPr/>
          <w:p>
            <w:pPr>
              <w:pStyle w:val="Compact"/>
              <w:jc w:val="left"/>
            </w:pPr>
            <w:r>
              <w:t xml:space="preserve">5.000000</w:t>
            </w:r>
          </w:p>
        </w:tc>
        <w:tc>
          <w:tcPr/>
          <w:p>
            <w:pPr>
              <w:pStyle w:val="Compact"/>
              <w:jc w:val="left"/>
            </w:pPr>
            <w:r>
              <w:t xml:space="preserve">0.190000</w:t>
            </w:r>
          </w:p>
        </w:tc>
      </w:tr>
      <w:tr>
        <w:tc>
          <w:tcPr/>
          <w:p>
            <w:pPr>
              <w:pStyle w:val="Compact"/>
              <w:jc w:val="left"/>
            </w:pPr>
            <w:r>
              <w:t xml:space="preserve">4.070000</w:t>
            </w:r>
          </w:p>
        </w:tc>
        <w:tc>
          <w:tcPr/>
          <w:p>
            <w:pPr>
              <w:pStyle w:val="Compact"/>
              <w:jc w:val="left"/>
            </w:pPr>
            <w:r>
              <w:t xml:space="preserve">0.830000</w:t>
            </w:r>
          </w:p>
        </w:tc>
        <w:tc>
          <w:tcPr/>
          <w:p>
            <w:pPr>
              <w:pStyle w:val="Compact"/>
              <w:jc w:val="left"/>
            </w:pPr>
            <w:r>
              <w:t xml:space="preserve">1.000000</w:t>
            </w:r>
          </w:p>
        </w:tc>
        <w:tc>
          <w:tcPr/>
          <w:p>
            <w:pPr>
              <w:pStyle w:val="Compact"/>
              <w:jc w:val="left"/>
            </w:pPr>
            <w:r>
              <w:t xml:space="preserve">5.000000</w:t>
            </w:r>
          </w:p>
        </w:tc>
        <w:tc>
          <w:tcPr/>
          <w:p>
            <w:pPr>
              <w:pStyle w:val="Compact"/>
              <w:jc w:val="left"/>
            </w:pPr>
            <w:r>
              <w:t xml:space="preserve">0.200000</w:t>
            </w:r>
          </w:p>
        </w:tc>
      </w:tr>
      <w:tr>
        <w:tc>
          <w:tcPr/>
          <w:p>
            <w:pPr>
              <w:pStyle w:val="Compact"/>
              <w:jc w:val="left"/>
            </w:pPr>
            <w:r>
              <w:t xml:space="preserve">4.170000</w:t>
            </w:r>
          </w:p>
        </w:tc>
        <w:tc>
          <w:tcPr/>
          <w:p>
            <w:pPr>
              <w:pStyle w:val="Compact"/>
              <w:jc w:val="left"/>
            </w:pPr>
            <w:r>
              <w:t xml:space="preserve">0.820000</w:t>
            </w:r>
          </w:p>
        </w:tc>
        <w:tc>
          <w:tcPr/>
          <w:p>
            <w:pPr>
              <w:pStyle w:val="Compact"/>
              <w:jc w:val="left"/>
            </w:pPr>
            <w:r>
              <w:t xml:space="preserve">1.000000</w:t>
            </w:r>
          </w:p>
        </w:tc>
        <w:tc>
          <w:tcPr/>
          <w:p>
            <w:pPr>
              <w:pStyle w:val="Compact"/>
              <w:jc w:val="left"/>
            </w:pPr>
            <w:r>
              <w:t xml:space="preserve">5.000000</w:t>
            </w:r>
          </w:p>
        </w:tc>
        <w:tc>
          <w:tcPr/>
          <w:p>
            <w:pPr>
              <w:pStyle w:val="Compact"/>
              <w:jc w:val="left"/>
            </w:pPr>
            <w:r>
              <w:t xml:space="preserve">0.200000</w:t>
            </w:r>
          </w:p>
        </w:tc>
      </w:tr>
      <w:tr>
        <w:tc>
          <w:tcPr/>
          <w:p>
            <w:pPr>
              <w:pStyle w:val="Compact"/>
              <w:jc w:val="left"/>
            </w:pPr>
            <w:r>
              <w:t xml:space="preserve">4.060000</w:t>
            </w:r>
          </w:p>
        </w:tc>
        <w:tc>
          <w:tcPr/>
          <w:p>
            <w:pPr>
              <w:pStyle w:val="Compact"/>
              <w:jc w:val="left"/>
            </w:pPr>
            <w:r>
              <w:t xml:space="preserve">0.840000</w:t>
            </w:r>
          </w:p>
        </w:tc>
        <w:tc>
          <w:tcPr/>
          <w:p>
            <w:pPr>
              <w:pStyle w:val="Compact"/>
              <w:jc w:val="left"/>
            </w:pPr>
            <w:r>
              <w:t xml:space="preserve">1.000000</w:t>
            </w:r>
          </w:p>
        </w:tc>
        <w:tc>
          <w:tcPr/>
          <w:p>
            <w:pPr>
              <w:pStyle w:val="Compact"/>
              <w:jc w:val="left"/>
            </w:pPr>
            <w:r>
              <w:t xml:space="preserve">5.000000</w:t>
            </w:r>
          </w:p>
        </w:tc>
        <w:tc>
          <w:tcPr/>
          <w:p>
            <w:pPr>
              <w:pStyle w:val="Compact"/>
              <w:jc w:val="left"/>
            </w:pPr>
            <w:r>
              <w:t xml:space="preserve">0.210000</w:t>
            </w:r>
          </w:p>
        </w:tc>
      </w:tr>
    </w:tbl>
    <w:bookmarkEnd w:id="28"/>
    <w:p>
      <w:pPr>
        <w:pStyle w:val="BodyText"/>
      </w:pPr>
      <w:r>
        <w:t xml:space="preserve">Los estadísticos descriptivos muestran que las respuestas se concentran en valores relativamente altos de la escala Likert. Las medias de los ítems se ubican entre 3,78 y 4,28, mientras que los desvíos estándar oscilan entre 0,72 y 0,90. Los coeficientes de variación son bajos, entre 0,17 y 0,24, lo que indica una dispersión moderada en relación con los niveles medios observados.</w:t>
      </w:r>
    </w:p>
    <w:p>
      <w:pPr>
        <w:pStyle w:val="BodyText"/>
      </w:pPr>
      <w:r>
        <w:t xml:space="preserve">Antes de realizar el análisis factorial se evaluó si la matriz de correlaciones presentaba condiciones adecuadas para este tipo de técnica. Para ello se utilizaron el test de esfericidad de Bartlett y la medida de adecuación muestral KMO.</w:t>
      </w:r>
    </w:p>
    <w:bookmarkEnd w:id="29"/>
    <w:bookmarkStart w:id="31" w:name="test-de-esfericidad-de-bartlett"/>
    <w:p>
      <w:pPr>
        <w:pStyle w:val="Heading2"/>
      </w:pPr>
      <w:r>
        <w:t xml:space="preserve">Test de esfericidad de Bartlett</w:t>
      </w:r>
    </w:p>
    <w:p>
      <w:pPr>
        <w:pStyle w:val="SourceCode"/>
      </w:pPr>
      <w:r>
        <w:rPr>
          <w:rStyle w:val="NormalTok"/>
        </w:rPr>
        <w:t xml:space="preserve">chi_square, p_value </w:t>
      </w:r>
      <w:r>
        <w:rPr>
          <w:rStyle w:val="OperatorTok"/>
        </w:rPr>
        <w:t xml:space="preserve">=</w:t>
      </w:r>
      <w:r>
        <w:rPr>
          <w:rStyle w:val="NormalTok"/>
        </w:rPr>
        <w:t xml:space="preserve"> calculate_bartlett_sphericity(datos)</w:t>
      </w:r>
      <w:r>
        <w:br/>
      </w:r>
      <w:r>
        <w:br/>
      </w:r>
      <w:r>
        <w:rPr>
          <w:rStyle w:val="NormalTok"/>
        </w:rPr>
        <w:t xml:space="preserve">p </w:t>
      </w:r>
      <w:r>
        <w:rPr>
          <w:rStyle w:val="OperatorTok"/>
        </w:rPr>
        <w:t xml:space="preserve">=</w:t>
      </w:r>
      <w:r>
        <w:rPr>
          <w:rStyle w:val="NormalTok"/>
        </w:rPr>
        <w:t xml:space="preserve"> datos.shape[</w:t>
      </w:r>
      <w:r>
        <w:rPr>
          <w:rStyle w:val="DecValTok"/>
        </w:rPr>
        <w:t xml:space="preserve">1</w:t>
      </w:r>
      <w:r>
        <w:rPr>
          <w:rStyle w:val="NormalTok"/>
        </w:rPr>
        <w:t xml:space="preserve">]</w:t>
      </w:r>
      <w:r>
        <w:br/>
      </w:r>
      <w:r>
        <w:rPr>
          <w:rStyle w:val="NormalTok"/>
        </w:rPr>
        <w:t xml:space="preserve">df_bartlett </w:t>
      </w:r>
      <w:r>
        <w:rPr>
          <w:rStyle w:val="OperatorTok"/>
        </w:rPr>
        <w:t xml:space="preserve">=</w:t>
      </w:r>
      <w:r>
        <w:rPr>
          <w:rStyle w:val="NormalTok"/>
        </w:rPr>
        <w:t xml:space="preserve"> p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resultado_bartlett </w:t>
      </w:r>
      <w:r>
        <w:rPr>
          <w:rStyle w:val="OperatorTok"/>
        </w:rPr>
        <w:t xml:space="preserve">=</w:t>
      </w:r>
      <w:r>
        <w:rPr>
          <w:rStyle w:val="NormalTok"/>
        </w:rPr>
        <w:t xml:space="preserve"> pd.DataFrame({</w:t>
      </w:r>
      <w:r>
        <w:br/>
      </w:r>
      <w:r>
        <w:rPr>
          <w:rStyle w:val="NormalTok"/>
        </w:rPr>
        <w:t xml:space="preserve">    </w:t>
      </w:r>
      <w:r>
        <w:rPr>
          <w:rStyle w:val="StringTok"/>
        </w:rPr>
        <w:t xml:space="preserve">"Estadístico"</w:t>
      </w:r>
      <w:r>
        <w:rPr>
          <w:rStyle w:val="NormalTok"/>
        </w:rPr>
        <w:t xml:space="preserve">: [</w:t>
      </w:r>
      <w:r>
        <w:rPr>
          <w:rStyle w:val="StringTok"/>
        </w:rPr>
        <w:t xml:space="preserve">"Chi-cuadrado"</w:t>
      </w:r>
      <w:r>
        <w:rPr>
          <w:rStyle w:val="NormalTok"/>
        </w:rPr>
        <w:t xml:space="preserve">, </w:t>
      </w:r>
      <w:r>
        <w:rPr>
          <w:rStyle w:val="StringTok"/>
        </w:rPr>
        <w:t xml:space="preserve">"Grados de libertad"</w:t>
      </w:r>
      <w:r>
        <w:rPr>
          <w:rStyle w:val="NormalTok"/>
        </w:rPr>
        <w:t xml:space="preserve">, </w:t>
      </w:r>
      <w:r>
        <w:rPr>
          <w:rStyle w:val="StringTok"/>
        </w:rPr>
        <w:t xml:space="preserve">"p-value"</w:t>
      </w:r>
      <w:r>
        <w:rPr>
          <w:rStyle w:val="NormalTok"/>
        </w:rPr>
        <w:t xml:space="preserve">],</w:t>
      </w:r>
      <w:r>
        <w:br/>
      </w:r>
      <w:r>
        <w:rPr>
          <w:rStyle w:val="NormalTok"/>
        </w:rPr>
        <w:t xml:space="preserve">    </w:t>
      </w:r>
      <w:r>
        <w:rPr>
          <w:rStyle w:val="StringTok"/>
        </w:rPr>
        <w:t xml:space="preserve">"Valor"</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chi_square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df_bartlett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p_value</w:t>
      </w:r>
      <w:r>
        <w:rPr>
          <w:rStyle w:val="SpecialCharTok"/>
        </w:rPr>
        <w:t xml:space="preserve">:.2e}</w:t>
      </w:r>
      <w:r>
        <w:rPr>
          <w:rStyle w:val="SpecialStringTok"/>
        </w:rPr>
        <w:t xml:space="preserve">"</w:t>
      </w:r>
      <w:r>
        <w:rPr>
          <w:rStyle w:val="NormalTok"/>
        </w:rPr>
        <w:t xml:space="preserve">]</w:t>
      </w:r>
      <w:r>
        <w:br/>
      </w:r>
      <w:r>
        <w:rPr>
          <w:rStyle w:val="NormalTok"/>
        </w:rPr>
        <w:t xml:space="preserve">})</w:t>
      </w:r>
      <w:r>
        <w:br/>
      </w:r>
      <w:r>
        <w:br/>
      </w:r>
      <w:r>
        <w:rPr>
          <w:rStyle w:val="NormalTok"/>
        </w:rPr>
        <w:t xml:space="preserve">display(resultado_bartlett.style.hide(axis</w:t>
      </w:r>
      <w:r>
        <w:rPr>
          <w:rStyle w:val="OperatorTok"/>
        </w:rPr>
        <w:t xml:space="preserve">=</w:t>
      </w:r>
      <w:r>
        <w:rPr>
          <w:rStyle w:val="StringTok"/>
        </w:rPr>
        <w:t xml:space="preserve">"index"</w:t>
      </w:r>
      <w:r>
        <w:rPr>
          <w:rStyle w:val="NormalTok"/>
        </w:rPr>
        <w:t xml:space="preserve">))</w:t>
      </w:r>
    </w:p>
    <w:bookmarkStart w:id="30" w:name="T_6dcb0"/>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Estadístico</w:t>
            </w:r>
          </w:p>
        </w:tc>
        <w:tc>
          <w:tcPr/>
          <w:p>
            <w:pPr>
              <w:pStyle w:val="Compact"/>
              <w:jc w:val="left"/>
            </w:pPr>
            <w:r>
              <w:t xml:space="preserve">Valor</w:t>
            </w:r>
          </w:p>
        </w:tc>
      </w:tr>
      <w:tr>
        <w:tc>
          <w:tcPr/>
          <w:p>
            <w:pPr>
              <w:pStyle w:val="Compact"/>
              <w:jc w:val="left"/>
            </w:pPr>
            <w:r>
              <w:t xml:space="preserve">Chi-cuadrado</w:t>
            </w:r>
          </w:p>
        </w:tc>
        <w:tc>
          <w:tcPr/>
          <w:p>
            <w:pPr>
              <w:pStyle w:val="Compact"/>
              <w:jc w:val="left"/>
            </w:pPr>
            <w:r>
              <w:t xml:space="preserve">1458.09</w:t>
            </w:r>
          </w:p>
        </w:tc>
      </w:tr>
      <w:tr>
        <w:tc>
          <w:tcPr/>
          <w:p>
            <w:pPr>
              <w:pStyle w:val="Compact"/>
              <w:jc w:val="left"/>
            </w:pPr>
            <w:r>
              <w:t xml:space="preserve">Grados de libertad</w:t>
            </w:r>
          </w:p>
        </w:tc>
        <w:tc>
          <w:tcPr/>
          <w:p>
            <w:pPr>
              <w:pStyle w:val="Compact"/>
              <w:jc w:val="left"/>
            </w:pPr>
            <w:r>
              <w:t xml:space="preserve">36</w:t>
            </w:r>
          </w:p>
        </w:tc>
      </w:tr>
      <w:tr>
        <w:tc>
          <w:tcPr/>
          <w:p>
            <w:pPr>
              <w:pStyle w:val="Compact"/>
              <w:jc w:val="left"/>
            </w:pPr>
            <w:r>
              <w:t xml:space="preserve">p-value</w:t>
            </w:r>
          </w:p>
        </w:tc>
        <w:tc>
          <w:tcPr/>
          <w:p>
            <w:pPr>
              <w:pStyle w:val="Compact"/>
              <w:jc w:val="left"/>
            </w:pPr>
            <w:r>
              <w:t xml:space="preserve">3.20e-283</w:t>
            </w:r>
          </w:p>
        </w:tc>
      </w:tr>
    </w:tbl>
    <w:bookmarkEnd w:id="30"/>
    <w:p>
      <w:pPr>
        <w:pStyle w:val="BodyText"/>
      </w:pPr>
      <w:r>
        <w:t xml:space="preserve">El test de Bartlett resultó estadísticamente significativo (χ² = 1458,09; gl = 36; p &lt; 0,001), por lo que se rechaza la hipótesis nula de que la matriz de correlaciones sea una matriz identidad. Esto indica que existen asociaciones suficientes entre los ítems como para considerar una estructura factorial subyacente.</w:t>
      </w:r>
    </w:p>
    <w:bookmarkEnd w:id="31"/>
    <w:bookmarkStart w:id="33" w:name="medida-de-adecuación-muestral-kmo"/>
    <w:p>
      <w:pPr>
        <w:pStyle w:val="Heading2"/>
      </w:pPr>
      <w:r>
        <w:t xml:space="preserve">Medida de adecuación muestral KMO</w:t>
      </w:r>
    </w:p>
    <w:p>
      <w:pPr>
        <w:pStyle w:val="Compact"/>
        <w:numPr>
          <w:ilvl w:val="0"/>
          <w:numId w:val="1006"/>
        </w:numPr>
      </w:pPr>
      <w:r>
        <w:t xml:space="preserve">KMO</w:t>
      </w:r>
    </w:p>
    <w:p>
      <w:pPr>
        <w:pStyle w:val="SourceCode"/>
      </w:pPr>
      <w:r>
        <w:rPr>
          <w:rStyle w:val="NormalTok"/>
        </w:rPr>
        <w:t xml:space="preserve">kmo_variables, kmo_total </w:t>
      </w:r>
      <w:r>
        <w:rPr>
          <w:rStyle w:val="OperatorTok"/>
        </w:rPr>
        <w:t xml:space="preserve">=</w:t>
      </w:r>
      <w:r>
        <w:rPr>
          <w:rStyle w:val="NormalTok"/>
        </w:rPr>
        <w:t xml:space="preserve"> calculate_kmo(datos)</w:t>
      </w:r>
      <w:r>
        <w:br/>
      </w:r>
      <w:r>
        <w:rPr>
          <w:rStyle w:val="BuiltInTok"/>
        </w:rPr>
        <w:t xml:space="preserve">print</w:t>
      </w:r>
      <w:r>
        <w:rPr>
          <w:rStyle w:val="NormalTok"/>
        </w:rPr>
        <w:t xml:space="preserve">(</w:t>
      </w:r>
      <w:r>
        <w:rPr>
          <w:rStyle w:val="StringTok"/>
        </w:rPr>
        <w:t xml:space="preserve">"KMO global:"</w:t>
      </w:r>
      <w:r>
        <w:rPr>
          <w:rStyle w:val="NormalTok"/>
        </w:rPr>
        <w:t xml:space="preserve">, </w:t>
      </w:r>
      <w:r>
        <w:rPr>
          <w:rStyle w:val="BuiltInTok"/>
        </w:rPr>
        <w:t xml:space="preserve">round</w:t>
      </w:r>
      <w:r>
        <w:rPr>
          <w:rStyle w:val="NormalTok"/>
        </w:rPr>
        <w:t xml:space="preserve">(kmo_total, </w:t>
      </w:r>
      <w:r>
        <w:rPr>
          <w:rStyle w:val="DecValTok"/>
        </w:rPr>
        <w:t xml:space="preserve">3</w:t>
      </w:r>
      <w:r>
        <w:rPr>
          <w:rStyle w:val="NormalTok"/>
        </w:rPr>
        <w:t xml:space="preserve">))</w:t>
      </w:r>
    </w:p>
    <w:p>
      <w:pPr>
        <w:pStyle w:val="SourceCode"/>
      </w:pPr>
      <w:r>
        <w:rPr>
          <w:rStyle w:val="VerbatimChar"/>
        </w:rPr>
        <w:t xml:space="preserve">KMO global: 0.865</w:t>
      </w:r>
    </w:p>
    <w:p>
      <w:pPr>
        <w:pStyle w:val="Compact"/>
        <w:numPr>
          <w:ilvl w:val="0"/>
          <w:numId w:val="1007"/>
        </w:numPr>
      </w:pPr>
      <w:r>
        <w:t xml:space="preserve">KMO por variable</w:t>
      </w:r>
    </w:p>
    <w:p>
      <w:pPr>
        <w:pStyle w:val="SourceCode"/>
      </w:pPr>
      <w:r>
        <w:rPr>
          <w:rStyle w:val="NormalTok"/>
        </w:rPr>
        <w:t xml:space="preserve">kmo_df </w:t>
      </w:r>
      <w:r>
        <w:rPr>
          <w:rStyle w:val="OperatorTok"/>
        </w:rPr>
        <w:t xml:space="preserve">=</w:t>
      </w:r>
      <w:r>
        <w:rPr>
          <w:rStyle w:val="NormalTok"/>
        </w:rPr>
        <w:t xml:space="preserve"> pd.DataFrame({</w:t>
      </w:r>
      <w:r>
        <w:br/>
      </w:r>
      <w:r>
        <w:rPr>
          <w:rStyle w:val="NormalTok"/>
        </w:rPr>
        <w:t xml:space="preserve">    </w:t>
      </w:r>
      <w:r>
        <w:rPr>
          <w:rStyle w:val="StringTok"/>
        </w:rPr>
        <w:t xml:space="preserve">"Variable"</w:t>
      </w:r>
      <w:r>
        <w:rPr>
          <w:rStyle w:val="NormalTok"/>
        </w:rPr>
        <w:t xml:space="preserve">: variables,</w:t>
      </w:r>
      <w:r>
        <w:br/>
      </w:r>
      <w:r>
        <w:rPr>
          <w:rStyle w:val="NormalTok"/>
        </w:rPr>
        <w:t xml:space="preserve">    </w:t>
      </w:r>
      <w:r>
        <w:rPr>
          <w:rStyle w:val="StringTok"/>
        </w:rPr>
        <w:t xml:space="preserve">"KMO"</w:t>
      </w:r>
      <w:r>
        <w:rPr>
          <w:rStyle w:val="NormalTok"/>
        </w:rPr>
        <w:t xml:space="preserve">: kmo_variables</w:t>
      </w:r>
      <w:r>
        <w:br/>
      </w:r>
      <w:r>
        <w:rPr>
          <w:rStyle w:val="NormalTok"/>
        </w:rPr>
        <w:t xml:space="preserve">})</w:t>
      </w:r>
      <w:r>
        <w:br/>
      </w:r>
      <w:r>
        <w:br/>
      </w:r>
      <w:r>
        <w:rPr>
          <w:rStyle w:val="NormalTok"/>
        </w:rPr>
        <w:t xml:space="preserve">display(kmo_df.</w:t>
      </w:r>
      <w:r>
        <w:rPr>
          <w:rStyle w:val="BuiltInTok"/>
        </w:rPr>
        <w:t xml:space="preserve">round</w:t>
      </w:r>
      <w:r>
        <w:rPr>
          <w:rStyle w:val="NormalTok"/>
        </w:rPr>
        <w:t xml:space="preserve">(</w:t>
      </w:r>
      <w:r>
        <w:rPr>
          <w:rStyle w:val="DecValTok"/>
        </w:rPr>
        <w:t xml:space="preserve">3</w:t>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32" w:name="T_1fe11"/>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KMO</w:t>
            </w:r>
          </w:p>
        </w:tc>
      </w:tr>
      <w:tr>
        <w:tc>
          <w:tcPr/>
          <w:p>
            <w:pPr>
              <w:pStyle w:val="Compact"/>
              <w:jc w:val="left"/>
            </w:pPr>
            <w:r>
              <w:t xml:space="preserve">ALOY1</w:t>
            </w:r>
          </w:p>
        </w:tc>
        <w:tc>
          <w:tcPr/>
          <w:p>
            <w:pPr>
              <w:pStyle w:val="Compact"/>
              <w:jc w:val="left"/>
            </w:pPr>
            <w:r>
              <w:t xml:space="preserve">0.854000</w:t>
            </w:r>
          </w:p>
        </w:tc>
      </w:tr>
      <w:tr>
        <w:tc>
          <w:tcPr/>
          <w:p>
            <w:pPr>
              <w:pStyle w:val="Compact"/>
              <w:jc w:val="left"/>
            </w:pPr>
            <w:r>
              <w:t xml:space="preserve">ALOY2</w:t>
            </w:r>
          </w:p>
        </w:tc>
        <w:tc>
          <w:tcPr/>
          <w:p>
            <w:pPr>
              <w:pStyle w:val="Compact"/>
              <w:jc w:val="left"/>
            </w:pPr>
            <w:r>
              <w:t xml:space="preserve">0.825000</w:t>
            </w:r>
          </w:p>
        </w:tc>
      </w:tr>
      <w:tr>
        <w:tc>
          <w:tcPr/>
          <w:p>
            <w:pPr>
              <w:pStyle w:val="Compact"/>
              <w:jc w:val="left"/>
            </w:pPr>
            <w:r>
              <w:t xml:space="preserve">ALOY3</w:t>
            </w:r>
          </w:p>
        </w:tc>
        <w:tc>
          <w:tcPr/>
          <w:p>
            <w:pPr>
              <w:pStyle w:val="Compact"/>
              <w:jc w:val="left"/>
            </w:pPr>
            <w:r>
              <w:t xml:space="preserve">0.864000</w:t>
            </w:r>
          </w:p>
        </w:tc>
      </w:tr>
      <w:tr>
        <w:tc>
          <w:tcPr/>
          <w:p>
            <w:pPr>
              <w:pStyle w:val="Compact"/>
              <w:jc w:val="left"/>
            </w:pPr>
            <w:r>
              <w:t xml:space="preserve">CLOY1</w:t>
            </w:r>
          </w:p>
        </w:tc>
        <w:tc>
          <w:tcPr/>
          <w:p>
            <w:pPr>
              <w:pStyle w:val="Compact"/>
              <w:jc w:val="left"/>
            </w:pPr>
            <w:r>
              <w:t xml:space="preserve">0.916000</w:t>
            </w:r>
          </w:p>
        </w:tc>
      </w:tr>
      <w:tr>
        <w:tc>
          <w:tcPr/>
          <w:p>
            <w:pPr>
              <w:pStyle w:val="Compact"/>
              <w:jc w:val="left"/>
            </w:pPr>
            <w:r>
              <w:t xml:space="preserve">CLOY2</w:t>
            </w:r>
          </w:p>
        </w:tc>
        <w:tc>
          <w:tcPr/>
          <w:p>
            <w:pPr>
              <w:pStyle w:val="Compact"/>
              <w:jc w:val="left"/>
            </w:pPr>
            <w:r>
              <w:t xml:space="preserve">0.877000</w:t>
            </w:r>
          </w:p>
        </w:tc>
      </w:tr>
      <w:tr>
        <w:tc>
          <w:tcPr/>
          <w:p>
            <w:pPr>
              <w:pStyle w:val="Compact"/>
              <w:jc w:val="left"/>
            </w:pPr>
            <w:r>
              <w:t xml:space="preserve">CLOY3</w:t>
            </w:r>
          </w:p>
        </w:tc>
        <w:tc>
          <w:tcPr/>
          <w:p>
            <w:pPr>
              <w:pStyle w:val="Compact"/>
              <w:jc w:val="left"/>
            </w:pPr>
            <w:r>
              <w:t xml:space="preserve">0.853000</w:t>
            </w:r>
          </w:p>
        </w:tc>
      </w:tr>
      <w:tr>
        <w:tc>
          <w:tcPr/>
          <w:p>
            <w:pPr>
              <w:pStyle w:val="Compact"/>
              <w:jc w:val="left"/>
            </w:pPr>
            <w:r>
              <w:t xml:space="preserve">CLOY4</w:t>
            </w:r>
          </w:p>
        </w:tc>
        <w:tc>
          <w:tcPr/>
          <w:p>
            <w:pPr>
              <w:pStyle w:val="Compact"/>
              <w:jc w:val="left"/>
            </w:pPr>
            <w:r>
              <w:t xml:space="preserve">0.886000</w:t>
            </w:r>
          </w:p>
        </w:tc>
      </w:tr>
      <w:tr>
        <w:tc>
          <w:tcPr/>
          <w:p>
            <w:pPr>
              <w:pStyle w:val="Compact"/>
              <w:jc w:val="left"/>
            </w:pPr>
            <w:r>
              <w:t xml:space="preserve">CLOY5</w:t>
            </w:r>
          </w:p>
        </w:tc>
        <w:tc>
          <w:tcPr/>
          <w:p>
            <w:pPr>
              <w:pStyle w:val="Compact"/>
              <w:jc w:val="left"/>
            </w:pPr>
            <w:r>
              <w:t xml:space="preserve">0.857000</w:t>
            </w:r>
          </w:p>
        </w:tc>
      </w:tr>
      <w:tr>
        <w:tc>
          <w:tcPr/>
          <w:p>
            <w:pPr>
              <w:pStyle w:val="Compact"/>
              <w:jc w:val="left"/>
            </w:pPr>
            <w:r>
              <w:t xml:space="preserve">CLOY6</w:t>
            </w:r>
          </w:p>
        </w:tc>
        <w:tc>
          <w:tcPr/>
          <w:p>
            <w:pPr>
              <w:pStyle w:val="Compact"/>
              <w:jc w:val="left"/>
            </w:pPr>
            <w:r>
              <w:t xml:space="preserve">0.857000</w:t>
            </w:r>
          </w:p>
        </w:tc>
      </w:tr>
    </w:tbl>
    <w:bookmarkEnd w:id="32"/>
    <w:p>
      <w:pPr>
        <w:pStyle w:val="BodyText"/>
      </w:pPr>
      <w:r>
        <w:t xml:space="preserve">El test de esfericidad de Bartlett resultó estadísticamente significativo (χ² = 1458,09; gl = 36; p &lt; 0,001), por lo que se rechaza la hipótesis nula de ausencia de correlaciones entre las variables. Asimismo, el índice KMO global fue de 0,865, indicando una buena adecuación muestral. En conjunto, ambos resultados respaldan la aplicación del análisis factorial a los datos.</w:t>
      </w:r>
    </w:p>
    <w:bookmarkEnd w:id="33"/>
    <w:bookmarkStart w:id="38" w:name="matriz-de-correlaciones"/>
    <w:p>
      <w:pPr>
        <w:pStyle w:val="Heading2"/>
      </w:pPr>
      <w:r>
        <w:t xml:space="preserve">Matriz de correlaciones</w:t>
      </w:r>
    </w:p>
    <w:p>
      <w:pPr>
        <w:pStyle w:val="Compact"/>
        <w:numPr>
          <w:ilvl w:val="0"/>
          <w:numId w:val="1008"/>
        </w:numPr>
      </w:pPr>
      <w:r>
        <w:t xml:space="preserve">Tabla</w:t>
      </w:r>
    </w:p>
    <w:p>
      <w:pPr>
        <w:pStyle w:val="SourceCode"/>
      </w:pPr>
      <w:r>
        <w:rPr>
          <w:rStyle w:val="NormalTok"/>
        </w:rPr>
        <w:t xml:space="preserve">matriz_correlacion </w:t>
      </w:r>
      <w:r>
        <w:rPr>
          <w:rStyle w:val="OperatorTok"/>
        </w:rPr>
        <w:t xml:space="preserve">=</w:t>
      </w:r>
      <w:r>
        <w:rPr>
          <w:rStyle w:val="NormalTok"/>
        </w:rPr>
        <w:t xml:space="preserve"> datos.corr()</w:t>
      </w:r>
      <w:r>
        <w:br/>
      </w:r>
      <w:r>
        <w:br/>
      </w:r>
      <w:r>
        <w:rPr>
          <w:rStyle w:val="NormalTok"/>
        </w:rPr>
        <w:t xml:space="preserve">display(matriz_correlacion.</w:t>
      </w:r>
      <w:r>
        <w:rPr>
          <w:rStyle w:val="BuiltInTok"/>
        </w:rPr>
        <w:t xml:space="preserve">round</w:t>
      </w:r>
      <w:r>
        <w:rPr>
          <w:rStyle w:val="NormalTok"/>
        </w:rPr>
        <w:t xml:space="preserve">(</w:t>
      </w:r>
      <w:r>
        <w:rPr>
          <w:rStyle w:val="DecValTok"/>
        </w:rPr>
        <w:t xml:space="preserve">3</w:t>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34" w:name="T_d56f7"/>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ALOY1</w:t>
            </w:r>
          </w:p>
        </w:tc>
        <w:tc>
          <w:tcPr/>
          <w:p>
            <w:pPr>
              <w:pStyle w:val="Compact"/>
              <w:jc w:val="left"/>
            </w:pPr>
            <w:r>
              <w:t xml:space="preserve">ALOY2</w:t>
            </w:r>
          </w:p>
        </w:tc>
        <w:tc>
          <w:tcPr/>
          <w:p>
            <w:pPr>
              <w:pStyle w:val="Compact"/>
              <w:jc w:val="left"/>
            </w:pPr>
            <w:r>
              <w:t xml:space="preserve">ALOY3</w:t>
            </w:r>
          </w:p>
        </w:tc>
        <w:tc>
          <w:tcPr/>
          <w:p>
            <w:pPr>
              <w:pStyle w:val="Compact"/>
              <w:jc w:val="left"/>
            </w:pPr>
            <w:r>
              <w:t xml:space="preserve">CLOY1</w:t>
            </w:r>
          </w:p>
        </w:tc>
        <w:tc>
          <w:tcPr/>
          <w:p>
            <w:pPr>
              <w:pStyle w:val="Compact"/>
              <w:jc w:val="left"/>
            </w:pPr>
            <w:r>
              <w:t xml:space="preserve">CLOY2</w:t>
            </w:r>
          </w:p>
        </w:tc>
        <w:tc>
          <w:tcPr/>
          <w:p>
            <w:pPr>
              <w:pStyle w:val="Compact"/>
              <w:jc w:val="left"/>
            </w:pPr>
            <w:r>
              <w:t xml:space="preserve">CLOY3</w:t>
            </w:r>
          </w:p>
        </w:tc>
        <w:tc>
          <w:tcPr/>
          <w:p>
            <w:pPr>
              <w:pStyle w:val="Compact"/>
              <w:jc w:val="left"/>
            </w:pPr>
            <w:r>
              <w:t xml:space="preserve">CLOY4</w:t>
            </w:r>
          </w:p>
        </w:tc>
        <w:tc>
          <w:tcPr/>
          <w:p>
            <w:pPr>
              <w:pStyle w:val="Compact"/>
              <w:jc w:val="left"/>
            </w:pPr>
            <w:r>
              <w:t xml:space="preserve">CLOY5</w:t>
            </w:r>
          </w:p>
        </w:tc>
        <w:tc>
          <w:tcPr/>
          <w:p>
            <w:pPr>
              <w:pStyle w:val="Compact"/>
              <w:jc w:val="left"/>
            </w:pPr>
            <w:r>
              <w:t xml:space="preserve">CLOY6</w:t>
            </w:r>
          </w:p>
        </w:tc>
      </w:tr>
      <w:tr>
        <w:tc>
          <w:tcPr/>
          <w:p>
            <w:pPr>
              <w:pStyle w:val="Compact"/>
              <w:jc w:val="left"/>
            </w:pPr>
            <w:r>
              <w:t xml:space="preserve">1.000000</w:t>
            </w:r>
          </w:p>
        </w:tc>
        <w:tc>
          <w:tcPr/>
          <w:p>
            <w:pPr>
              <w:pStyle w:val="Compact"/>
              <w:jc w:val="left"/>
            </w:pPr>
            <w:r>
              <w:t xml:space="preserve">0.855000</w:t>
            </w:r>
          </w:p>
        </w:tc>
        <w:tc>
          <w:tcPr/>
          <w:p>
            <w:pPr>
              <w:pStyle w:val="Compact"/>
              <w:jc w:val="left"/>
            </w:pPr>
            <w:r>
              <w:t xml:space="preserve">0.652000</w:t>
            </w:r>
          </w:p>
        </w:tc>
        <w:tc>
          <w:tcPr/>
          <w:p>
            <w:pPr>
              <w:pStyle w:val="Compact"/>
              <w:jc w:val="left"/>
            </w:pPr>
            <w:r>
              <w:t xml:space="preserve">0.422000</w:t>
            </w:r>
          </w:p>
        </w:tc>
        <w:tc>
          <w:tcPr/>
          <w:p>
            <w:pPr>
              <w:pStyle w:val="Compact"/>
              <w:jc w:val="left"/>
            </w:pPr>
            <w:r>
              <w:t xml:space="preserve">0.464000</w:t>
            </w:r>
          </w:p>
        </w:tc>
        <w:tc>
          <w:tcPr/>
          <w:p>
            <w:pPr>
              <w:pStyle w:val="Compact"/>
              <w:jc w:val="left"/>
            </w:pPr>
            <w:r>
              <w:t xml:space="preserve">0.456000</w:t>
            </w:r>
          </w:p>
        </w:tc>
        <w:tc>
          <w:tcPr/>
          <w:p>
            <w:pPr>
              <w:pStyle w:val="Compact"/>
              <w:jc w:val="left"/>
            </w:pPr>
            <w:r>
              <w:t xml:space="preserve">0.471000</w:t>
            </w:r>
          </w:p>
        </w:tc>
        <w:tc>
          <w:tcPr/>
          <w:p>
            <w:pPr>
              <w:pStyle w:val="Compact"/>
              <w:jc w:val="left"/>
            </w:pPr>
            <w:r>
              <w:t xml:space="preserve">0.478000</w:t>
            </w:r>
          </w:p>
        </w:tc>
        <w:tc>
          <w:tcPr/>
          <w:p>
            <w:pPr>
              <w:pStyle w:val="Compact"/>
              <w:jc w:val="left"/>
            </w:pPr>
            <w:r>
              <w:t xml:space="preserve">0.694000</w:t>
            </w:r>
          </w:p>
        </w:tc>
      </w:tr>
      <w:tr>
        <w:tc>
          <w:tcPr/>
          <w:p>
            <w:pPr>
              <w:pStyle w:val="Compact"/>
              <w:jc w:val="left"/>
            </w:pPr>
            <w:r>
              <w:t xml:space="preserve">0.855000</w:t>
            </w:r>
          </w:p>
        </w:tc>
        <w:tc>
          <w:tcPr/>
          <w:p>
            <w:pPr>
              <w:pStyle w:val="Compact"/>
              <w:jc w:val="left"/>
            </w:pPr>
            <w:r>
              <w:t xml:space="preserve">1.000000</w:t>
            </w:r>
          </w:p>
        </w:tc>
        <w:tc>
          <w:tcPr/>
          <w:p>
            <w:pPr>
              <w:pStyle w:val="Compact"/>
              <w:jc w:val="left"/>
            </w:pPr>
            <w:r>
              <w:t xml:space="preserve">0.695000</w:t>
            </w:r>
          </w:p>
        </w:tc>
        <w:tc>
          <w:tcPr/>
          <w:p>
            <w:pPr>
              <w:pStyle w:val="Compact"/>
              <w:jc w:val="left"/>
            </w:pPr>
            <w:r>
              <w:t xml:space="preserve">0.385000</w:t>
            </w:r>
          </w:p>
        </w:tc>
        <w:tc>
          <w:tcPr/>
          <w:p>
            <w:pPr>
              <w:pStyle w:val="Compact"/>
              <w:jc w:val="left"/>
            </w:pPr>
            <w:r>
              <w:t xml:space="preserve">0.478000</w:t>
            </w:r>
          </w:p>
        </w:tc>
        <w:tc>
          <w:tcPr/>
          <w:p>
            <w:pPr>
              <w:pStyle w:val="Compact"/>
              <w:jc w:val="left"/>
            </w:pPr>
            <w:r>
              <w:t xml:space="preserve">0.487000</w:t>
            </w:r>
          </w:p>
        </w:tc>
        <w:tc>
          <w:tcPr/>
          <w:p>
            <w:pPr>
              <w:pStyle w:val="Compact"/>
              <w:jc w:val="left"/>
            </w:pPr>
            <w:r>
              <w:t xml:space="preserve">0.451000</w:t>
            </w:r>
          </w:p>
        </w:tc>
        <w:tc>
          <w:tcPr/>
          <w:p>
            <w:pPr>
              <w:pStyle w:val="Compact"/>
              <w:jc w:val="left"/>
            </w:pPr>
            <w:r>
              <w:t xml:space="preserve">0.455000</w:t>
            </w:r>
          </w:p>
        </w:tc>
        <w:tc>
          <w:tcPr/>
          <w:p>
            <w:pPr>
              <w:pStyle w:val="Compact"/>
              <w:jc w:val="left"/>
            </w:pPr>
            <w:r>
              <w:t xml:space="preserve">0.756000</w:t>
            </w:r>
          </w:p>
        </w:tc>
      </w:tr>
      <w:tr>
        <w:tc>
          <w:tcPr/>
          <w:p>
            <w:pPr>
              <w:pStyle w:val="Compact"/>
              <w:jc w:val="left"/>
            </w:pPr>
            <w:r>
              <w:t xml:space="preserve">0.652000</w:t>
            </w:r>
          </w:p>
        </w:tc>
        <w:tc>
          <w:tcPr/>
          <w:p>
            <w:pPr>
              <w:pStyle w:val="Compact"/>
              <w:jc w:val="left"/>
            </w:pPr>
            <w:r>
              <w:t xml:space="preserve">0.695000</w:t>
            </w:r>
          </w:p>
        </w:tc>
        <w:tc>
          <w:tcPr/>
          <w:p>
            <w:pPr>
              <w:pStyle w:val="Compact"/>
              <w:jc w:val="left"/>
            </w:pPr>
            <w:r>
              <w:t xml:space="preserve">1.000000</w:t>
            </w:r>
          </w:p>
        </w:tc>
        <w:tc>
          <w:tcPr/>
          <w:p>
            <w:pPr>
              <w:pStyle w:val="Compact"/>
              <w:jc w:val="left"/>
            </w:pPr>
            <w:r>
              <w:t xml:space="preserve">0.330000</w:t>
            </w:r>
          </w:p>
        </w:tc>
        <w:tc>
          <w:tcPr/>
          <w:p>
            <w:pPr>
              <w:pStyle w:val="Compact"/>
              <w:jc w:val="left"/>
            </w:pPr>
            <w:r>
              <w:t xml:space="preserve">0.402000</w:t>
            </w:r>
          </w:p>
        </w:tc>
        <w:tc>
          <w:tcPr/>
          <w:p>
            <w:pPr>
              <w:pStyle w:val="Compact"/>
              <w:jc w:val="left"/>
            </w:pPr>
            <w:r>
              <w:t xml:space="preserve">0.368000</w:t>
            </w:r>
          </w:p>
        </w:tc>
        <w:tc>
          <w:tcPr/>
          <w:p>
            <w:pPr>
              <w:pStyle w:val="Compact"/>
              <w:jc w:val="left"/>
            </w:pPr>
            <w:r>
              <w:t xml:space="preserve">0.350000</w:t>
            </w:r>
          </w:p>
        </w:tc>
        <w:tc>
          <w:tcPr/>
          <w:p>
            <w:pPr>
              <w:pStyle w:val="Compact"/>
              <w:jc w:val="left"/>
            </w:pPr>
            <w:r>
              <w:t xml:space="preserve">0.338000</w:t>
            </w:r>
          </w:p>
        </w:tc>
        <w:tc>
          <w:tcPr/>
          <w:p>
            <w:pPr>
              <w:pStyle w:val="Compact"/>
              <w:jc w:val="left"/>
            </w:pPr>
            <w:r>
              <w:t xml:space="preserve">0.792000</w:t>
            </w:r>
          </w:p>
        </w:tc>
      </w:tr>
      <w:tr>
        <w:tc>
          <w:tcPr/>
          <w:p>
            <w:pPr>
              <w:pStyle w:val="Compact"/>
              <w:jc w:val="left"/>
            </w:pPr>
            <w:r>
              <w:t xml:space="preserve">0.422000</w:t>
            </w:r>
          </w:p>
        </w:tc>
        <w:tc>
          <w:tcPr/>
          <w:p>
            <w:pPr>
              <w:pStyle w:val="Compact"/>
              <w:jc w:val="left"/>
            </w:pPr>
            <w:r>
              <w:t xml:space="preserve">0.385000</w:t>
            </w:r>
          </w:p>
        </w:tc>
        <w:tc>
          <w:tcPr/>
          <w:p>
            <w:pPr>
              <w:pStyle w:val="Compact"/>
              <w:jc w:val="left"/>
            </w:pPr>
            <w:r>
              <w:t xml:space="preserve">0.330000</w:t>
            </w:r>
          </w:p>
        </w:tc>
        <w:tc>
          <w:tcPr/>
          <w:p>
            <w:pPr>
              <w:pStyle w:val="Compact"/>
              <w:jc w:val="left"/>
            </w:pPr>
            <w:r>
              <w:t xml:space="preserve">1.000000</w:t>
            </w:r>
          </w:p>
        </w:tc>
        <w:tc>
          <w:tcPr/>
          <w:p>
            <w:pPr>
              <w:pStyle w:val="Compact"/>
              <w:jc w:val="left"/>
            </w:pPr>
            <w:r>
              <w:t xml:space="preserve">0.689000</w:t>
            </w:r>
          </w:p>
        </w:tc>
        <w:tc>
          <w:tcPr/>
          <w:p>
            <w:pPr>
              <w:pStyle w:val="Compact"/>
              <w:jc w:val="left"/>
            </w:pPr>
            <w:r>
              <w:t xml:space="preserve">0.663000</w:t>
            </w:r>
          </w:p>
        </w:tc>
        <w:tc>
          <w:tcPr/>
          <w:p>
            <w:pPr>
              <w:pStyle w:val="Compact"/>
              <w:jc w:val="left"/>
            </w:pPr>
            <w:r>
              <w:t xml:space="preserve">0.723000</w:t>
            </w:r>
          </w:p>
        </w:tc>
        <w:tc>
          <w:tcPr/>
          <w:p>
            <w:pPr>
              <w:pStyle w:val="Compact"/>
              <w:jc w:val="left"/>
            </w:pPr>
            <w:r>
              <w:t xml:space="preserve">0.748000</w:t>
            </w:r>
          </w:p>
        </w:tc>
        <w:tc>
          <w:tcPr/>
          <w:p>
            <w:pPr>
              <w:pStyle w:val="Compact"/>
              <w:jc w:val="left"/>
            </w:pPr>
            <w:r>
              <w:t xml:space="preserve">0.448000</w:t>
            </w:r>
          </w:p>
        </w:tc>
      </w:tr>
      <w:tr>
        <w:tc>
          <w:tcPr/>
          <w:p>
            <w:pPr>
              <w:pStyle w:val="Compact"/>
              <w:jc w:val="left"/>
            </w:pPr>
            <w:r>
              <w:t xml:space="preserve">0.464000</w:t>
            </w:r>
          </w:p>
        </w:tc>
        <w:tc>
          <w:tcPr/>
          <w:p>
            <w:pPr>
              <w:pStyle w:val="Compact"/>
              <w:jc w:val="left"/>
            </w:pPr>
            <w:r>
              <w:t xml:space="preserve">0.478000</w:t>
            </w:r>
          </w:p>
        </w:tc>
        <w:tc>
          <w:tcPr/>
          <w:p>
            <w:pPr>
              <w:pStyle w:val="Compact"/>
              <w:jc w:val="left"/>
            </w:pPr>
            <w:r>
              <w:t xml:space="preserve">0.402000</w:t>
            </w:r>
          </w:p>
        </w:tc>
        <w:tc>
          <w:tcPr/>
          <w:p>
            <w:pPr>
              <w:pStyle w:val="Compact"/>
              <w:jc w:val="left"/>
            </w:pPr>
            <w:r>
              <w:t xml:space="preserve">0.689000</w:t>
            </w:r>
          </w:p>
        </w:tc>
        <w:tc>
          <w:tcPr/>
          <w:p>
            <w:pPr>
              <w:pStyle w:val="Compact"/>
              <w:jc w:val="left"/>
            </w:pPr>
            <w:r>
              <w:t xml:space="preserve">1.000000</w:t>
            </w:r>
          </w:p>
        </w:tc>
        <w:tc>
          <w:tcPr/>
          <w:p>
            <w:pPr>
              <w:pStyle w:val="Compact"/>
              <w:jc w:val="left"/>
            </w:pPr>
            <w:r>
              <w:t xml:space="preserve">0.831000</w:t>
            </w:r>
          </w:p>
        </w:tc>
        <w:tc>
          <w:tcPr/>
          <w:p>
            <w:pPr>
              <w:pStyle w:val="Compact"/>
              <w:jc w:val="left"/>
            </w:pPr>
            <w:r>
              <w:t xml:space="preserve">0.718000</w:t>
            </w:r>
          </w:p>
        </w:tc>
        <w:tc>
          <w:tcPr/>
          <w:p>
            <w:pPr>
              <w:pStyle w:val="Compact"/>
              <w:jc w:val="left"/>
            </w:pPr>
            <w:r>
              <w:t xml:space="preserve">0.694000</w:t>
            </w:r>
          </w:p>
        </w:tc>
        <w:tc>
          <w:tcPr/>
          <w:p>
            <w:pPr>
              <w:pStyle w:val="Compact"/>
              <w:jc w:val="left"/>
            </w:pPr>
            <w:r>
              <w:t xml:space="preserve">0.463000</w:t>
            </w:r>
          </w:p>
        </w:tc>
      </w:tr>
      <w:tr>
        <w:tc>
          <w:tcPr/>
          <w:p>
            <w:pPr>
              <w:pStyle w:val="Compact"/>
              <w:jc w:val="left"/>
            </w:pPr>
            <w:r>
              <w:t xml:space="preserve">0.456000</w:t>
            </w:r>
          </w:p>
        </w:tc>
        <w:tc>
          <w:tcPr/>
          <w:p>
            <w:pPr>
              <w:pStyle w:val="Compact"/>
              <w:jc w:val="left"/>
            </w:pPr>
            <w:r>
              <w:t xml:space="preserve">0.487000</w:t>
            </w:r>
          </w:p>
        </w:tc>
        <w:tc>
          <w:tcPr/>
          <w:p>
            <w:pPr>
              <w:pStyle w:val="Compact"/>
              <w:jc w:val="left"/>
            </w:pPr>
            <w:r>
              <w:t xml:space="preserve">0.368000</w:t>
            </w:r>
          </w:p>
        </w:tc>
        <w:tc>
          <w:tcPr/>
          <w:p>
            <w:pPr>
              <w:pStyle w:val="Compact"/>
              <w:jc w:val="left"/>
            </w:pPr>
            <w:r>
              <w:t xml:space="preserve">0.663000</w:t>
            </w:r>
          </w:p>
        </w:tc>
        <w:tc>
          <w:tcPr/>
          <w:p>
            <w:pPr>
              <w:pStyle w:val="Compact"/>
              <w:jc w:val="left"/>
            </w:pPr>
            <w:r>
              <w:t xml:space="preserve">0.831000</w:t>
            </w:r>
          </w:p>
        </w:tc>
        <w:tc>
          <w:tcPr/>
          <w:p>
            <w:pPr>
              <w:pStyle w:val="Compact"/>
              <w:jc w:val="left"/>
            </w:pPr>
            <w:r>
              <w:t xml:space="preserve">1.000000</w:t>
            </w:r>
          </w:p>
        </w:tc>
        <w:tc>
          <w:tcPr/>
          <w:p>
            <w:pPr>
              <w:pStyle w:val="Compact"/>
              <w:jc w:val="left"/>
            </w:pPr>
            <w:r>
              <w:t xml:space="preserve">0.712000</w:t>
            </w:r>
          </w:p>
        </w:tc>
        <w:tc>
          <w:tcPr/>
          <w:p>
            <w:pPr>
              <w:pStyle w:val="Compact"/>
              <w:jc w:val="left"/>
            </w:pPr>
            <w:r>
              <w:t xml:space="preserve">0.635000</w:t>
            </w:r>
          </w:p>
        </w:tc>
        <w:tc>
          <w:tcPr/>
          <w:p>
            <w:pPr>
              <w:pStyle w:val="Compact"/>
              <w:jc w:val="left"/>
            </w:pPr>
            <w:r>
              <w:t xml:space="preserve">0.442000</w:t>
            </w:r>
          </w:p>
        </w:tc>
      </w:tr>
      <w:tr>
        <w:tc>
          <w:tcPr/>
          <w:p>
            <w:pPr>
              <w:pStyle w:val="Compact"/>
              <w:jc w:val="left"/>
            </w:pPr>
            <w:r>
              <w:t xml:space="preserve">0.471000</w:t>
            </w:r>
          </w:p>
        </w:tc>
        <w:tc>
          <w:tcPr/>
          <w:p>
            <w:pPr>
              <w:pStyle w:val="Compact"/>
              <w:jc w:val="left"/>
            </w:pPr>
            <w:r>
              <w:t xml:space="preserve">0.451000</w:t>
            </w:r>
          </w:p>
        </w:tc>
        <w:tc>
          <w:tcPr/>
          <w:p>
            <w:pPr>
              <w:pStyle w:val="Compact"/>
              <w:jc w:val="left"/>
            </w:pPr>
            <w:r>
              <w:t xml:space="preserve">0.350000</w:t>
            </w:r>
          </w:p>
        </w:tc>
        <w:tc>
          <w:tcPr/>
          <w:p>
            <w:pPr>
              <w:pStyle w:val="Compact"/>
              <w:jc w:val="left"/>
            </w:pPr>
            <w:r>
              <w:t xml:space="preserve">0.723000</w:t>
            </w:r>
          </w:p>
        </w:tc>
        <w:tc>
          <w:tcPr/>
          <w:p>
            <w:pPr>
              <w:pStyle w:val="Compact"/>
              <w:jc w:val="left"/>
            </w:pPr>
            <w:r>
              <w:t xml:space="preserve">0.718000</w:t>
            </w:r>
          </w:p>
        </w:tc>
        <w:tc>
          <w:tcPr/>
          <w:p>
            <w:pPr>
              <w:pStyle w:val="Compact"/>
              <w:jc w:val="left"/>
            </w:pPr>
            <w:r>
              <w:t xml:space="preserve">0.712000</w:t>
            </w:r>
          </w:p>
        </w:tc>
        <w:tc>
          <w:tcPr/>
          <w:p>
            <w:pPr>
              <w:pStyle w:val="Compact"/>
              <w:jc w:val="left"/>
            </w:pPr>
            <w:r>
              <w:t xml:space="preserve">1.000000</w:t>
            </w:r>
          </w:p>
        </w:tc>
        <w:tc>
          <w:tcPr/>
          <w:p>
            <w:pPr>
              <w:pStyle w:val="Compact"/>
              <w:jc w:val="left"/>
            </w:pPr>
            <w:r>
              <w:t xml:space="preserve">0.827000</w:t>
            </w:r>
          </w:p>
        </w:tc>
        <w:tc>
          <w:tcPr/>
          <w:p>
            <w:pPr>
              <w:pStyle w:val="Compact"/>
              <w:jc w:val="left"/>
            </w:pPr>
            <w:r>
              <w:t xml:space="preserve">0.445000</w:t>
            </w:r>
          </w:p>
        </w:tc>
      </w:tr>
      <w:tr>
        <w:tc>
          <w:tcPr/>
          <w:p>
            <w:pPr>
              <w:pStyle w:val="Compact"/>
              <w:jc w:val="left"/>
            </w:pPr>
            <w:r>
              <w:t xml:space="preserve">0.478000</w:t>
            </w:r>
          </w:p>
        </w:tc>
        <w:tc>
          <w:tcPr/>
          <w:p>
            <w:pPr>
              <w:pStyle w:val="Compact"/>
              <w:jc w:val="left"/>
            </w:pPr>
            <w:r>
              <w:t xml:space="preserve">0.455000</w:t>
            </w:r>
          </w:p>
        </w:tc>
        <w:tc>
          <w:tcPr/>
          <w:p>
            <w:pPr>
              <w:pStyle w:val="Compact"/>
              <w:jc w:val="left"/>
            </w:pPr>
            <w:r>
              <w:t xml:space="preserve">0.338000</w:t>
            </w:r>
          </w:p>
        </w:tc>
        <w:tc>
          <w:tcPr/>
          <w:p>
            <w:pPr>
              <w:pStyle w:val="Compact"/>
              <w:jc w:val="left"/>
            </w:pPr>
            <w:r>
              <w:t xml:space="preserve">0.748000</w:t>
            </w:r>
          </w:p>
        </w:tc>
        <w:tc>
          <w:tcPr/>
          <w:p>
            <w:pPr>
              <w:pStyle w:val="Compact"/>
              <w:jc w:val="left"/>
            </w:pPr>
            <w:r>
              <w:t xml:space="preserve">0.694000</w:t>
            </w:r>
          </w:p>
        </w:tc>
        <w:tc>
          <w:tcPr/>
          <w:p>
            <w:pPr>
              <w:pStyle w:val="Compact"/>
              <w:jc w:val="left"/>
            </w:pPr>
            <w:r>
              <w:t xml:space="preserve">0.635000</w:t>
            </w:r>
          </w:p>
        </w:tc>
        <w:tc>
          <w:tcPr/>
          <w:p>
            <w:pPr>
              <w:pStyle w:val="Compact"/>
              <w:jc w:val="left"/>
            </w:pPr>
            <w:r>
              <w:t xml:space="preserve">0.827000</w:t>
            </w:r>
          </w:p>
        </w:tc>
        <w:tc>
          <w:tcPr/>
          <w:p>
            <w:pPr>
              <w:pStyle w:val="Compact"/>
              <w:jc w:val="left"/>
            </w:pPr>
            <w:r>
              <w:t xml:space="preserve">1.000000</w:t>
            </w:r>
          </w:p>
        </w:tc>
        <w:tc>
          <w:tcPr/>
          <w:p>
            <w:pPr>
              <w:pStyle w:val="Compact"/>
              <w:jc w:val="left"/>
            </w:pPr>
            <w:r>
              <w:t xml:space="preserve">0.426000</w:t>
            </w:r>
          </w:p>
        </w:tc>
      </w:tr>
      <w:tr>
        <w:tc>
          <w:tcPr/>
          <w:p>
            <w:pPr>
              <w:pStyle w:val="Compact"/>
              <w:jc w:val="left"/>
            </w:pPr>
            <w:r>
              <w:t xml:space="preserve">0.694000</w:t>
            </w:r>
          </w:p>
        </w:tc>
        <w:tc>
          <w:tcPr/>
          <w:p>
            <w:pPr>
              <w:pStyle w:val="Compact"/>
              <w:jc w:val="left"/>
            </w:pPr>
            <w:r>
              <w:t xml:space="preserve">0.756000</w:t>
            </w:r>
          </w:p>
        </w:tc>
        <w:tc>
          <w:tcPr/>
          <w:p>
            <w:pPr>
              <w:pStyle w:val="Compact"/>
              <w:jc w:val="left"/>
            </w:pPr>
            <w:r>
              <w:t xml:space="preserve">0.792000</w:t>
            </w:r>
          </w:p>
        </w:tc>
        <w:tc>
          <w:tcPr/>
          <w:p>
            <w:pPr>
              <w:pStyle w:val="Compact"/>
              <w:jc w:val="left"/>
            </w:pPr>
            <w:r>
              <w:t xml:space="preserve">0.448000</w:t>
            </w:r>
          </w:p>
        </w:tc>
        <w:tc>
          <w:tcPr/>
          <w:p>
            <w:pPr>
              <w:pStyle w:val="Compact"/>
              <w:jc w:val="left"/>
            </w:pPr>
            <w:r>
              <w:t xml:space="preserve">0.463000</w:t>
            </w:r>
          </w:p>
        </w:tc>
        <w:tc>
          <w:tcPr/>
          <w:p>
            <w:pPr>
              <w:pStyle w:val="Compact"/>
              <w:jc w:val="left"/>
            </w:pPr>
            <w:r>
              <w:t xml:space="preserve">0.442000</w:t>
            </w:r>
          </w:p>
        </w:tc>
        <w:tc>
          <w:tcPr/>
          <w:p>
            <w:pPr>
              <w:pStyle w:val="Compact"/>
              <w:jc w:val="left"/>
            </w:pPr>
            <w:r>
              <w:t xml:space="preserve">0.445000</w:t>
            </w:r>
          </w:p>
        </w:tc>
        <w:tc>
          <w:tcPr/>
          <w:p>
            <w:pPr>
              <w:pStyle w:val="Compact"/>
              <w:jc w:val="left"/>
            </w:pPr>
            <w:r>
              <w:t xml:space="preserve">0.426000</w:t>
            </w:r>
          </w:p>
        </w:tc>
        <w:tc>
          <w:tcPr/>
          <w:p>
            <w:pPr>
              <w:pStyle w:val="Compact"/>
              <w:jc w:val="left"/>
            </w:pPr>
            <w:r>
              <w:t xml:space="preserve">1.000000</w:t>
            </w:r>
          </w:p>
        </w:tc>
      </w:tr>
    </w:tbl>
    <w:bookmarkEnd w:id="34"/>
    <w:p>
      <w:pPr>
        <w:pStyle w:val="Compact"/>
        <w:numPr>
          <w:ilvl w:val="0"/>
          <w:numId w:val="1009"/>
        </w:numPr>
      </w:pPr>
      <w:r>
        <w:t xml:space="preserve">Gráfico</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7</w:t>
      </w:r>
      <w:r>
        <w:rPr>
          <w:rStyle w:val="NormalTok"/>
        </w:rPr>
        <w:t xml:space="preserve">))</w:t>
      </w:r>
      <w:r>
        <w:br/>
      </w:r>
      <w:r>
        <w:br/>
      </w:r>
      <w:r>
        <w:rPr>
          <w:rStyle w:val="NormalTok"/>
        </w:rPr>
        <w:t xml:space="preserve">im </w:t>
      </w:r>
      <w:r>
        <w:rPr>
          <w:rStyle w:val="OperatorTok"/>
        </w:rPr>
        <w:t xml:space="preserve">=</w:t>
      </w:r>
      <w:r>
        <w:rPr>
          <w:rStyle w:val="NormalTok"/>
        </w:rPr>
        <w:t xml:space="preserve"> ax.imshow(</w:t>
      </w:r>
      <w:r>
        <w:br/>
      </w:r>
      <w:r>
        <w:rPr>
          <w:rStyle w:val="NormalTok"/>
        </w:rPr>
        <w:t xml:space="preserve">    matriz_correlacion,</w:t>
      </w:r>
      <w:r>
        <w:br/>
      </w:r>
      <w:r>
        <w:rPr>
          <w:rStyle w:val="NormalTok"/>
        </w:rPr>
        <w:t xml:space="preserve">    vmin</w:t>
      </w:r>
      <w:r>
        <w:rPr>
          <w:rStyle w:val="OperatorTok"/>
        </w:rPr>
        <w:t xml:space="preserve">=-</w:t>
      </w:r>
      <w:r>
        <w:rPr>
          <w:rStyle w:val="DecValTok"/>
        </w:rPr>
        <w:t xml:space="preserve">1</w:t>
      </w:r>
      <w:r>
        <w:rPr>
          <w:rStyle w:val="NormalTok"/>
        </w:rPr>
        <w:t xml:space="preserve">,</w:t>
      </w:r>
      <w:r>
        <w:br/>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    cmap</w:t>
      </w:r>
      <w:r>
        <w:rPr>
          <w:rStyle w:val="OperatorTok"/>
        </w:rPr>
        <w:t xml:space="preserve">=</w:t>
      </w:r>
      <w:r>
        <w:rPr>
          <w:rStyle w:val="StringTok"/>
        </w:rPr>
        <w:t xml:space="preserve">"PRGn"</w:t>
      </w:r>
      <w:r>
        <w:br/>
      </w:r>
      <w:r>
        <w:rPr>
          <w:rStyle w:val="NormalTok"/>
        </w:rPr>
        <w:t xml:space="preserve">)</w:t>
      </w:r>
      <w:r>
        <w:br/>
      </w:r>
      <w:r>
        <w:br/>
      </w:r>
      <w:r>
        <w:rPr>
          <w:rStyle w:val="NormalTok"/>
        </w:rPr>
        <w:t xml:space="preserve">ax.set_xticks(</w:t>
      </w:r>
      <w:r>
        <w:rPr>
          <w:rStyle w:val="BuiltInTok"/>
        </w:rPr>
        <w:t xml:space="preserve">range</w:t>
      </w:r>
      <w:r>
        <w:rPr>
          <w:rStyle w:val="NormalTok"/>
        </w:rPr>
        <w:t xml:space="preserve">(</w:t>
      </w:r>
      <w:r>
        <w:rPr>
          <w:rStyle w:val="BuiltInTok"/>
        </w:rPr>
        <w:t xml:space="preserve">len</w:t>
      </w:r>
      <w:r>
        <w:rPr>
          <w:rStyle w:val="NormalTok"/>
        </w:rPr>
        <w:t xml:space="preserve">(matriz_correlacion.columns)))</w:t>
      </w:r>
      <w:r>
        <w:br/>
      </w:r>
      <w:r>
        <w:rPr>
          <w:rStyle w:val="NormalTok"/>
        </w:rPr>
        <w:t xml:space="preserve">ax.set_yticks(</w:t>
      </w:r>
      <w:r>
        <w:rPr>
          <w:rStyle w:val="BuiltInTok"/>
        </w:rPr>
        <w:t xml:space="preserve">range</w:t>
      </w:r>
      <w:r>
        <w:rPr>
          <w:rStyle w:val="NormalTok"/>
        </w:rPr>
        <w:t xml:space="preserve">(</w:t>
      </w:r>
      <w:r>
        <w:rPr>
          <w:rStyle w:val="BuiltInTok"/>
        </w:rPr>
        <w:t xml:space="preserve">len</w:t>
      </w:r>
      <w:r>
        <w:rPr>
          <w:rStyle w:val="NormalTok"/>
        </w:rPr>
        <w:t xml:space="preserve">(matriz_correlacion.columns)))</w:t>
      </w:r>
      <w:r>
        <w:br/>
      </w:r>
      <w:r>
        <w:br/>
      </w:r>
      <w:r>
        <w:rPr>
          <w:rStyle w:val="NormalTok"/>
        </w:rPr>
        <w:t xml:space="preserve">ax.set_xticklabels(</w:t>
      </w:r>
      <w:r>
        <w:br/>
      </w:r>
      <w:r>
        <w:rPr>
          <w:rStyle w:val="NormalTok"/>
        </w:rPr>
        <w:t xml:space="preserve">    matriz_correlacion.columns,</w:t>
      </w:r>
      <w:r>
        <w:br/>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ha</w:t>
      </w:r>
      <w:r>
        <w:rPr>
          <w:rStyle w:val="OperatorTok"/>
        </w:rPr>
        <w:t xml:space="preserve">=</w:t>
      </w:r>
      <w:r>
        <w:rPr>
          <w:rStyle w:val="StringTok"/>
        </w:rPr>
        <w:t xml:space="preserve">"right"</w:t>
      </w:r>
      <w:r>
        <w:br/>
      </w:r>
      <w:r>
        <w:rPr>
          <w:rStyle w:val="NormalTok"/>
        </w:rPr>
        <w:t xml:space="preserve">)</w:t>
      </w:r>
      <w:r>
        <w:br/>
      </w:r>
      <w:r>
        <w:br/>
      </w:r>
      <w:r>
        <w:rPr>
          <w:rStyle w:val="NormalTok"/>
        </w:rPr>
        <w:t xml:space="preserve">ax.set_yticklabels(matriz_correlacion.columns)</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(matriz_correlacion.columns)):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(matriz_correlacion.columns)):</w:t>
      </w:r>
      <w:r>
        <w:br/>
      </w:r>
      <w:r>
        <w:rPr>
          <w:rStyle w:val="NormalTok"/>
        </w:rPr>
        <w:t xml:space="preserve">        ax.text(</w:t>
      </w:r>
      <w:r>
        <w:br/>
      </w:r>
      <w:r>
        <w:rPr>
          <w:rStyle w:val="NormalTok"/>
        </w:rPr>
        <w:t xml:space="preserve">            j,</w:t>
      </w:r>
      <w:r>
        <w:br/>
      </w:r>
      <w:r>
        <w:rPr>
          <w:rStyle w:val="NormalTok"/>
        </w:rPr>
        <w:t xml:space="preserve">            i,</w:t>
      </w:r>
      <w:r>
        <w:br/>
      </w:r>
      <w:r>
        <w:rPr>
          <w:rStyle w:val="NormalTok"/>
        </w:rPr>
        <w:t xml:space="preserve">            </w:t>
      </w:r>
      <w:r>
        <w:rPr>
          <w:rStyle w:val="SpecialStringTok"/>
        </w:rPr>
        <w:t xml:space="preserve">f"</w:t>
      </w:r>
      <w:r>
        <w:rPr>
          <w:rStyle w:val="SpecialCharTok"/>
        </w:rPr>
        <w:t xml:space="preserve">{</w:t>
      </w:r>
      <w:r>
        <w:rPr>
          <w:rStyle w:val="NormalTok"/>
        </w:rPr>
        <w:t xml:space="preserve">matriz_correlacion</w:t>
      </w:r>
      <w:r>
        <w:rPr>
          <w:rStyle w:val="SpecialCharTok"/>
        </w:rPr>
        <w:t xml:space="preserve">.</w:t>
      </w:r>
      <w:r>
        <w:rPr>
          <w:rStyle w:val="NormalTok"/>
        </w:rPr>
        <w:t xml:space="preserve">iloc[i, j]</w:t>
      </w:r>
      <w:r>
        <w:rPr>
          <w:rStyle w:val="SpecialCharTok"/>
        </w:rPr>
        <w:t xml:space="preserve">:.2f}</w:t>
      </w:r>
      <w:r>
        <w:rPr>
          <w:rStyle w:val="SpecialStringTok"/>
        </w:rPr>
        <w:t xml:space="preserve">"</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w:t>
      </w:r>
      <w:r>
        <w:br/>
      </w:r>
      <w:r>
        <w:rPr>
          <w:rStyle w:val="NormalTok"/>
        </w:rPr>
        <w:t xml:space="preserve">            va</w:t>
      </w:r>
      <w:r>
        <w:rPr>
          <w:rStyle w:val="OperatorTok"/>
        </w:rPr>
        <w:t xml:space="preserve">=</w:t>
      </w:r>
      <w:r>
        <w:rPr>
          <w:rStyle w:val="StringTok"/>
        </w:rPr>
        <w:t xml:space="preserve">"center"</w:t>
      </w:r>
      <w:r>
        <w:br/>
      </w:r>
      <w:r>
        <w:rPr>
          <w:rStyle w:val="NormalTok"/>
        </w:rPr>
        <w:t xml:space="preserve">        )</w:t>
      </w:r>
      <w:r>
        <w:br/>
      </w:r>
      <w:r>
        <w:br/>
      </w:r>
      <w:r>
        <w:rPr>
          <w:rStyle w:val="NormalTok"/>
        </w:rPr>
        <w:t xml:space="preserve">fig.colorbar(im, ax</w:t>
      </w:r>
      <w:r>
        <w:rPr>
          <w:rStyle w:val="OperatorTok"/>
        </w:rPr>
        <w:t xml:space="preserve">=</w:t>
      </w:r>
      <w:r>
        <w:rPr>
          <w:rStyle w:val="NormalTok"/>
        </w:rPr>
        <w:t xml:space="preserve">ax, label</w:t>
      </w:r>
      <w:r>
        <w:rPr>
          <w:rStyle w:val="OperatorTok"/>
        </w:rPr>
        <w:t xml:space="preserve">=</w:t>
      </w:r>
      <w:r>
        <w:rPr>
          <w:rStyle w:val="StringTok"/>
        </w:rPr>
        <w:t xml:space="preserve">"Correlación"</w:t>
      </w:r>
      <w:r>
        <w:rPr>
          <w:rStyle w:val="NormalTok"/>
        </w:rPr>
        <w:t xml:space="preserve">)</w:t>
      </w:r>
      <w:r>
        <w:br/>
      </w:r>
      <w:r>
        <w:br/>
      </w:r>
      <w:r>
        <w:rPr>
          <w:rStyle w:val="NormalTok"/>
        </w:rPr>
        <w:t xml:space="preserve">ax.set_title(</w:t>
      </w:r>
      <w:r>
        <w:rPr>
          <w:rStyle w:val="StringTok"/>
        </w:rPr>
        <w:t xml:space="preserve">"Matriz de correlaciones"</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4521265"/>
            <wp:effectExtent b="0" l="0" r="0" t="0"/>
            <wp:docPr descr="" title="" id="36" name="Picture"/>
            <a:graphic>
              <a:graphicData uri="http://schemas.openxmlformats.org/drawingml/2006/picture">
                <pic:pic>
                  <pic:nvPicPr>
                    <pic:cNvPr descr="TP1_files/figure-docx/cell-12-output-1.png" id="37" name="Picture"/>
                    <pic:cNvPicPr>
                      <a:picLocks noChangeArrowheads="1" noChangeAspect="1"/>
                    </pic:cNvPicPr>
                  </pic:nvPicPr>
                  <pic:blipFill>
                    <a:blip r:embed="rId35"/>
                    <a:stretch>
                      <a:fillRect/>
                    </a:stretch>
                  </pic:blipFill>
                  <pic:spPr bwMode="auto">
                    <a:xfrm>
                      <a:off x="0" y="0"/>
                      <a:ext cx="5334000" cy="4521265"/>
                    </a:xfrm>
                    <a:prstGeom prst="rect">
                      <a:avLst/>
                    </a:prstGeom>
                    <a:noFill/>
                    <a:ln w="9525">
                      <a:noFill/>
                      <a:headEnd/>
                      <a:tailEnd/>
                    </a:ln>
                  </pic:spPr>
                </pic:pic>
              </a:graphicData>
            </a:graphic>
          </wp:inline>
        </w:drawing>
      </w:r>
    </w:p>
    <w:p>
      <w:pPr>
        <w:pStyle w:val="BodyText"/>
      </w:pPr>
      <w:r>
        <w:t xml:space="preserve">La matriz de correlaciones muestra asociaciones positivas entre los nueve ítems analizados. Se observan correlaciones especialmente elevadas entre los indicadores de lealtad afectiva (ALOY1–ALOY3) y, por otro lado, entre varios de los indicadores de lealtad cognitiva (CLOY1–CLOY5). Esto sugiere la posible existencia de grupos de variables con patrones de asociación diferenciados.</w:t>
      </w:r>
    </w:p>
    <w:p>
      <w:pPr>
        <w:pStyle w:val="BodyText"/>
      </w:pPr>
      <w:r>
        <w:t xml:space="preserve">Asimismo, CLOY6 presenta correlaciones particularmente altas con los indicadores afectivos, especialmente con ALOY2 y ALOY3, anticipando un comportamiento diferente al del resto de los ítems cognitivos.</w:t>
      </w:r>
    </w:p>
    <w:bookmarkEnd w:id="38"/>
    <w:bookmarkStart w:id="40" w:name="autovalores"/>
    <w:p>
      <w:pPr>
        <w:pStyle w:val="Heading2"/>
      </w:pPr>
      <w:r>
        <w:t xml:space="preserve">Autovalores</w:t>
      </w:r>
    </w:p>
    <w:p>
      <w:pPr>
        <w:pStyle w:val="SourceCode"/>
      </w:pPr>
      <w:r>
        <w:rPr>
          <w:rStyle w:val="NormalTok"/>
        </w:rPr>
        <w:t xml:space="preserve">fa_inicial </w:t>
      </w:r>
      <w:r>
        <w:rPr>
          <w:rStyle w:val="OperatorTok"/>
        </w:rPr>
        <w:t xml:space="preserve">=</w:t>
      </w:r>
      <w:r>
        <w:rPr>
          <w:rStyle w:val="NormalTok"/>
        </w:rPr>
        <w:t xml:space="preserve"> FactorAnalyzer(</w:t>
      </w:r>
      <w:r>
        <w:br/>
      </w:r>
      <w:r>
        <w:rPr>
          <w:rStyle w:val="NormalTok"/>
        </w:rPr>
        <w:t xml:space="preserve">    n_factors</w:t>
      </w:r>
      <w:r>
        <w:rPr>
          <w:rStyle w:val="OperatorTok"/>
        </w:rPr>
        <w:t xml:space="preserve">=</w:t>
      </w:r>
      <w:r>
        <w:rPr>
          <w:rStyle w:val="DecValTok"/>
        </w:rPr>
        <w:t xml:space="preserve">9</w:t>
      </w:r>
      <w:r>
        <w:rPr>
          <w:rStyle w:val="NormalTok"/>
        </w:rPr>
        <w:t xml:space="preserve">,</w:t>
      </w:r>
      <w:r>
        <w:br/>
      </w:r>
      <w:r>
        <w:rPr>
          <w:rStyle w:val="NormalTok"/>
        </w:rPr>
        <w:t xml:space="preserve">    rotation</w:t>
      </w:r>
      <w:r>
        <w:rPr>
          <w:rStyle w:val="OperatorTok"/>
        </w:rPr>
        <w:t xml:space="preserve">=</w:t>
      </w:r>
      <w:r>
        <w:rPr>
          <w:rStyle w:val="VariableTok"/>
        </w:rPr>
        <w:t xml:space="preserve">None</w:t>
      </w:r>
      <w:r>
        <w:rPr>
          <w:rStyle w:val="NormalTok"/>
        </w:rPr>
        <w:t xml:space="preserve">,</w:t>
      </w:r>
      <w:r>
        <w:br/>
      </w:r>
      <w:r>
        <w:rPr>
          <w:rStyle w:val="NormalTok"/>
        </w:rPr>
        <w:t xml:space="preserve">    method</w:t>
      </w:r>
      <w:r>
        <w:rPr>
          <w:rStyle w:val="OperatorTok"/>
        </w:rPr>
        <w:t xml:space="preserve">=</w:t>
      </w:r>
      <w:r>
        <w:rPr>
          <w:rStyle w:val="StringTok"/>
        </w:rPr>
        <w:t xml:space="preserve">"principal"</w:t>
      </w:r>
      <w:r>
        <w:br/>
      </w:r>
      <w:r>
        <w:rPr>
          <w:rStyle w:val="NormalTok"/>
        </w:rPr>
        <w:t xml:space="preserve">)</w:t>
      </w:r>
      <w:r>
        <w:br/>
      </w:r>
      <w:r>
        <w:br/>
      </w:r>
      <w:r>
        <w:rPr>
          <w:rStyle w:val="NormalTok"/>
        </w:rPr>
        <w:t xml:space="preserve">fa_inicial.fit(datos)</w:t>
      </w:r>
      <w:r>
        <w:br/>
      </w:r>
      <w:r>
        <w:br/>
      </w:r>
      <w:r>
        <w:rPr>
          <w:rStyle w:val="NormalTok"/>
        </w:rPr>
        <w:t xml:space="preserve">eigenvalues, _ </w:t>
      </w:r>
      <w:r>
        <w:rPr>
          <w:rStyle w:val="OperatorTok"/>
        </w:rPr>
        <w:t xml:space="preserve">=</w:t>
      </w:r>
      <w:r>
        <w:rPr>
          <w:rStyle w:val="NormalTok"/>
        </w:rPr>
        <w:t xml:space="preserve"> fa_inicial.get_eigenvalues()</w:t>
      </w:r>
      <w:r>
        <w:br/>
      </w:r>
      <w:r>
        <w:br/>
      </w:r>
      <w:r>
        <w:rPr>
          <w:rStyle w:val="NormalTok"/>
        </w:rPr>
        <w:t xml:space="preserve">tabla_autovalores </w:t>
      </w:r>
      <w:r>
        <w:rPr>
          <w:rStyle w:val="OperatorTok"/>
        </w:rPr>
        <w:t xml:space="preserve">=</w:t>
      </w:r>
      <w:r>
        <w:rPr>
          <w:rStyle w:val="NormalTok"/>
        </w:rPr>
        <w:t xml:space="preserve"> pd.DataFrame({</w:t>
      </w:r>
      <w:r>
        <w:br/>
      </w:r>
      <w:r>
        <w:rPr>
          <w:rStyle w:val="NormalTok"/>
        </w:rPr>
        <w:t xml:space="preserve">    </w:t>
      </w:r>
      <w:r>
        <w:rPr>
          <w:rStyle w:val="StringTok"/>
        </w:rPr>
        <w:t xml:space="preserve">"Factor"</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(eigenvalues)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"Autovalor"</w:t>
      </w:r>
      <w:r>
        <w:rPr>
          <w:rStyle w:val="NormalTok"/>
        </w:rPr>
        <w:t xml:space="preserve">: eigenvalues</w:t>
      </w:r>
      <w:r>
        <w:br/>
      </w:r>
      <w:r>
        <w:rPr>
          <w:rStyle w:val="NormalTok"/>
        </w:rPr>
        <w:t xml:space="preserve">})</w:t>
      </w:r>
      <w:r>
        <w:br/>
      </w:r>
      <w:r>
        <w:br/>
      </w:r>
      <w:r>
        <w:rPr>
          <w:rStyle w:val="NormalTok"/>
        </w:rPr>
        <w:t xml:space="preserve">display(tabla_autovalores.</w:t>
      </w:r>
      <w:r>
        <w:rPr>
          <w:rStyle w:val="BuiltInTok"/>
        </w:rPr>
        <w:t xml:space="preserve">round</w:t>
      </w:r>
      <w:r>
        <w:rPr>
          <w:rStyle w:val="NormalTok"/>
        </w:rPr>
        <w:t xml:space="preserve">(</w:t>
      </w:r>
      <w:r>
        <w:rPr>
          <w:rStyle w:val="DecValTok"/>
        </w:rPr>
        <w:t xml:space="preserve">3</w:t>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39" w:name="T_e9f1f"/>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Autovalor</w:t>
            </w:r>
          </w:p>
        </w:tc>
      </w:tr>
      <w:tr>
        <w:tc>
          <w:tcPr/>
          <w:p>
            <w:pPr>
              <w:pStyle w:val="Compact"/>
              <w:jc w:val="left"/>
            </w:pPr>
            <w:r>
              <w:t xml:space="preserve">1</w:t>
            </w:r>
          </w:p>
        </w:tc>
        <w:tc>
          <w:tcPr/>
          <w:p>
            <w:pPr>
              <w:pStyle w:val="Compact"/>
              <w:jc w:val="left"/>
            </w:pPr>
            <w:r>
              <w:t xml:space="preserve">5.510000</w:t>
            </w:r>
          </w:p>
        </w:tc>
      </w:tr>
      <w:tr>
        <w:tc>
          <w:tcPr/>
          <w:p>
            <w:pPr>
              <w:pStyle w:val="Compact"/>
              <w:jc w:val="left"/>
            </w:pPr>
            <w:r>
              <w:t xml:space="preserve">2</w:t>
            </w:r>
          </w:p>
        </w:tc>
        <w:tc>
          <w:tcPr/>
          <w:p>
            <w:pPr>
              <w:pStyle w:val="Compact"/>
              <w:jc w:val="left"/>
            </w:pPr>
            <w:r>
              <w:t xml:space="preserve">1.624000</w:t>
            </w:r>
          </w:p>
        </w:tc>
      </w:tr>
      <w:tr>
        <w:tc>
          <w:tcPr/>
          <w:p>
            <w:pPr>
              <w:pStyle w:val="Compact"/>
              <w:jc w:val="left"/>
            </w:pPr>
            <w:r>
              <w:t xml:space="preserve">3</w:t>
            </w:r>
          </w:p>
        </w:tc>
        <w:tc>
          <w:tcPr/>
          <w:p>
            <w:pPr>
              <w:pStyle w:val="Compact"/>
              <w:jc w:val="left"/>
            </w:pPr>
            <w:r>
              <w:t xml:space="preserve">0.482000</w:t>
            </w:r>
          </w:p>
        </w:tc>
      </w:tr>
      <w:tr>
        <w:tc>
          <w:tcPr/>
          <w:p>
            <w:pPr>
              <w:pStyle w:val="Compact"/>
              <w:jc w:val="left"/>
            </w:pPr>
            <w:r>
              <w:t xml:space="preserve">4</w:t>
            </w:r>
          </w:p>
        </w:tc>
        <w:tc>
          <w:tcPr/>
          <w:p>
            <w:pPr>
              <w:pStyle w:val="Compact"/>
              <w:jc w:val="left"/>
            </w:pPr>
            <w:r>
              <w:t xml:space="preserve">0.440000</w:t>
            </w:r>
          </w:p>
        </w:tc>
      </w:tr>
      <w:tr>
        <w:tc>
          <w:tcPr/>
          <w:p>
            <w:pPr>
              <w:pStyle w:val="Compact"/>
              <w:jc w:val="left"/>
            </w:pPr>
            <w:r>
              <w:t xml:space="preserve">5</w:t>
            </w:r>
          </w:p>
        </w:tc>
        <w:tc>
          <w:tcPr/>
          <w:p>
            <w:pPr>
              <w:pStyle w:val="Compact"/>
              <w:jc w:val="left"/>
            </w:pPr>
            <w:r>
              <w:t xml:space="preserve">0.289000</w:t>
            </w:r>
          </w:p>
        </w:tc>
      </w:tr>
      <w:tr>
        <w:tc>
          <w:tcPr/>
          <w:p>
            <w:pPr>
              <w:pStyle w:val="Compact"/>
              <w:jc w:val="left"/>
            </w:pPr>
            <w:r>
              <w:t xml:space="preserve">6</w:t>
            </w:r>
          </w:p>
        </w:tc>
        <w:tc>
          <w:tcPr/>
          <w:p>
            <w:pPr>
              <w:pStyle w:val="Compact"/>
              <w:jc w:val="left"/>
            </w:pPr>
            <w:r>
              <w:t xml:space="preserve">0.206000</w:t>
            </w:r>
          </w:p>
        </w:tc>
      </w:tr>
      <w:tr>
        <w:tc>
          <w:tcPr/>
          <w:p>
            <w:pPr>
              <w:pStyle w:val="Compact"/>
              <w:jc w:val="left"/>
            </w:pPr>
            <w:r>
              <w:t xml:space="preserve">7</w:t>
            </w:r>
          </w:p>
        </w:tc>
        <w:tc>
          <w:tcPr/>
          <w:p>
            <w:pPr>
              <w:pStyle w:val="Compact"/>
              <w:jc w:val="left"/>
            </w:pPr>
            <w:r>
              <w:t xml:space="preserve">0.180000</w:t>
            </w:r>
          </w:p>
        </w:tc>
      </w:tr>
      <w:tr>
        <w:tc>
          <w:tcPr/>
          <w:p>
            <w:pPr>
              <w:pStyle w:val="Compact"/>
              <w:jc w:val="left"/>
            </w:pPr>
            <w:r>
              <w:t xml:space="preserve">8</w:t>
            </w:r>
          </w:p>
        </w:tc>
        <w:tc>
          <w:tcPr/>
          <w:p>
            <w:pPr>
              <w:pStyle w:val="Compact"/>
              <w:jc w:val="left"/>
            </w:pPr>
            <w:r>
              <w:t xml:space="preserve">0.147000</w:t>
            </w:r>
          </w:p>
        </w:tc>
      </w:tr>
      <w:tr>
        <w:tc>
          <w:tcPr/>
          <w:p>
            <w:pPr>
              <w:pStyle w:val="Compact"/>
              <w:jc w:val="left"/>
            </w:pPr>
            <w:r>
              <w:t xml:space="preserve">9</w:t>
            </w:r>
          </w:p>
        </w:tc>
        <w:tc>
          <w:tcPr/>
          <w:p>
            <w:pPr>
              <w:pStyle w:val="Compact"/>
              <w:jc w:val="left"/>
            </w:pPr>
            <w:r>
              <w:t xml:space="preserve">0.122000</w:t>
            </w:r>
          </w:p>
        </w:tc>
      </w:tr>
    </w:tbl>
    <w:bookmarkEnd w:id="39"/>
    <w:bookmarkEnd w:id="40"/>
    <w:bookmarkStart w:id="44" w:name="gráfico-de-sedimentación"/>
    <w:p>
      <w:pPr>
        <w:pStyle w:val="Heading2"/>
      </w:pPr>
      <w:r>
        <w:t xml:space="preserve">Gráfico de sedimentación</w:t>
      </w:r>
    </w:p>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br/>
      </w:r>
      <w:r>
        <w:rPr>
          <w:rStyle w:val="NormalTok"/>
        </w:rPr>
        <w:t xml:space="preserve">plt.plot(</w:t>
      </w:r>
      <w:r>
        <w:br/>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(eigenvalues)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eigenvalues,</w:t>
      </w:r>
      <w:r>
        <w:br/>
      </w:r>
      <w:r>
        <w:rPr>
          <w:rStyle w:val="NormalTok"/>
        </w:rPr>
        <w:t xml:space="preserve">    marker</w:t>
      </w:r>
      <w:r>
        <w:rPr>
          <w:rStyle w:val="OperatorTok"/>
        </w:rPr>
        <w:t xml:space="preserve">=</w:t>
      </w:r>
      <w:r>
        <w:rPr>
          <w:rStyle w:val="StringTok"/>
        </w:rPr>
        <w:t xml:space="preserve">"o"</w:t>
      </w:r>
      <w:r>
        <w:br/>
      </w:r>
      <w:r>
        <w:rPr>
          <w:rStyle w:val="NormalTok"/>
        </w:rPr>
        <w:t xml:space="preserve">)</w:t>
      </w:r>
      <w:r>
        <w:br/>
      </w:r>
      <w:r>
        <w:br/>
      </w:r>
      <w:r>
        <w:rPr>
          <w:rStyle w:val="NormalTok"/>
        </w:rPr>
        <w:t xml:space="preserve">plt.axhline(y</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w:t>
      </w:r>
      <w:r>
        <w:br/>
      </w:r>
      <w:r>
        <w:br/>
      </w:r>
      <w:r>
        <w:rPr>
          <w:rStyle w:val="NormalTok"/>
        </w:rPr>
        <w:t xml:space="preserve">plt.xlabel(</w:t>
      </w:r>
      <w:r>
        <w:rPr>
          <w:rStyle w:val="StringTok"/>
        </w:rPr>
        <w:t xml:space="preserve">"Factor"</w:t>
      </w:r>
      <w:r>
        <w:rPr>
          <w:rStyle w:val="NormalTok"/>
        </w:rPr>
        <w:t xml:space="preserve">)</w:t>
      </w:r>
      <w:r>
        <w:br/>
      </w:r>
      <w:r>
        <w:rPr>
          <w:rStyle w:val="NormalTok"/>
        </w:rPr>
        <w:t xml:space="preserve">plt.ylabel(</w:t>
      </w:r>
      <w:r>
        <w:rPr>
          <w:rStyle w:val="StringTok"/>
        </w:rPr>
        <w:t xml:space="preserve">"Autovalor"</w:t>
      </w:r>
      <w:r>
        <w:rPr>
          <w:rStyle w:val="NormalTok"/>
        </w:rPr>
        <w:t xml:space="preserve">)</w:t>
      </w:r>
      <w:r>
        <w:br/>
      </w:r>
      <w:r>
        <w:rPr>
          <w:rStyle w:val="NormalTok"/>
        </w:rPr>
        <w:t xml:space="preserve">plt.title(</w:t>
      </w:r>
      <w:r>
        <w:rPr>
          <w:rStyle w:val="StringTok"/>
        </w:rPr>
        <w:t xml:space="preserve">"Scree Plot - Loyalty"</w:t>
      </w:r>
      <w:r>
        <w:rPr>
          <w:rStyle w:val="NormalTok"/>
        </w:rPr>
        <w:t xml:space="preserve">)</w:t>
      </w:r>
      <w:r>
        <w:br/>
      </w:r>
      <w:r>
        <w:br/>
      </w:r>
      <w:r>
        <w:rPr>
          <w:rStyle w:val="NormalTok"/>
        </w:rPr>
        <w:t xml:space="preserve">plt.xticks(</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(eigenvalues)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plt.grid(alpha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307361"/>
            <wp:effectExtent b="0" l="0" r="0" t="0"/>
            <wp:docPr descr="" title="" id="42" name="Picture"/>
            <a:graphic>
              <a:graphicData uri="http://schemas.openxmlformats.org/drawingml/2006/picture">
                <pic:pic>
                  <pic:nvPicPr>
                    <pic:cNvPr descr="TP1_files/figure-docx/cell-14-output-1.png" id="43" name="Picture"/>
                    <pic:cNvPicPr>
                      <a:picLocks noChangeArrowheads="1" noChangeAspect="1"/>
                    </pic:cNvPicPr>
                  </pic:nvPicPr>
                  <pic:blipFill>
                    <a:blip r:embed="rId41"/>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pPr>
      <w:r>
        <w:t xml:space="preserve">A partir del gráfico de sedimentación se observa aproximadamente:</w:t>
      </w:r>
    </w:p>
    <w:p>
      <w:pPr>
        <w:pStyle w:val="Compact"/>
        <w:numPr>
          <w:ilvl w:val="0"/>
          <w:numId w:val="1010"/>
        </w:numPr>
      </w:pPr>
      <w:r>
        <w:t xml:space="preserve">Factor 1: autovalor ≈ 5,5</w:t>
      </w:r>
    </w:p>
    <w:p>
      <w:pPr>
        <w:pStyle w:val="Compact"/>
        <w:numPr>
          <w:ilvl w:val="0"/>
          <w:numId w:val="1010"/>
        </w:numPr>
      </w:pPr>
      <w:r>
        <w:t xml:space="preserve">Factor 2: autovalor ≈ 1,6</w:t>
      </w:r>
    </w:p>
    <w:p>
      <w:pPr>
        <w:pStyle w:val="Compact"/>
        <w:numPr>
          <w:ilvl w:val="0"/>
          <w:numId w:val="1010"/>
        </w:numPr>
      </w:pPr>
      <w:r>
        <w:t xml:space="preserve">Factor 3 en adelante: autovalores menores que 1.</w:t>
      </w:r>
    </w:p>
    <w:p>
      <w:pPr>
        <w:pStyle w:val="FirstParagraph"/>
      </w:pPr>
      <w:r>
        <w:t xml:space="preserve">Tanto el criterio de autovalores mayores que 1 como la inspección del gráfico de sedimentación sugieren la retención de dos factores. Los dos primeros presentan autovalores de 5,510 y 1,624, mientras que a partir del tercer factor los valores son inferiores a 1. En consecuencia, se adopta una solución factorial de dos dimensiones.</w:t>
      </w:r>
    </w:p>
    <w:bookmarkEnd w:id="44"/>
    <w:bookmarkStart w:id="45" w:name="análisis-factorial-con-dos-factores"/>
    <w:p>
      <w:pPr>
        <w:pStyle w:val="Heading2"/>
      </w:pPr>
      <w:r>
        <w:t xml:space="preserve">Análisis factorial con dos factores</w:t>
      </w:r>
    </w:p>
    <w:p>
      <w:pPr>
        <w:pStyle w:val="SourceCode"/>
      </w:pPr>
      <w:r>
        <w:rPr>
          <w:rStyle w:val="NormalTok"/>
        </w:rPr>
        <w:t xml:space="preserve">fa </w:t>
      </w:r>
      <w:r>
        <w:rPr>
          <w:rStyle w:val="OperatorTok"/>
        </w:rPr>
        <w:t xml:space="preserve">=</w:t>
      </w:r>
      <w:r>
        <w:rPr>
          <w:rStyle w:val="NormalTok"/>
        </w:rPr>
        <w:t xml:space="preserve"> FactorAnalyzer(</w:t>
      </w:r>
      <w:r>
        <w:br/>
      </w:r>
      <w:r>
        <w:rPr>
          <w:rStyle w:val="NormalTok"/>
        </w:rPr>
        <w:t xml:space="preserve">    n_factors</w:t>
      </w:r>
      <w:r>
        <w:rPr>
          <w:rStyle w:val="OperatorTok"/>
        </w:rPr>
        <w:t xml:space="preserve">=</w:t>
      </w:r>
      <w:r>
        <w:rPr>
          <w:rStyle w:val="DecValTok"/>
        </w:rPr>
        <w:t xml:space="preserve">2</w:t>
      </w:r>
      <w:r>
        <w:rPr>
          <w:rStyle w:val="NormalTok"/>
        </w:rPr>
        <w:t xml:space="preserve">,</w:t>
      </w:r>
      <w:r>
        <w:br/>
      </w:r>
      <w:r>
        <w:rPr>
          <w:rStyle w:val="NormalTok"/>
        </w:rPr>
        <w:t xml:space="preserve">    rotation</w:t>
      </w:r>
      <w:r>
        <w:rPr>
          <w:rStyle w:val="OperatorTok"/>
        </w:rPr>
        <w:t xml:space="preserve">=</w:t>
      </w:r>
      <w:r>
        <w:rPr>
          <w:rStyle w:val="StringTok"/>
        </w:rPr>
        <w:t xml:space="preserve">"varimax"</w:t>
      </w:r>
      <w:r>
        <w:rPr>
          <w:rStyle w:val="NormalTok"/>
        </w:rPr>
        <w:t xml:space="preserve">,</w:t>
      </w:r>
      <w:r>
        <w:br/>
      </w:r>
      <w:r>
        <w:rPr>
          <w:rStyle w:val="NormalTok"/>
        </w:rPr>
        <w:t xml:space="preserve">    method</w:t>
      </w:r>
      <w:r>
        <w:rPr>
          <w:rStyle w:val="OperatorTok"/>
        </w:rPr>
        <w:t xml:space="preserve">=</w:t>
      </w:r>
      <w:r>
        <w:rPr>
          <w:rStyle w:val="StringTok"/>
        </w:rPr>
        <w:t xml:space="preserve">"principal"</w:t>
      </w:r>
      <w:r>
        <w:br/>
      </w:r>
      <w:r>
        <w:rPr>
          <w:rStyle w:val="NormalTok"/>
        </w:rPr>
        <w:t xml:space="preserve">)</w:t>
      </w:r>
      <w:r>
        <w:br/>
      </w:r>
      <w:r>
        <w:br/>
      </w:r>
      <w:r>
        <w:rPr>
          <w:rStyle w:val="NormalTok"/>
        </w:rPr>
        <w:t xml:space="preserve">fa.fit(datos)</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p>
        </w:tc>
        <w:tc>
          <w:tcPr/>
          <w:p>
            <w:pPr>
              <w:pStyle w:val="Compact"/>
              <w:jc w:val="left"/>
            </w:pPr>
            <w:r>
              <w:t xml:space="preserve">n_factors </w:t>
            </w:r>
          </w:p>
        </w:tc>
        <w:tc>
          <w:tcPr/>
          <w:p>
            <w:pPr>
              <w:pStyle w:val="Compact"/>
              <w:jc w:val="left"/>
            </w:pPr>
            <w:r>
              <w:t xml:space="preserve">2</w:t>
            </w:r>
          </w:p>
        </w:tc>
      </w:tr>
      <w:tr>
        <w:tc>
          <w:tcPr/>
          <w:p>
            <w:pPr>
              <w:pStyle w:val="Compact"/>
              <w:jc w:val="left"/>
            </w:pPr>
          </w:p>
        </w:tc>
        <w:tc>
          <w:tcPr/>
          <w:p>
            <w:pPr>
              <w:pStyle w:val="Compact"/>
              <w:jc w:val="left"/>
            </w:pPr>
            <w:r>
              <w:t xml:space="preserve">rotation </w:t>
            </w:r>
          </w:p>
        </w:tc>
        <w:tc>
          <w:tcPr/>
          <w:p>
            <w:pPr>
              <w:pStyle w:val="Compact"/>
              <w:jc w:val="left"/>
            </w:pPr>
            <w:r>
              <w:t xml:space="preserve">'varimax'</w:t>
            </w:r>
          </w:p>
        </w:tc>
      </w:tr>
      <w:tr>
        <w:tc>
          <w:tcPr/>
          <w:p>
            <w:pPr>
              <w:pStyle w:val="Compact"/>
              <w:jc w:val="left"/>
            </w:pPr>
          </w:p>
        </w:tc>
        <w:tc>
          <w:tcPr/>
          <w:p>
            <w:pPr>
              <w:pStyle w:val="Compact"/>
              <w:jc w:val="left"/>
            </w:pPr>
            <w:r>
              <w:t xml:space="preserve">method </w:t>
            </w:r>
          </w:p>
        </w:tc>
        <w:tc>
          <w:tcPr/>
          <w:p>
            <w:pPr>
              <w:pStyle w:val="Compact"/>
              <w:jc w:val="left"/>
            </w:pPr>
            <w:r>
              <w:t xml:space="preserve">'principal'</w:t>
            </w:r>
          </w:p>
        </w:tc>
      </w:tr>
      <w:tr>
        <w:tc>
          <w:tcPr/>
          <w:p>
            <w:pPr>
              <w:pStyle w:val="Compact"/>
              <w:jc w:val="left"/>
            </w:pPr>
          </w:p>
        </w:tc>
        <w:tc>
          <w:tcPr/>
          <w:p>
            <w:pPr>
              <w:pStyle w:val="Compact"/>
              <w:jc w:val="left"/>
            </w:pPr>
            <w:r>
              <w:t xml:space="preserve">use_smc </w:t>
            </w:r>
          </w:p>
        </w:tc>
        <w:tc>
          <w:tcPr/>
          <w:p>
            <w:pPr>
              <w:pStyle w:val="Compact"/>
              <w:jc w:val="left"/>
            </w:pPr>
            <w:r>
              <w:t xml:space="preserve">True</w:t>
            </w:r>
          </w:p>
        </w:tc>
      </w:tr>
      <w:tr>
        <w:tc>
          <w:tcPr/>
          <w:p>
            <w:pPr>
              <w:pStyle w:val="Compact"/>
              <w:jc w:val="left"/>
            </w:pPr>
          </w:p>
        </w:tc>
        <w:tc>
          <w:tcPr/>
          <w:p>
            <w:pPr>
              <w:pStyle w:val="Compact"/>
              <w:jc w:val="left"/>
            </w:pPr>
            <w:r>
              <w:t xml:space="preserve">is_corr_matrix </w:t>
            </w:r>
          </w:p>
        </w:tc>
        <w:tc>
          <w:tcPr/>
          <w:p>
            <w:pPr>
              <w:pStyle w:val="Compact"/>
              <w:jc w:val="left"/>
            </w:pPr>
            <w:r>
              <w:t xml:space="preserve">False</w:t>
            </w:r>
          </w:p>
        </w:tc>
      </w:tr>
      <w:tr>
        <w:tc>
          <w:tcPr/>
          <w:p>
            <w:pPr>
              <w:pStyle w:val="Compact"/>
              <w:jc w:val="left"/>
            </w:pPr>
          </w:p>
        </w:tc>
        <w:tc>
          <w:tcPr/>
          <w:p>
            <w:pPr>
              <w:pStyle w:val="Compact"/>
              <w:jc w:val="left"/>
            </w:pPr>
            <w:r>
              <w:t xml:space="preserve">bounds </w:t>
            </w:r>
          </w:p>
        </w:tc>
        <w:tc>
          <w:tcPr/>
          <w:p>
            <w:pPr>
              <w:pStyle w:val="Compact"/>
              <w:jc w:val="left"/>
            </w:pPr>
            <w:r>
              <w:t xml:space="preserve">(0.005, ...)</w:t>
            </w:r>
          </w:p>
        </w:tc>
      </w:tr>
      <w:tr>
        <w:tc>
          <w:tcPr/>
          <w:p>
            <w:pPr>
              <w:pStyle w:val="Compact"/>
              <w:jc w:val="left"/>
            </w:pPr>
          </w:p>
        </w:tc>
        <w:tc>
          <w:tcPr/>
          <w:p>
            <w:pPr>
              <w:pStyle w:val="Compact"/>
              <w:jc w:val="left"/>
            </w:pPr>
            <w:r>
              <w:t xml:space="preserve">impute </w:t>
            </w:r>
          </w:p>
        </w:tc>
        <w:tc>
          <w:tcPr/>
          <w:p>
            <w:pPr>
              <w:pStyle w:val="Compact"/>
              <w:jc w:val="left"/>
            </w:pPr>
            <w:r>
              <w:t xml:space="preserve">'median'</w:t>
            </w:r>
          </w:p>
        </w:tc>
      </w:tr>
      <w:tr>
        <w:tc>
          <w:tcPr/>
          <w:p>
            <w:pPr>
              <w:pStyle w:val="Compact"/>
              <w:jc w:val="left"/>
            </w:pPr>
          </w:p>
        </w:tc>
        <w:tc>
          <w:tcPr/>
          <w:p>
            <w:pPr>
              <w:pStyle w:val="Compact"/>
              <w:jc w:val="left"/>
            </w:pPr>
            <w:r>
              <w:t xml:space="preserve">svd_method </w:t>
            </w:r>
          </w:p>
        </w:tc>
        <w:tc>
          <w:tcPr/>
          <w:p>
            <w:pPr>
              <w:pStyle w:val="Compact"/>
              <w:jc w:val="left"/>
            </w:pPr>
            <w:r>
              <w:t xml:space="preserve">'randomized'</w:t>
            </w:r>
          </w:p>
        </w:tc>
      </w:tr>
      <w:tr>
        <w:tc>
          <w:tcPr/>
          <w:p>
            <w:pPr>
              <w:pStyle w:val="Compact"/>
              <w:jc w:val="left"/>
            </w:pPr>
          </w:p>
        </w:tc>
        <w:tc>
          <w:tcPr/>
          <w:p>
            <w:pPr>
              <w:pStyle w:val="Compact"/>
              <w:jc w:val="left"/>
            </w:pPr>
            <w:r>
              <w:t xml:space="preserve">rotation_kwargs </w:t>
            </w:r>
          </w:p>
        </w:tc>
        <w:tc>
          <w:tcPr/>
          <w:p>
            <w:pPr>
              <w:pStyle w:val="Compact"/>
              <w:jc w:val="left"/>
            </w:pPr>
            <w:r>
              <w:t xml:space="preserve">{}</w:t>
            </w:r>
          </w:p>
        </w:tc>
      </w:tr>
    </w:tbl>
    <w:bookmarkEnd w:id="45"/>
    <w:bookmarkStart w:id="47" w:name="matriz-de-cargas-factoriales-rotadas"/>
    <w:p>
      <w:pPr>
        <w:pStyle w:val="Heading2"/>
      </w:pPr>
      <w:r>
        <w:t xml:space="preserve">Matriz de cargas factoriales rotadas</w:t>
      </w:r>
    </w:p>
    <w:p>
      <w:pPr>
        <w:pStyle w:val="SourceCode"/>
      </w:pPr>
      <w:r>
        <w:rPr>
          <w:rStyle w:val="NormalTok"/>
        </w:rPr>
        <w:t xml:space="preserve">cargas </w:t>
      </w:r>
      <w:r>
        <w:rPr>
          <w:rStyle w:val="OperatorTok"/>
        </w:rPr>
        <w:t xml:space="preserve">=</w:t>
      </w:r>
      <w:r>
        <w:rPr>
          <w:rStyle w:val="NormalTok"/>
        </w:rPr>
        <w:t xml:space="preserve"> pd.DataFrame(</w:t>
      </w:r>
      <w:r>
        <w:br/>
      </w:r>
      <w:r>
        <w:rPr>
          <w:rStyle w:val="NormalTok"/>
        </w:rPr>
        <w:t xml:space="preserve">    fa.loadings_,</w:t>
      </w:r>
      <w:r>
        <w:br/>
      </w:r>
      <w:r>
        <w:rPr>
          <w:rStyle w:val="NormalTok"/>
        </w:rPr>
        <w:t xml:space="preserve">    index</w:t>
      </w:r>
      <w:r>
        <w:rPr>
          <w:rStyle w:val="OperatorTok"/>
        </w:rPr>
        <w:t xml:space="preserve">=</w:t>
      </w:r>
      <w:r>
        <w:rPr>
          <w:rStyle w:val="NormalTok"/>
        </w:rPr>
        <w:t xml:space="preserve">variables,</w:t>
      </w:r>
      <w:r>
        <w:br/>
      </w:r>
      <w:r>
        <w:rPr>
          <w:rStyle w:val="NormalTok"/>
        </w:rPr>
        <w:t xml:space="preserve">    columns</w:t>
      </w:r>
      <w:r>
        <w:rPr>
          <w:rStyle w:val="OperatorTok"/>
        </w:rPr>
        <w:t xml:space="preserve">=</w:t>
      </w:r>
      <w:r>
        <w:rPr>
          <w:rStyle w:val="NormalTok"/>
        </w:rPr>
        <w:t xml:space="preserve">[</w:t>
      </w:r>
      <w:r>
        <w:rPr>
          <w:rStyle w:val="StringTok"/>
        </w:rPr>
        <w:t xml:space="preserve">"Factor 1"</w:t>
      </w:r>
      <w:r>
        <w:rPr>
          <w:rStyle w:val="NormalTok"/>
        </w:rPr>
        <w:t xml:space="preserve">, </w:t>
      </w:r>
      <w:r>
        <w:rPr>
          <w:rStyle w:val="StringTok"/>
        </w:rPr>
        <w:t xml:space="preserve">"Factor 2"</w:t>
      </w:r>
      <w:r>
        <w:rPr>
          <w:rStyle w:val="NormalTok"/>
        </w:rPr>
        <w:t xml:space="preserve">]</w:t>
      </w:r>
      <w:r>
        <w:br/>
      </w:r>
      <w:r>
        <w:rPr>
          <w:rStyle w:val="NormalTok"/>
        </w:rPr>
        <w:t xml:space="preserve">)</w:t>
      </w:r>
      <w:r>
        <w:br/>
      </w:r>
      <w:r>
        <w:br/>
      </w:r>
      <w:r>
        <w:rPr>
          <w:rStyle w:val="NormalTok"/>
        </w:rPr>
        <w:t xml:space="preserve">display(cargas.</w:t>
      </w:r>
      <w:r>
        <w:rPr>
          <w:rStyle w:val="BuiltInTok"/>
        </w:rPr>
        <w:t xml:space="preserve">round</w:t>
      </w:r>
      <w:r>
        <w:rPr>
          <w:rStyle w:val="NormalTok"/>
        </w:rPr>
        <w:t xml:space="preserve">(</w:t>
      </w:r>
      <w:r>
        <w:rPr>
          <w:rStyle w:val="DecValTok"/>
        </w:rPr>
        <w:t xml:space="preserve">3</w:t>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46" w:name="T_c6fe7"/>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Factor 1</w:t>
            </w:r>
          </w:p>
        </w:tc>
        <w:tc>
          <w:tcPr/>
          <w:p>
            <w:pPr>
              <w:pStyle w:val="Compact"/>
              <w:jc w:val="left"/>
            </w:pPr>
            <w:r>
              <w:t xml:space="preserve">Factor 2</w:t>
            </w:r>
          </w:p>
        </w:tc>
      </w:tr>
      <w:tr>
        <w:tc>
          <w:tcPr/>
          <w:p>
            <w:pPr>
              <w:pStyle w:val="Compact"/>
              <w:jc w:val="left"/>
            </w:pPr>
            <w:r>
              <w:t xml:space="preserve">0.314000</w:t>
            </w:r>
          </w:p>
        </w:tc>
        <w:tc>
          <w:tcPr/>
          <w:p>
            <w:pPr>
              <w:pStyle w:val="Compact"/>
              <w:jc w:val="left"/>
            </w:pPr>
            <w:r>
              <w:t xml:space="preserve">0.831000</w:t>
            </w:r>
          </w:p>
        </w:tc>
      </w:tr>
      <w:tr>
        <w:tc>
          <w:tcPr/>
          <w:p>
            <w:pPr>
              <w:pStyle w:val="Compact"/>
              <w:jc w:val="left"/>
            </w:pPr>
            <w:r>
              <w:t xml:space="preserve">0.291000</w:t>
            </w:r>
          </w:p>
        </w:tc>
        <w:tc>
          <w:tcPr/>
          <w:p>
            <w:pPr>
              <w:pStyle w:val="Compact"/>
              <w:jc w:val="left"/>
            </w:pPr>
            <w:r>
              <w:t xml:space="preserve">0.873000</w:t>
            </w:r>
          </w:p>
        </w:tc>
      </w:tr>
      <w:tr>
        <w:tc>
          <w:tcPr/>
          <w:p>
            <w:pPr>
              <w:pStyle w:val="Compact"/>
              <w:jc w:val="left"/>
            </w:pPr>
            <w:r>
              <w:t xml:space="preserve">0.169000</w:t>
            </w:r>
          </w:p>
        </w:tc>
        <w:tc>
          <w:tcPr/>
          <w:p>
            <w:pPr>
              <w:pStyle w:val="Compact"/>
              <w:jc w:val="left"/>
            </w:pPr>
            <w:r>
              <w:t xml:space="preserve">0.868000</w:t>
            </w:r>
          </w:p>
        </w:tc>
      </w:tr>
      <w:tr>
        <w:tc>
          <w:tcPr/>
          <w:p>
            <w:pPr>
              <w:pStyle w:val="Compact"/>
              <w:jc w:val="left"/>
            </w:pPr>
            <w:r>
              <w:t xml:space="preserve">0.845000</w:t>
            </w:r>
          </w:p>
        </w:tc>
        <w:tc>
          <w:tcPr/>
          <w:p>
            <w:pPr>
              <w:pStyle w:val="Compact"/>
              <w:jc w:val="left"/>
            </w:pPr>
            <w:r>
              <w:t xml:space="preserve">0.197000</w:t>
            </w:r>
          </w:p>
        </w:tc>
      </w:tr>
      <w:tr>
        <w:tc>
          <w:tcPr/>
          <w:p>
            <w:pPr>
              <w:pStyle w:val="Compact"/>
              <w:jc w:val="left"/>
            </w:pPr>
            <w:r>
              <w:t xml:space="preserve">0.845000</w:t>
            </w:r>
          </w:p>
        </w:tc>
        <w:tc>
          <w:tcPr/>
          <w:p>
            <w:pPr>
              <w:pStyle w:val="Compact"/>
              <w:jc w:val="left"/>
            </w:pPr>
            <w:r>
              <w:t xml:space="preserve">0.273000</w:t>
            </w:r>
          </w:p>
        </w:tc>
      </w:tr>
      <w:tr>
        <w:tc>
          <w:tcPr/>
          <w:p>
            <w:pPr>
              <w:pStyle w:val="Compact"/>
              <w:jc w:val="left"/>
            </w:pPr>
            <w:r>
              <w:t xml:space="preserve">0.826000</w:t>
            </w:r>
          </w:p>
        </w:tc>
        <w:tc>
          <w:tcPr/>
          <w:p>
            <w:pPr>
              <w:pStyle w:val="Compact"/>
              <w:jc w:val="left"/>
            </w:pPr>
            <w:r>
              <w:t xml:space="preserve">0.263000</w:t>
            </w:r>
          </w:p>
        </w:tc>
      </w:tr>
      <w:tr>
        <w:tc>
          <w:tcPr/>
          <w:p>
            <w:pPr>
              <w:pStyle w:val="Compact"/>
              <w:jc w:val="left"/>
            </w:pPr>
            <w:r>
              <w:t xml:space="preserve">0.875000</w:t>
            </w:r>
          </w:p>
        </w:tc>
        <w:tc>
          <w:tcPr/>
          <w:p>
            <w:pPr>
              <w:pStyle w:val="Compact"/>
              <w:jc w:val="left"/>
            </w:pPr>
            <w:r>
              <w:t xml:space="preserve">0.229000</w:t>
            </w:r>
          </w:p>
        </w:tc>
      </w:tr>
      <w:tr>
        <w:tc>
          <w:tcPr/>
          <w:p>
            <w:pPr>
              <w:pStyle w:val="Compact"/>
              <w:jc w:val="left"/>
            </w:pPr>
            <w:r>
              <w:t xml:space="preserve">0.859000</w:t>
            </w:r>
          </w:p>
        </w:tc>
        <w:tc>
          <w:tcPr/>
          <w:p>
            <w:pPr>
              <w:pStyle w:val="Compact"/>
              <w:jc w:val="left"/>
            </w:pPr>
            <w:r>
              <w:t xml:space="preserve">0.226000</w:t>
            </w:r>
          </w:p>
        </w:tc>
      </w:tr>
      <w:tr>
        <w:tc>
          <w:tcPr/>
          <w:p>
            <w:pPr>
              <w:pStyle w:val="Compact"/>
              <w:jc w:val="left"/>
            </w:pPr>
            <w:r>
              <w:t xml:space="preserve">0.282000</w:t>
            </w:r>
          </w:p>
        </w:tc>
        <w:tc>
          <w:tcPr/>
          <w:p>
            <w:pPr>
              <w:pStyle w:val="Compact"/>
              <w:jc w:val="left"/>
            </w:pPr>
            <w:r>
              <w:t xml:space="preserve">0.858000</w:t>
            </w:r>
          </w:p>
        </w:tc>
      </w:tr>
    </w:tbl>
    <w:bookmarkEnd w:id="46"/>
    <w:p>
      <w:pPr>
        <w:pStyle w:val="BodyText"/>
      </w:pPr>
      <w:r>
        <w:t xml:space="preserve">El Factor 1 se encuentra claramente asociado con cinco de los seis indicadores de lealtad cognitiva (CLOY1–CLOY5). El Factor 2 está definido principalmente por los tres indicadores de lealtad afectiva (ALOY1–ALOY3), aunque también incorpora fuertemente a CLOY6. Por lo tanto, la estructura empírica reproduce en gran medida las dos dimensiones teóricas propuestas, pero no de manera perfecta debido al comportamiento particular de CLOY6.</w:t>
      </w:r>
    </w:p>
    <w:bookmarkEnd w:id="47"/>
    <w:bookmarkStart w:id="49" w:name="comunalidades"/>
    <w:p>
      <w:pPr>
        <w:pStyle w:val="Heading2"/>
      </w:pPr>
      <w:r>
        <w:t xml:space="preserve">Comunalidades</w:t>
      </w:r>
    </w:p>
    <w:p>
      <w:pPr>
        <w:pStyle w:val="SourceCode"/>
      </w:pPr>
      <w:r>
        <w:rPr>
          <w:rStyle w:val="NormalTok"/>
        </w:rPr>
        <w:t xml:space="preserve">comunalidades </w:t>
      </w:r>
      <w:r>
        <w:rPr>
          <w:rStyle w:val="OperatorTok"/>
        </w:rPr>
        <w:t xml:space="preserve">=</w:t>
      </w:r>
      <w:r>
        <w:rPr>
          <w:rStyle w:val="NormalTok"/>
        </w:rPr>
        <w:t xml:space="preserve"> pd.DataFrame({</w:t>
      </w:r>
      <w:r>
        <w:br/>
      </w:r>
      <w:r>
        <w:rPr>
          <w:rStyle w:val="NormalTok"/>
        </w:rPr>
        <w:t xml:space="preserve">    </w:t>
      </w:r>
      <w:r>
        <w:rPr>
          <w:rStyle w:val="StringTok"/>
        </w:rPr>
        <w:t xml:space="preserve">"Variable"</w:t>
      </w:r>
      <w:r>
        <w:rPr>
          <w:rStyle w:val="NormalTok"/>
        </w:rPr>
        <w:t xml:space="preserve">: variables,</w:t>
      </w:r>
      <w:r>
        <w:br/>
      </w:r>
      <w:r>
        <w:rPr>
          <w:rStyle w:val="NormalTok"/>
        </w:rPr>
        <w:t xml:space="preserve">    </w:t>
      </w:r>
      <w:r>
        <w:rPr>
          <w:rStyle w:val="StringTok"/>
        </w:rPr>
        <w:t xml:space="preserve">"Comunalidad"</w:t>
      </w:r>
      <w:r>
        <w:rPr>
          <w:rStyle w:val="NormalTok"/>
        </w:rPr>
        <w:t xml:space="preserve">: fa.get_communalities()</w:t>
      </w:r>
      <w:r>
        <w:br/>
      </w:r>
      <w:r>
        <w:rPr>
          <w:rStyle w:val="NormalTok"/>
        </w:rPr>
        <w:t xml:space="preserve">})</w:t>
      </w:r>
      <w:r>
        <w:br/>
      </w:r>
      <w:r>
        <w:br/>
      </w:r>
      <w:r>
        <w:rPr>
          <w:rStyle w:val="NormalTok"/>
        </w:rPr>
        <w:t xml:space="preserve">display(comunalidades.</w:t>
      </w:r>
      <w:r>
        <w:rPr>
          <w:rStyle w:val="BuiltInTok"/>
        </w:rPr>
        <w:t xml:space="preserve">round</w:t>
      </w:r>
      <w:r>
        <w:rPr>
          <w:rStyle w:val="NormalTok"/>
        </w:rPr>
        <w:t xml:space="preserve">(</w:t>
      </w:r>
      <w:r>
        <w:rPr>
          <w:rStyle w:val="DecValTok"/>
        </w:rPr>
        <w:t xml:space="preserve">3</w:t>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48" w:name="T_b1187"/>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Comunalidad</w:t>
            </w:r>
          </w:p>
        </w:tc>
      </w:tr>
      <w:tr>
        <w:tc>
          <w:tcPr/>
          <w:p>
            <w:pPr>
              <w:pStyle w:val="Compact"/>
              <w:jc w:val="left"/>
            </w:pPr>
            <w:r>
              <w:t xml:space="preserve">ALOY1</w:t>
            </w:r>
          </w:p>
        </w:tc>
        <w:tc>
          <w:tcPr/>
          <w:p>
            <w:pPr>
              <w:pStyle w:val="Compact"/>
              <w:jc w:val="left"/>
            </w:pPr>
            <w:r>
              <w:t xml:space="preserve">0.789000</w:t>
            </w:r>
          </w:p>
        </w:tc>
      </w:tr>
      <w:tr>
        <w:tc>
          <w:tcPr/>
          <w:p>
            <w:pPr>
              <w:pStyle w:val="Compact"/>
              <w:jc w:val="left"/>
            </w:pPr>
            <w:r>
              <w:t xml:space="preserve">ALOY2</w:t>
            </w:r>
          </w:p>
        </w:tc>
        <w:tc>
          <w:tcPr/>
          <w:p>
            <w:pPr>
              <w:pStyle w:val="Compact"/>
              <w:jc w:val="left"/>
            </w:pPr>
            <w:r>
              <w:t xml:space="preserve">0.847000</w:t>
            </w:r>
          </w:p>
        </w:tc>
      </w:tr>
      <w:tr>
        <w:tc>
          <w:tcPr/>
          <w:p>
            <w:pPr>
              <w:pStyle w:val="Compact"/>
              <w:jc w:val="left"/>
            </w:pPr>
            <w:r>
              <w:t xml:space="preserve">ALOY3</w:t>
            </w:r>
          </w:p>
        </w:tc>
        <w:tc>
          <w:tcPr/>
          <w:p>
            <w:pPr>
              <w:pStyle w:val="Compact"/>
              <w:jc w:val="left"/>
            </w:pPr>
            <w:r>
              <w:t xml:space="preserve">0.782000</w:t>
            </w:r>
          </w:p>
        </w:tc>
      </w:tr>
      <w:tr>
        <w:tc>
          <w:tcPr/>
          <w:p>
            <w:pPr>
              <w:pStyle w:val="Compact"/>
              <w:jc w:val="left"/>
            </w:pPr>
            <w:r>
              <w:t xml:space="preserve">CLOY1</w:t>
            </w:r>
          </w:p>
        </w:tc>
        <w:tc>
          <w:tcPr/>
          <w:p>
            <w:pPr>
              <w:pStyle w:val="Compact"/>
              <w:jc w:val="left"/>
            </w:pPr>
            <w:r>
              <w:t xml:space="preserve">0.753000</w:t>
            </w:r>
          </w:p>
        </w:tc>
      </w:tr>
      <w:tr>
        <w:tc>
          <w:tcPr/>
          <w:p>
            <w:pPr>
              <w:pStyle w:val="Compact"/>
              <w:jc w:val="left"/>
            </w:pPr>
            <w:r>
              <w:t xml:space="preserve">CLOY2</w:t>
            </w:r>
          </w:p>
        </w:tc>
        <w:tc>
          <w:tcPr/>
          <w:p>
            <w:pPr>
              <w:pStyle w:val="Compact"/>
              <w:jc w:val="left"/>
            </w:pPr>
            <w:r>
              <w:t xml:space="preserve">0.788000</w:t>
            </w:r>
          </w:p>
        </w:tc>
      </w:tr>
      <w:tr>
        <w:tc>
          <w:tcPr/>
          <w:p>
            <w:pPr>
              <w:pStyle w:val="Compact"/>
              <w:jc w:val="left"/>
            </w:pPr>
            <w:r>
              <w:t xml:space="preserve">CLOY3</w:t>
            </w:r>
          </w:p>
        </w:tc>
        <w:tc>
          <w:tcPr/>
          <w:p>
            <w:pPr>
              <w:pStyle w:val="Compact"/>
              <w:jc w:val="left"/>
            </w:pPr>
            <w:r>
              <w:t xml:space="preserve">0.751000</w:t>
            </w:r>
          </w:p>
        </w:tc>
      </w:tr>
      <w:tr>
        <w:tc>
          <w:tcPr/>
          <w:p>
            <w:pPr>
              <w:pStyle w:val="Compact"/>
              <w:jc w:val="left"/>
            </w:pPr>
            <w:r>
              <w:t xml:space="preserve">CLOY4</w:t>
            </w:r>
          </w:p>
        </w:tc>
        <w:tc>
          <w:tcPr/>
          <w:p>
            <w:pPr>
              <w:pStyle w:val="Compact"/>
              <w:jc w:val="left"/>
            </w:pPr>
            <w:r>
              <w:t xml:space="preserve">0.818000</w:t>
            </w:r>
          </w:p>
        </w:tc>
      </w:tr>
      <w:tr>
        <w:tc>
          <w:tcPr/>
          <w:p>
            <w:pPr>
              <w:pStyle w:val="Compact"/>
              <w:jc w:val="left"/>
            </w:pPr>
            <w:r>
              <w:t xml:space="preserve">CLOY5</w:t>
            </w:r>
          </w:p>
        </w:tc>
        <w:tc>
          <w:tcPr/>
          <w:p>
            <w:pPr>
              <w:pStyle w:val="Compact"/>
              <w:jc w:val="left"/>
            </w:pPr>
            <w:r>
              <w:t xml:space="preserve">0.789000</w:t>
            </w:r>
          </w:p>
        </w:tc>
      </w:tr>
      <w:tr>
        <w:tc>
          <w:tcPr/>
          <w:p>
            <w:pPr>
              <w:pStyle w:val="Compact"/>
              <w:jc w:val="left"/>
            </w:pPr>
            <w:r>
              <w:t xml:space="preserve">CLOY6</w:t>
            </w:r>
          </w:p>
        </w:tc>
        <w:tc>
          <w:tcPr/>
          <w:p>
            <w:pPr>
              <w:pStyle w:val="Compact"/>
              <w:jc w:val="left"/>
            </w:pPr>
            <w:r>
              <w:t xml:space="preserve">0.817000</w:t>
            </w:r>
          </w:p>
        </w:tc>
      </w:tr>
    </w:tbl>
    <w:bookmarkEnd w:id="48"/>
    <w:p>
      <w:pPr>
        <w:pStyle w:val="BodyText"/>
      </w:pPr>
      <w:r>
        <w:t xml:space="preserve">Las comunalidades presentan valores entre 0,751 y 0,847. Esto indica que los dos factores retenidos explican una proporción elevada de la variabilidad de cada una de las nueve variables, sin observarse variables escasamente representadas por la solución factorial.</w:t>
      </w:r>
    </w:p>
    <w:bookmarkEnd w:id="49"/>
    <w:bookmarkStart w:id="51" w:name="varianza-explicada"/>
    <w:p>
      <w:pPr>
        <w:pStyle w:val="Heading2"/>
      </w:pPr>
      <w:r>
        <w:t xml:space="preserve">Varianza explicada</w:t>
      </w:r>
    </w:p>
    <w:p>
      <w:pPr>
        <w:pStyle w:val="SourceCode"/>
      </w:pPr>
      <w:r>
        <w:rPr>
          <w:rStyle w:val="NormalTok"/>
        </w:rPr>
        <w:t xml:space="preserve">varianza </w:t>
      </w:r>
      <w:r>
        <w:rPr>
          <w:rStyle w:val="OperatorTok"/>
        </w:rPr>
        <w:t xml:space="preserve">=</w:t>
      </w:r>
      <w:r>
        <w:rPr>
          <w:rStyle w:val="NormalTok"/>
        </w:rPr>
        <w:t xml:space="preserve"> fa.get_factor_variance()</w:t>
      </w:r>
      <w:r>
        <w:br/>
      </w:r>
      <w:r>
        <w:br/>
      </w:r>
      <w:r>
        <w:rPr>
          <w:rStyle w:val="NormalTok"/>
        </w:rPr>
        <w:t xml:space="preserve">tabla_varianza </w:t>
      </w:r>
      <w:r>
        <w:rPr>
          <w:rStyle w:val="OperatorTok"/>
        </w:rPr>
        <w:t xml:space="preserve">=</w:t>
      </w:r>
      <w:r>
        <w:rPr>
          <w:rStyle w:val="NormalTok"/>
        </w:rPr>
        <w:t xml:space="preserve"> pd.DataFrame({</w:t>
      </w:r>
      <w:r>
        <w:br/>
      </w:r>
      <w:r>
        <w:rPr>
          <w:rStyle w:val="NormalTok"/>
        </w:rPr>
        <w:t xml:space="preserve">    </w:t>
      </w:r>
      <w:r>
        <w:rPr>
          <w:rStyle w:val="StringTok"/>
        </w:rPr>
        <w:t xml:space="preserve">"Factor"</w:t>
      </w:r>
      <w:r>
        <w:rPr>
          <w:rStyle w:val="NormalTok"/>
        </w:rPr>
        <w:t xml:space="preserve">: [</w:t>
      </w:r>
      <w:r>
        <w:rPr>
          <w:rStyle w:val="StringTok"/>
        </w:rPr>
        <w:t xml:space="preserve">"Factor 1"</w:t>
      </w:r>
      <w:r>
        <w:rPr>
          <w:rStyle w:val="NormalTok"/>
        </w:rPr>
        <w:t xml:space="preserve">, </w:t>
      </w:r>
      <w:r>
        <w:rPr>
          <w:rStyle w:val="StringTok"/>
        </w:rPr>
        <w:t xml:space="preserve">"Factor 2"</w:t>
      </w:r>
      <w:r>
        <w:rPr>
          <w:rStyle w:val="NormalTok"/>
        </w:rPr>
        <w:t xml:space="preserve">],</w:t>
      </w:r>
      <w:r>
        <w:br/>
      </w:r>
      <w:r>
        <w:rPr>
          <w:rStyle w:val="NormalTok"/>
        </w:rPr>
        <w:t xml:space="preserve">    </w:t>
      </w:r>
      <w:r>
        <w:rPr>
          <w:rStyle w:val="StringTok"/>
        </w:rPr>
        <w:t xml:space="preserve">"SS Loadings"</w:t>
      </w:r>
      <w:r>
        <w:rPr>
          <w:rStyle w:val="NormalTok"/>
        </w:rPr>
        <w:t xml:space="preserve">: varianza[</w:t>
      </w:r>
      <w:r>
        <w:rPr>
          <w:rStyle w:val="DecValTok"/>
        </w:rPr>
        <w:t xml:space="preserve">0</w:t>
      </w:r>
      <w:r>
        <w:rPr>
          <w:rStyle w:val="NormalTok"/>
        </w:rPr>
        <w:t xml:space="preserve">],</w:t>
      </w:r>
      <w:r>
        <w:br/>
      </w:r>
      <w:r>
        <w:rPr>
          <w:rStyle w:val="NormalTok"/>
        </w:rPr>
        <w:t xml:space="preserve">    </w:t>
      </w:r>
      <w:r>
        <w:rPr>
          <w:rStyle w:val="StringTok"/>
        </w:rPr>
        <w:t xml:space="preserve">"Proporción de varianza"</w:t>
      </w:r>
      <w:r>
        <w:rPr>
          <w:rStyle w:val="NormalTok"/>
        </w:rPr>
        <w:t xml:space="preserve">: varianza[</w:t>
      </w:r>
      <w:r>
        <w:rPr>
          <w:rStyle w:val="DecValTok"/>
        </w:rPr>
        <w:t xml:space="preserve">1</w:t>
      </w:r>
      <w:r>
        <w:rPr>
          <w:rStyle w:val="NormalTok"/>
        </w:rPr>
        <w:t xml:space="preserve">],</w:t>
      </w:r>
      <w:r>
        <w:br/>
      </w:r>
      <w:r>
        <w:rPr>
          <w:rStyle w:val="NormalTok"/>
        </w:rPr>
        <w:t xml:space="preserve">    </w:t>
      </w:r>
      <w:r>
        <w:rPr>
          <w:rStyle w:val="StringTok"/>
        </w:rPr>
        <w:t xml:space="preserve">"Varianza acumulada"</w:t>
      </w:r>
      <w:r>
        <w:rPr>
          <w:rStyle w:val="NormalTok"/>
        </w:rPr>
        <w:t xml:space="preserve">: varianza[</w:t>
      </w:r>
      <w:r>
        <w:rPr>
          <w:rStyle w:val="DecValTok"/>
        </w:rPr>
        <w:t xml:space="preserve">2</w:t>
      </w:r>
      <w:r>
        <w:rPr>
          <w:rStyle w:val="NormalTok"/>
        </w:rPr>
        <w:t xml:space="preserve">]</w:t>
      </w:r>
      <w:r>
        <w:br/>
      </w:r>
      <w:r>
        <w:rPr>
          <w:rStyle w:val="NormalTok"/>
        </w:rPr>
        <w:t xml:space="preserve">})</w:t>
      </w:r>
      <w:r>
        <w:br/>
      </w:r>
      <w:r>
        <w:br/>
      </w:r>
      <w:r>
        <w:rPr>
          <w:rStyle w:val="NormalTok"/>
        </w:rPr>
        <w:t xml:space="preserve">display(tabla_varianza.</w:t>
      </w:r>
      <w:r>
        <w:rPr>
          <w:rStyle w:val="BuiltInTok"/>
        </w:rPr>
        <w:t xml:space="preserve">round</w:t>
      </w:r>
      <w:r>
        <w:rPr>
          <w:rStyle w:val="NormalTok"/>
        </w:rPr>
        <w:t xml:space="preserve">(</w:t>
      </w:r>
      <w:r>
        <w:rPr>
          <w:rStyle w:val="DecValTok"/>
        </w:rPr>
        <w:t xml:space="preserve">3</w:t>
      </w:r>
      <w:r>
        <w:rPr>
          <w:rStyle w:val="NormalTok"/>
        </w:rPr>
        <w:t xml:space="preserve">).style.hide(axis</w:t>
      </w:r>
      <w:r>
        <w:rPr>
          <w:rStyle w:val="OperatorTok"/>
        </w:rPr>
        <w:t xml:space="preserve">=</w:t>
      </w:r>
      <w:r>
        <w:rPr>
          <w:rStyle w:val="StringTok"/>
        </w:rPr>
        <w:t xml:space="preserve">"index"</w:t>
      </w:r>
      <w:r>
        <w:rPr>
          <w:rStyle w:val="NormalTok"/>
        </w:rPr>
        <w:t xml:space="preserve">))</w:t>
      </w:r>
    </w:p>
    <w:bookmarkStart w:id="50" w:name="T_a16b2"/>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SS Loadings</w:t>
            </w:r>
          </w:p>
        </w:tc>
        <w:tc>
          <w:tcPr/>
          <w:p>
            <w:pPr>
              <w:pStyle w:val="Compact"/>
              <w:jc w:val="left"/>
            </w:pPr>
            <w:r>
              <w:t xml:space="preserve">Proporción de varianza</w:t>
            </w:r>
          </w:p>
        </w:tc>
        <w:tc>
          <w:tcPr/>
          <w:p>
            <w:pPr>
              <w:pStyle w:val="Compact"/>
              <w:jc w:val="left"/>
            </w:pPr>
            <w:r>
              <w:t xml:space="preserve">Varianza acumulada</w:t>
            </w:r>
          </w:p>
        </w:tc>
      </w:tr>
      <w:tr>
        <w:tc>
          <w:tcPr/>
          <w:p>
            <w:pPr>
              <w:pStyle w:val="Compact"/>
              <w:jc w:val="left"/>
            </w:pPr>
            <w:r>
              <w:t xml:space="preserve">Factor 1</w:t>
            </w:r>
          </w:p>
        </w:tc>
        <w:tc>
          <w:tcPr/>
          <w:p>
            <w:pPr>
              <w:pStyle w:val="Compact"/>
              <w:jc w:val="left"/>
            </w:pPr>
            <w:r>
              <w:t xml:space="preserve">3.905000</w:t>
            </w:r>
          </w:p>
        </w:tc>
        <w:tc>
          <w:tcPr/>
          <w:p>
            <w:pPr>
              <w:pStyle w:val="Compact"/>
              <w:jc w:val="left"/>
            </w:pPr>
            <w:r>
              <w:t xml:space="preserve">0.434000</w:t>
            </w:r>
          </w:p>
        </w:tc>
        <w:tc>
          <w:tcPr/>
          <w:p>
            <w:pPr>
              <w:pStyle w:val="Compact"/>
              <w:jc w:val="left"/>
            </w:pPr>
            <w:r>
              <w:t xml:space="preserve">0.434000</w:t>
            </w:r>
          </w:p>
        </w:tc>
      </w:tr>
      <w:tr>
        <w:tc>
          <w:tcPr/>
          <w:p>
            <w:pPr>
              <w:pStyle w:val="Compact"/>
              <w:jc w:val="left"/>
            </w:pPr>
            <w:r>
              <w:t xml:space="preserve">Factor 2</w:t>
            </w:r>
          </w:p>
        </w:tc>
        <w:tc>
          <w:tcPr/>
          <w:p>
            <w:pPr>
              <w:pStyle w:val="Compact"/>
              <w:jc w:val="left"/>
            </w:pPr>
            <w:r>
              <w:t xml:space="preserve">3.229000</w:t>
            </w:r>
          </w:p>
        </w:tc>
        <w:tc>
          <w:tcPr/>
          <w:p>
            <w:pPr>
              <w:pStyle w:val="Compact"/>
              <w:jc w:val="left"/>
            </w:pPr>
            <w:r>
              <w:t xml:space="preserve">0.359000</w:t>
            </w:r>
          </w:p>
        </w:tc>
        <w:tc>
          <w:tcPr/>
          <w:p>
            <w:pPr>
              <w:pStyle w:val="Compact"/>
              <w:jc w:val="left"/>
            </w:pPr>
            <w:r>
              <w:t xml:space="preserve">0.793000</w:t>
            </w:r>
          </w:p>
        </w:tc>
      </w:tr>
    </w:tbl>
    <w:bookmarkEnd w:id="50"/>
    <w:p>
      <w:pPr>
        <w:pStyle w:val="BodyText"/>
      </w:pPr>
      <w:r>
        <w:t xml:space="preserve">El Factor 1 explica el 43,4 % de la varianza y el Factor 2 el 35,9 %. En conjunto, ambos factores explican el 79,3 % de la varianza total, lo que indica una elevada capacidad de síntesis de la solución factorial obtenida.</w:t>
      </w:r>
    </w:p>
    <w:bookmarkEnd w:id="51"/>
    <w:bookmarkStart w:id="52" w:name="conclusiones"/>
    <w:p>
      <w:pPr>
        <w:pStyle w:val="Heading2"/>
      </w:pPr>
      <w:r>
        <w:t xml:space="preserve">Conclusiones</w:t>
      </w:r>
    </w:p>
    <w:p>
      <w:pPr>
        <w:pStyle w:val="FirstParagraph"/>
      </w:pPr>
      <w:r>
        <w:t xml:space="preserve">El análisis factorial exploratorio aplicado a los nueve indicadores de lealtad permitió identificar una estructura subyacente de dos factores. La aplicación del test de Bartlett y del índice KMO confirmó previamente que la matriz de datos resultaba adecuada para este tipo de análisis.</w:t>
      </w:r>
    </w:p>
    <w:p>
      <w:pPr>
        <w:pStyle w:val="BodyText"/>
      </w:pPr>
      <w:r>
        <w:t xml:space="preserve">La selección de dos factores fue respaldada tanto por el criterio de autovalores mayores que uno como por el gráfico de sedimentación. Luego de la rotación Varimax, el primer factor quedó definido principalmente por CLOY1–CLOY5, mientras que el segundo estuvo asociado principalmente con ALOY1–ALOY3.</w:t>
      </w:r>
    </w:p>
    <w:p>
      <w:pPr>
        <w:pStyle w:val="BodyText"/>
      </w:pPr>
      <w:r>
        <w:t xml:space="preserve">Esta estructura resulta ampliamente consistente con las dimensiones teóricas de lealtad cognitiva y afectiva planteadas inicialmente. Sin embargo, CLOY6 presentó un comportamiento diferente del esperado, al mostrar una carga elevada sobre el segundo factor. Este resultado sugiere que, en la muestra analizada, el ítem relacionado con la permanencia en la marca por su precio se encuentra empíricamente más asociado con la segunda dimensión que con los restantes indicadores cognitivos.</w:t>
      </w:r>
    </w:p>
    <w:p>
      <w:pPr>
        <w:pStyle w:val="BodyText"/>
      </w:pPr>
      <w:r>
        <w:t xml:space="preserve">Finalmente, los dos factores explican conjuntamente el 79,3 % de la varianza total, y todas las variables presentan comunalidades superiores a 0,75. En consecuencia, la solución factorial de dos dimensiones ofrece una representación parsimoniosa y adecuada de la estructura de relaciones existente entre los nueve indicadores de lealtad.</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1: Mapas perceptuales y Análisis Factorial</dc:title>
  <dc:creator>Andrea Gomez Vargas &amp; Karen Ulloa</dc:creator>
  <dc:language>es</dc:language>
  <cp:keywords/>
  <dcterms:created xsi:type="dcterms:W3CDTF">2026-08-21T20:00:38Z</dcterms:created>
  <dcterms:modified xsi:type="dcterms:W3CDTF">2026-08-21T20:00:38Z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24/08/2026</vt:lpwstr>
  </property>
  <property fmtid="{D5CDD505-2E9C-101B-9397-08002B2CF9AE}" pid="6" name="date-format">
    <vt:lpwstr>DD/MM/YYYY</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estadistica-aplicada</vt:lpwstr>
  </property>
  <property fmtid="{D5CDD505-2E9C-101B-9397-08002B2CF9AE}" pid="12" name="labels">
    <vt:lpwstr/>
  </property>
  <property fmtid="{D5CDD505-2E9C-101B-9397-08002B2CF9AE}" pid="13" name="subtitle">
    <vt:lpwstr>Maestría en Generación y Análisis de Información Estadística - UNTREF</vt:lpwstr>
  </property>
  <property fmtid="{D5CDD505-2E9C-101B-9397-08002B2CF9AE}" pid="14" name="toc-title">
    <vt:lpwstr>Tabla de contenidos</vt:lpwstr>
  </property>
</Properties>
</file>