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&lt;12&gt;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Autenticación doble factor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Proveedor/Administrador/sistema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Permitirá tener una verificación a los nuevos proveedores y administradores puedan entrar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10) registro de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nuevo usuario de validar su correo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usuario no debe tener una cuenta registrada previamente con el mismo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Proveedor/administrador accede a la aplicación.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desplegará en móvil la geolocalización y en web el catálogo de productos.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Proveedor/administrador selecciona el icono de perfil.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despliega la interfaz de ¿quieres vender tus productos?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usuario/administrador sigue los pasos y completa los campos correspondientes.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corrobora si los campos están completos y los datos son correctos.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guarda la información en la base de datos.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envía un correo de confirmación al usuario.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recibe el correo de confirmación y verifica su cuenta haciendo clic en el enlace proporcionado.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verifica la cuenta del usuario.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tiene una cuenta activa en la plataforma y puede acceder a ella usando su correo electrónico y contraseña.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no confirma el correo de verificación: la cuenta permanece inactiva hasta que se confirme el correo.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a 4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6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a 4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validación de la contraseña podría incluir un sistema de ayuda que indique al usuario cómo crear una contraseña segura.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Considerar la implementación de CAPTCHA para evitar registros automatizados.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EX/ysA5n3NjDw/e4qjnRP7SxYA==">CgMxLjA4AHIhMVF1Q0tSSTRTelZrR1BsNlNsX2pKSTQ4LU1QLTFXcWtM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