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2f5496"/>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2f5496"/>
          <w:sz w:val="20"/>
          <w:szCs w:val="20"/>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Arial" w:cs="Arial" w:eastAsia="Arial" w:hAnsi="Arial"/>
                <w:b w:val="1"/>
                <w:color w:val="1f3864"/>
                <w:sz w:val="20"/>
                <w:szCs w:val="20"/>
              </w:rPr>
            </w:pPr>
            <w:r w:rsidDel="00000000" w:rsidR="00000000" w:rsidRPr="00000000">
              <w:rPr>
                <w:rFonts w:ascii="Arial" w:cs="Arial" w:eastAsia="Arial" w:hAnsi="Arial"/>
                <w:b w:val="1"/>
                <w:color w:val="1f3864"/>
                <w:sz w:val="24"/>
                <w:szCs w:val="24"/>
                <w:rtl w:val="0"/>
              </w:rPr>
              <w:t xml:space="preserve">1. Informe final Proyecto APT</w:t>
            </w: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color w:val="1f3864"/>
                <w:sz w:val="20"/>
                <w:szCs w:val="20"/>
              </w:rPr>
            </w:pPr>
            <w:r w:rsidDel="00000000" w:rsidR="00000000" w:rsidRPr="00000000">
              <w:rPr>
                <w:rFonts w:ascii="Arial" w:cs="Arial" w:eastAsia="Arial" w:hAnsi="Arial"/>
                <w:color w:val="1f3864"/>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rFonts w:ascii="Arial" w:cs="Arial" w:eastAsia="Arial" w:hAnsi="Arial"/>
          <w:b w:val="1"/>
          <w:sz w:val="20"/>
          <w:szCs w:val="20"/>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del proyecto</w:t>
            </w:r>
          </w:p>
        </w:tc>
        <w:tc>
          <w:tcPr>
            <w:vAlign w:val="center"/>
          </w:tcPr>
          <w:p w:rsidR="00000000" w:rsidDel="00000000" w:rsidP="00000000" w:rsidRDefault="00000000" w:rsidRPr="00000000" w14:paraId="0000000F">
            <w:pPr>
              <w:spacing w:line="360" w:lineRule="auto"/>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GreenMarket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web y móvil</w:t>
            </w:r>
          </w:p>
          <w:p w:rsidR="00000000" w:rsidDel="00000000" w:rsidP="00000000" w:rsidRDefault="00000000" w:rsidRPr="00000000" w14:paraId="00000012">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bases de datos</w:t>
            </w:r>
          </w:p>
          <w:p w:rsidR="00000000" w:rsidDel="00000000" w:rsidP="00000000" w:rsidRDefault="00000000" w:rsidRPr="00000000" w14:paraId="00000013">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14">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Ciencia de Datos</w:t>
            </w:r>
          </w:p>
          <w:p w:rsidR="00000000" w:rsidDel="00000000" w:rsidP="00000000" w:rsidRDefault="00000000" w:rsidRPr="00000000" w14:paraId="00000015">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Inteligencia Artificial</w:t>
            </w:r>
          </w:p>
          <w:p w:rsidR="00000000" w:rsidDel="00000000" w:rsidP="00000000" w:rsidRDefault="00000000" w:rsidRPr="00000000" w14:paraId="00000016">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Inteligencia de negocio</w:t>
            </w:r>
          </w:p>
        </w:tc>
      </w:tr>
      <w:tr>
        <w:trPr>
          <w:cantSplit w:val="0"/>
          <w:trHeight w:val="425" w:hRule="atLeast"/>
          <w:tblHeader w:val="0"/>
        </w:trPr>
        <w:tc>
          <w:tcPr>
            <w:vAlign w:val="center"/>
          </w:tcPr>
          <w:p w:rsidR="00000000" w:rsidDel="00000000" w:rsidP="00000000" w:rsidRDefault="00000000" w:rsidRPr="00000000" w14:paraId="00000017">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18">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B">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1C">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D">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1E">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1F">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20">
      <w:pPr>
        <w:rPr>
          <w:rFonts w:ascii="Arial" w:cs="Arial" w:eastAsia="Arial" w:hAnsi="Arial"/>
          <w:b w:val="1"/>
          <w:sz w:val="20"/>
          <w:szCs w:val="20"/>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color w:val="1f3864"/>
                <w:sz w:val="24"/>
                <w:szCs w:val="24"/>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Arial" w:cs="Arial" w:eastAsia="Arial" w:hAnsi="Arial"/>
                <w:color w:val="1f3864"/>
              </w:rPr>
            </w:pPr>
            <w:r w:rsidDel="00000000" w:rsidR="00000000" w:rsidRPr="00000000">
              <w:rPr>
                <w:rFonts w:ascii="Arial" w:cs="Arial" w:eastAsia="Arial" w:hAnsi="Arial"/>
                <w:color w:val="1f3864"/>
                <w:rtl w:val="0"/>
              </w:rPr>
              <w:t xml:space="preserve">1. Relevancia del proyecto APT</w:t>
            </w:r>
          </w:p>
        </w:tc>
        <w:tc>
          <w:tcPr>
            <w:vAlign w:val="center"/>
          </w:tcPr>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Situación o problemática: La problemática que nosotros como equipo vimos, respecto a las dificultades que padecen el grupo de jardineros es la escasez de opciones para la venta y compra de productos de jardinería, lo que genera dificultades para los proveedores y a sus propios clientes. Por otro lado, los vendedores de la zona carecen de conocimiento o capital para manejar una plataforma en línea.</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Relevancia con el campo laboral: Este proyecto es relevante para el campo de la informática y en el desarrollo de software porque implica la creación de una plataforma de comercio electrónico, en donde esta es una de las áreas de mayor crecimiento en el mundo tecnológico.</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Contexto: Como Bugifost nosotros queremos ayudar a un grupo de jardineros los cuales padecen diversas dificultades, estos jardineros son un conjunto de varios vendedores de la zona los cuales venden productos diversos, pero se enfrentan a la falta de clientes, lo que les impide vender sus productos de una manera óptima, por otro la falta de incentivos para que lleguen nuevos clientes perjudica aún más sus ventas.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i w:val="1"/>
                <w:color w:val="0070c0"/>
              </w:rPr>
            </w:pPr>
            <w:r w:rsidDel="00000000" w:rsidR="00000000" w:rsidRPr="00000000">
              <w:rPr>
                <w:rFonts w:ascii="Arial" w:cs="Arial" w:eastAsia="Arial" w:hAnsi="Arial"/>
                <w:i w:val="1"/>
                <w:sz w:val="20"/>
                <w:szCs w:val="20"/>
                <w:rtl w:val="0"/>
              </w:rPr>
              <w:t xml:space="preserve">Impacto: El proyecto beneficiaría a los usuarios de servicios de jardinería que buscan una mayor variedad de productos y facilidad de acceso. También proporciona una plataforma para pequeños negocios y productores locales de productos de jardinería, ayudándoles a llegar a un mercado más amplio.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2. Objetivos </w:t>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general:</w:t>
              <w:br w:type="textWrapping"/>
              <w:t xml:space="preserve">El objetivo general del proyecto GreenMarket es dar un espacio a los clientes en donde comprar diversos productos y a su mismo modo ir aprendiendo sobre este mismo tema de la jardinería.</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Objetivos específicos: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 que se busca es darle la oportunidad al cliente de disponer de un espacio donde él pueda encontrar diversos productos de una forma sencilla y además aprender sobre la jardinería.</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Buscar una forma de incentivar a los clientes a aprender y se interesen por el tema de la jardinería.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Dar un espacio a los clientes para descubrir nuevos proveedores de la zona y poder comprar sus productos.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e implementar "GreenMarket," una plataforma digital que conecte a entusiastas de la jardinería con productos especializados, y permita a pequeños negocios y productores locales vender en línea sin necesidad de una web propia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3. Metodología</w:t>
            </w:r>
          </w:p>
        </w:tc>
        <w:tc>
          <w:tcPr>
            <w:vAlign w:val="center"/>
          </w:tcPr>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alcanzar los objetivos del proyecto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GreenMarket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implementará la metodología tradicional en espiral. Esta metodología permite abordar el desarrollo del proyecto de manera estructurada, a través de ciclos iterativos que incluyen fases de planificación, análisis de riesgos, diseño, implementación y evaluación. Al utilizar la metodología espiral, se podrán identificar y gestionar de manera efectiva los riesgos a medida que avanza el proyecto, permitiendo realizar refinamientos progresivos y asegurar que el producto final cumpla con los requerimientos del usuario y los estándares de calidad establecidos. Esta aproximación estructurada y sistemática facilita una revisión continua del progreso y la adaptación a cambios necesarios, lo cual es crucial para el éxito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4. Desarrollo</w:t>
            </w:r>
          </w:p>
        </w:tc>
        <w:tc>
          <w:tcPr>
            <w:vAlign w:val="center"/>
          </w:tcPr>
          <w:p w:rsidR="00000000" w:rsidDel="00000000" w:rsidP="00000000" w:rsidRDefault="00000000" w:rsidRPr="00000000" w14:paraId="00000032">
            <w:pPr>
              <w:spacing w:after="240" w:before="240" w:lineRule="auto"/>
              <w:rPr>
                <w:rFonts w:ascii="Arial" w:cs="Arial" w:eastAsia="Arial" w:hAnsi="Arial"/>
              </w:rPr>
            </w:pPr>
            <w:r w:rsidDel="00000000" w:rsidR="00000000" w:rsidRPr="00000000">
              <w:rPr>
                <w:rFonts w:ascii="Arial" w:cs="Arial" w:eastAsia="Arial" w:hAnsi="Arial"/>
                <w:rtl w:val="0"/>
              </w:rPr>
              <w:t xml:space="preserve">Durante el desarrollo de nuestro Proyecto APT, trabajamos en varias etapas clave: planificación, diseño, desarrollo, pruebas y ajustes finales. Nos enfocamos en organizar tareas, definir roles y asegurar la calidad del producto final, especialmente en la integración del chatbot de inteligencia artificial.</w:t>
            </w:r>
          </w:p>
          <w:p w:rsidR="00000000" w:rsidDel="00000000" w:rsidP="00000000" w:rsidRDefault="00000000" w:rsidRPr="00000000" w14:paraId="00000033">
            <w:pPr>
              <w:spacing w:after="240" w:before="240" w:lineRule="auto"/>
              <w:rPr>
                <w:rFonts w:ascii="Arial" w:cs="Arial" w:eastAsia="Arial" w:hAnsi="Arial"/>
              </w:rPr>
            </w:pPr>
            <w:r w:rsidDel="00000000" w:rsidR="00000000" w:rsidRPr="00000000">
              <w:rPr>
                <w:rFonts w:ascii="Arial" w:cs="Arial" w:eastAsia="Arial" w:hAnsi="Arial"/>
                <w:rtl w:val="0"/>
              </w:rPr>
              <w:t xml:space="preserve">Si bien el trabajo en equipo, la comunicación y el uso de herramientas como Rasa facilitaron el proceso, la mayor dificultad fue la integración de la IA, que tomó más tiempo del previsto. Para solucionarlo, realizamos ajustes en el cronograma, priorizando tareas críticas y eliminando actividades secundarias para cumplir con los objetivos.</w:t>
            </w:r>
          </w:p>
          <w:p w:rsidR="00000000" w:rsidDel="00000000" w:rsidP="00000000" w:rsidRDefault="00000000" w:rsidRPr="00000000" w14:paraId="00000034">
            <w:pPr>
              <w:spacing w:after="240" w:before="240" w:lineRule="auto"/>
              <w:rPr>
                <w:rFonts w:ascii="Arial" w:cs="Arial" w:eastAsia="Arial" w:hAnsi="Arial"/>
                <w:color w:val="0070c0"/>
              </w:rPr>
            </w:pPr>
            <w:r w:rsidDel="00000000" w:rsidR="00000000" w:rsidRPr="00000000">
              <w:rPr>
                <w:rFonts w:ascii="Arial" w:cs="Arial" w:eastAsia="Arial" w:hAnsi="Arial"/>
                <w:rtl w:val="0"/>
              </w:rPr>
              <w:t xml:space="preserve">Este proyecto nos permitió fortalecer nuestras habilidades en desarrollo web e implementación de IA, reafirmando nuestros intereses profesionales y preparándonos para desafíos futuros con mayor experiencia y confianza.</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5">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5. Evidencias</w:t>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En este caso la forma que tenemos de ir resguardando la calidad del proyecto, es constantemente revisar la documentación que hicimos previamente para asegurarnos de que esta se está respetando y además de corregirla, en caso de que algo se haya cambiado, además se hace reuniones, los días martes a las 17:00, debido a que esa hora el equipo está totalmente disponible, lo que nos ayuda a ver qué es lo que llevamos, lo que falta y lo que se tiene que modificar, con estas acciones vamos revisando la calidad del proyecto, documentos que se revisan y tiene las bases en las cuales nos resguardamos para ir creando el, proyecto están en esta carpeta:</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Cosas hechas – Google Drive. (s. f.). </w:t>
            </w:r>
            <w:hyperlink r:id="rId8">
              <w:r w:rsidDel="00000000" w:rsidR="00000000" w:rsidRPr="00000000">
                <w:rPr>
                  <w:rFonts w:ascii="Arial" w:cs="Arial" w:eastAsia="Arial" w:hAnsi="Arial"/>
                  <w:i w:val="1"/>
                  <w:color w:val="0563c1"/>
                  <w:u w:val="single"/>
                  <w:rtl w:val="0"/>
                </w:rPr>
                <w:t xml:space="preserve">https://drive.google.com/drive/u/0/folders/1L3O2o4izn1C7lGxiiXIoayzu6gXbueZ</w:t>
              </w:r>
            </w:hyperlink>
            <w:r w:rsidDel="00000000" w:rsidR="00000000" w:rsidRPr="00000000">
              <w:rPr>
                <w:rFonts w:ascii="Arial" w:cs="Arial" w:eastAsia="Arial" w:hAnsi="Arial"/>
                <w:b w:val="1"/>
                <w:i w:val="1"/>
                <w:color w:val="0070c0"/>
                <w:rtl w:val="0"/>
              </w:rPr>
              <w:t xml:space="preserve">V</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i w:val="1"/>
                <w:color w:val="0070c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6. Intereses y proyecciones profesionales</w:t>
            </w:r>
          </w:p>
        </w:tc>
        <w:tc>
          <w:tcPr>
            <w:vAlign w:val="center"/>
          </w:tcPr>
          <w:p w:rsidR="00000000" w:rsidDel="00000000" w:rsidP="00000000" w:rsidRDefault="00000000" w:rsidRPr="00000000" w14:paraId="0000003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APT nos permitió a todos los integrantes del equipo tener una visión más clara de nuestros intereses profesionales. Al colaborar en tareas concretas y abordar diferentes desafíos, pudimos identificar las áreas que más nos motivan. En general, confirmamos que nuestros intereses iniciales siguen siendo los mismos: el desarrollo web y la integración de nuevas tecnologías.</w:t>
            </w:r>
          </w:p>
          <w:p w:rsidR="00000000" w:rsidDel="00000000" w:rsidP="00000000" w:rsidRDefault="00000000" w:rsidRPr="00000000" w14:paraId="0000003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proyecto también nos ayudó a comprender mejor cómo podemos combinar nuestras habilidades individuales para lograr un objetivo común. Por ejemplo, trabajamos en la creación de una inteligencia artificial utilizando </w:t>
            </w:r>
            <w:r w:rsidDel="00000000" w:rsidR="00000000" w:rsidRPr="00000000">
              <w:rPr>
                <w:rFonts w:ascii="Arial" w:cs="Arial" w:eastAsia="Arial" w:hAnsi="Arial"/>
                <w:b w:val="1"/>
                <w:rtl w:val="0"/>
              </w:rPr>
              <w:t xml:space="preserve">Rasa</w:t>
            </w:r>
            <w:r w:rsidDel="00000000" w:rsidR="00000000" w:rsidRPr="00000000">
              <w:rPr>
                <w:rFonts w:ascii="Arial" w:cs="Arial" w:eastAsia="Arial" w:hAnsi="Arial"/>
                <w:rtl w:val="0"/>
              </w:rPr>
              <w:t xml:space="preserve">, lo cual despertó aún más nuestro interés por explorar y profundizar en el mundo de la IA y su implementación en aplicaciones prácticas.</w:t>
            </w:r>
          </w:p>
          <w:p w:rsidR="00000000" w:rsidDel="00000000" w:rsidP="00000000" w:rsidRDefault="00000000" w:rsidRPr="00000000" w14:paraId="0000003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Como equipo, coincidimos en que nos gustaría seguir profundizando en el </w:t>
            </w:r>
            <w:r w:rsidDel="00000000" w:rsidR="00000000" w:rsidRPr="00000000">
              <w:rPr>
                <w:rFonts w:ascii="Arial" w:cs="Arial" w:eastAsia="Arial" w:hAnsi="Arial"/>
                <w:b w:val="1"/>
                <w:rtl w:val="0"/>
              </w:rPr>
              <w:t xml:space="preserve">desarrollo web</w:t>
            </w:r>
            <w:r w:rsidDel="00000000" w:rsidR="00000000" w:rsidRPr="00000000">
              <w:rPr>
                <w:rFonts w:ascii="Arial" w:cs="Arial" w:eastAsia="Arial" w:hAnsi="Arial"/>
                <w:rtl w:val="0"/>
              </w:rPr>
              <w:t xml:space="preserve">, enfocándonos principalmente en la parte </w:t>
            </w:r>
            <w:r w:rsidDel="00000000" w:rsidR="00000000" w:rsidRPr="00000000">
              <w:rPr>
                <w:rFonts w:ascii="Arial" w:cs="Arial" w:eastAsia="Arial" w:hAnsi="Arial"/>
                <w:b w:val="1"/>
                <w:rtl w:val="0"/>
              </w:rPr>
              <w:t xml:space="preserve">frontend</w:t>
            </w:r>
            <w:r w:rsidDel="00000000" w:rsidR="00000000" w:rsidRPr="00000000">
              <w:rPr>
                <w:rFonts w:ascii="Arial" w:cs="Arial" w:eastAsia="Arial" w:hAnsi="Arial"/>
                <w:rtl w:val="0"/>
              </w:rPr>
              <w:t xml:space="preserve">, ya que es una área que nos apasiona por su impacto visual y funcional en los usuarios. Además, la implementación de inteligencia artificial fue una experiencia enriquecedora que nos motiva a explorar aún más este campo.</w:t>
            </w:r>
          </w:p>
          <w:p w:rsidR="00000000" w:rsidDel="00000000" w:rsidP="00000000" w:rsidRDefault="00000000" w:rsidRPr="00000000" w14:paraId="0000003D">
            <w:pPr>
              <w:spacing w:after="240" w:before="240" w:lineRule="auto"/>
              <w:jc w:val="both"/>
              <w:rPr>
                <w:rFonts w:ascii="Arial" w:cs="Arial" w:eastAsia="Arial" w:hAnsi="Arial"/>
                <w:color w:val="0070c0"/>
              </w:rPr>
            </w:pPr>
            <w:r w:rsidDel="00000000" w:rsidR="00000000" w:rsidRPr="00000000">
              <w:rPr>
                <w:rFonts w:ascii="Arial" w:cs="Arial" w:eastAsia="Arial" w:hAnsi="Arial"/>
                <w:rtl w:val="0"/>
              </w:rPr>
              <w:t xml:space="preserve">Nos proyectamos laboralmente aplicando los conocimientos adquiridos en este proyecto para seguir desarrollando soluciones innovadoras. Creemos que las habilidades que potenciamos, como el trabajo en equipo, el desarrollo tecnológico y la implementación de herramientas modernas como </w:t>
            </w:r>
            <w:r w:rsidDel="00000000" w:rsidR="00000000" w:rsidRPr="00000000">
              <w:rPr>
                <w:rFonts w:ascii="Arial" w:cs="Arial" w:eastAsia="Arial" w:hAnsi="Arial"/>
                <w:b w:val="1"/>
                <w:rtl w:val="0"/>
              </w:rPr>
              <w:t xml:space="preserve">Rasa</w:t>
            </w:r>
            <w:r w:rsidDel="00000000" w:rsidR="00000000" w:rsidRPr="00000000">
              <w:rPr>
                <w:rFonts w:ascii="Arial" w:cs="Arial" w:eastAsia="Arial" w:hAnsi="Arial"/>
                <w:rtl w:val="0"/>
              </w:rPr>
              <w:t xml:space="preserve">, nos permitirán afrontar desafíos profesionales más complejos en el futuro.</w:t>
            </w:r>
            <w:r w:rsidDel="00000000" w:rsidR="00000000" w:rsidRPr="00000000">
              <w:rPr>
                <w:rtl w:val="0"/>
              </w:rPr>
            </w:r>
          </w:p>
        </w:tc>
      </w:tr>
    </w:tbl>
    <w:p w:rsidR="00000000" w:rsidDel="00000000" w:rsidP="00000000" w:rsidRDefault="00000000" w:rsidRPr="00000000" w14:paraId="0000003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spacing w:after="0" w:line="276" w:lineRule="auto"/>
        <w:ind w:left="-426" w:right="-568" w:firstLine="0"/>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0">
      <w:pPr>
        <w:spacing w:after="0" w:line="276" w:lineRule="auto"/>
        <w:ind w:left="-426" w:right="-568" w:firstLine="0"/>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2C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unhideWhenUsed w:val="1"/>
    <w:rsid w:val="00C12841"/>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C12841"/>
    <w:rPr>
      <w:color w:val="0563c1" w:themeColor="hyperlink"/>
      <w:u w:val="single"/>
    </w:rPr>
  </w:style>
  <w:style w:type="character" w:styleId="Mencinsinresolver">
    <w:name w:val="Unresolved Mention"/>
    <w:basedOn w:val="Fuentedeprrafopredeter"/>
    <w:uiPriority w:val="99"/>
    <w:semiHidden w:val="1"/>
    <w:unhideWhenUsed w:val="1"/>
    <w:rsid w:val="00C12841"/>
    <w:rPr>
      <w:color w:val="605e5c"/>
      <w:shd w:color="auto" w:fill="e1dfdd" w:val="clear"/>
    </w:rPr>
  </w:style>
  <w:style w:type="character" w:styleId="Hipervnculovisitado">
    <w:name w:val="FollowedHyperlink"/>
    <w:basedOn w:val="Fuentedeprrafopredeter"/>
    <w:uiPriority w:val="99"/>
    <w:semiHidden w:val="1"/>
    <w:unhideWhenUsed w:val="1"/>
    <w:rsid w:val="00C1284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u/0/folders/1L3O2o4izn1C7lGxiiXIoayzu6gXbue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iQimskjSFDhYPQjU2nGgRauBw==">CgMxLjA4AGovChRzdWdnZXN0LjdpczZxdzh4ZGE4bxIXSlVBTiBQQUJMTyBIRVJSRVJBIERJQVpqLwoUc3VnZ2VzdC56ZGFxY2Nlc21sbmISF0pVQU4gUEFCTE8gSEVSUkVSQSBESUFaciExTjV5WGM4Y00zUnFRWndaRU1IajVZSEJmWWxiWC1qQXg=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