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175"/>
        <w:gridCol w:w="2280"/>
        <w:gridCol w:w="1935"/>
        <w:gridCol w:w="1455"/>
        <w:tblGridChange w:id="0">
          <w:tblGrid>
            <w:gridCol w:w="2910"/>
            <w:gridCol w:w="2250"/>
            <w:gridCol w:w="2175"/>
            <w:gridCol w:w="2280"/>
            <w:gridCol w:w="193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shd w:fill="d9ead3" w:val="clea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shd w:fill="d9ead3"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666.7187500000002"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shd w:fill="d9ead3" w:val="clea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shd w:fill="d9ead3" w:val="clea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shd w:fill="d9ead3" w:val="clea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shd w:fill="d9ead3"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WaddXDR7f1CImNPX9lgo8XtWQ==">CgMxLjA4AHIhMVN5d05xTi1McTVMamxqQk10MlZwZVZRRk1IaEVsTFJJ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