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288" w:lineRule="auto"/>
        <w:jc w:val="center"/>
        <w:rPr>
          <w:rFonts w:ascii="Oswald" w:cs="Oswald" w:eastAsia="Oswald" w:hAnsi="Oswald"/>
          <w:color w:val="062740"/>
          <w:sz w:val="38"/>
          <w:szCs w:val="38"/>
        </w:rPr>
      </w:pPr>
      <w:bookmarkStart w:colFirst="0" w:colLast="0" w:name="_heading=h.lv5sqwm5xlaj" w:id="0"/>
      <w:bookmarkEnd w:id="0"/>
      <w:r w:rsidDel="00000000" w:rsidR="00000000" w:rsidRPr="00000000">
        <w:rPr>
          <w:rFonts w:ascii="Oswald" w:cs="Oswald" w:eastAsia="Oswald" w:hAnsi="Oswald"/>
          <w:color w:val="062740"/>
          <w:sz w:val="38"/>
          <w:szCs w:val="38"/>
          <w:rtl w:val="0"/>
        </w:rPr>
        <w:t xml:space="preserve">Actividad 5. </w:t>
      </w:r>
      <w:r w:rsidDel="00000000" w:rsidR="00000000" w:rsidRPr="00000000">
        <w:rPr>
          <w:rFonts w:ascii="Oswald" w:cs="Oswald" w:eastAsia="Oswald" w:hAnsi="Oswald"/>
          <w:color w:val="062740"/>
          <w:sz w:val="38"/>
          <w:szCs w:val="38"/>
          <w:rtl w:val="0"/>
        </w:rPr>
        <w:t xml:space="preserve">Preparación de datos, entrenamiento y comparación de modelos de inteligencia artificial</w:t>
      </w:r>
      <w:r w:rsidDel="00000000" w:rsidR="00000000" w:rsidRPr="00000000">
        <w:rPr>
          <w:rtl w:val="0"/>
        </w:rPr>
      </w:r>
    </w:p>
    <w:p w:rsidR="00000000" w:rsidDel="00000000" w:rsidP="00000000" w:rsidRDefault="00000000" w:rsidRPr="00000000" w14:paraId="00000002">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1. Objetivo y alcance</w:t>
      </w:r>
    </w:p>
    <w:p w:rsidR="00000000" w:rsidDel="00000000" w:rsidP="00000000" w:rsidRDefault="00000000" w:rsidRPr="00000000" w14:paraId="00000004">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compararon regresión logística y Random Forest para clasificar registros del conjunto público Breast Cancer Wisconsin (Diagnostic). El objetivo fue documentar un flujo reproducible: obtención y revisión de datos, entrenamiento, optimización de hiperparámetros, evaluación y seguimiento de experimentos en MLflow. El ejercicio es académico; no constituye una herramienta de diagnóstico clínico.</w:t>
      </w:r>
    </w:p>
    <w:p w:rsidR="00000000" w:rsidDel="00000000" w:rsidP="00000000" w:rsidRDefault="00000000" w:rsidRPr="00000000" w14:paraId="00000006">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7">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2. Fuente y diccionario de datos</w:t>
      </w:r>
    </w:p>
    <w:p w:rsidR="00000000" w:rsidDel="00000000" w:rsidP="00000000" w:rsidRDefault="00000000" w:rsidRPr="00000000" w14:paraId="00000008">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Fuente: Breast Cancer Wisconsin (Diagnostic), distribuido mediante sklearn.datasets.load_breast_cancer, basado en el repositorio UCI Machine Learning Repository. Contiene 569 registros, 30 variables predictoras numéricas y una etiqueta de clasificación. Se trabajó con 357 registros de clase 1 (benigno) y 212 de clase 0 (maligno).</w:t>
      </w:r>
    </w:p>
    <w:p w:rsidR="00000000" w:rsidDel="00000000" w:rsidP="00000000" w:rsidRDefault="00000000" w:rsidRPr="00000000" w14:paraId="0000000A">
      <w:pPr>
        <w:spacing w:after="0" w:before="0" w:lineRule="auto"/>
        <w:jc w:val="both"/>
        <w:rPr>
          <w:rFonts w:ascii="Arial" w:cs="Arial" w:eastAsia="Arial" w:hAnsi="Arial"/>
          <w:sz w:val="24"/>
          <w:szCs w:val="24"/>
        </w:rPr>
      </w:pPr>
      <w:r w:rsidDel="00000000" w:rsidR="00000000" w:rsidRPr="00000000">
        <w:rPr>
          <w:rtl w:val="0"/>
        </w:rPr>
      </w:r>
    </w:p>
    <w:tbl>
      <w:tblPr>
        <w:tblStyle w:val="Table1"/>
        <w:tblW w:w="97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A0"/>
      </w:tblPr>
      <w:tblGrid>
        <w:gridCol w:w="4446"/>
        <w:gridCol w:w="5334.000000000001"/>
        <w:tblGridChange w:id="0">
          <w:tblGrid>
            <w:gridCol w:w="4446"/>
            <w:gridCol w:w="5334.000000000001"/>
          </w:tblGrid>
        </w:tblGridChange>
      </w:tblGrid>
      <w:tr>
        <w:trPr>
          <w:cantSplit w:val="0"/>
          <w:tblHeader w:val="0"/>
        </w:trPr>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B">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Campo / grupo</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C">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Descripción</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D">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target</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E">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Etiqueta: 0 = maligno; 1 = benigno</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F">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mean radius, mean texture, mean perimeter, mean area, mean smoothness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0">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Medidas promedio de características del núcleo celular</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1">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*_error</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2">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Error estándar de cada característica</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3">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worst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4">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Valores más altos o desfavorables de las características medidas</w:t>
            </w:r>
          </w:p>
        </w:tc>
      </w:tr>
    </w:tbl>
    <w:p w:rsidR="00000000" w:rsidDel="00000000" w:rsidP="00000000" w:rsidRDefault="00000000" w:rsidRPr="00000000" w14:paraId="00000015">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Los 30 predictores corresponden a diez características morfológicas, cada una expresada en medidas mean, error y worst. No se incluyeron variables categóricas predictoras, por lo que no fue necesaria codificación one-hot.</w:t>
      </w:r>
    </w:p>
    <w:p w:rsidR="00000000" w:rsidDel="00000000" w:rsidP="00000000" w:rsidRDefault="00000000" w:rsidRPr="00000000" w14:paraId="00000017">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8">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3. Preparación, calidad y versionamiento</w:t>
      </w:r>
    </w:p>
    <w:p w:rsidR="00000000" w:rsidDel="00000000" w:rsidP="00000000" w:rsidRDefault="00000000" w:rsidRPr="00000000" w14:paraId="00000019">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conjunto original se conservó como datos/datos_ini.csv y el conjunto revisado como datos/datos_limp.csv. Se comprobaron valores faltantes, duplicados exactos y tipos de datos; se preservaron las 569 filas porque no se detectaron nulos ni duplicados que justificaran eliminación. La estandarización se aplicó únicamente dentro del pipeline de regresión logística, para evitar que el modelo utilice información de los datos de prueba durante el entrenamiento. Random Forest utilizó los predictores numéricos sin escalado obligatorio.</w:t>
      </w:r>
    </w:p>
    <w:p w:rsidR="00000000" w:rsidDel="00000000" w:rsidP="00000000" w:rsidRDefault="00000000" w:rsidRPr="00000000" w14:paraId="0000001B">
      <w:pPr>
        <w:spacing w:after="0" w:before="0" w:lineRule="auto"/>
        <w:jc w:val="both"/>
        <w:rPr>
          <w:rFonts w:ascii="Arial" w:cs="Arial" w:eastAsia="Arial" w:hAnsi="Arial"/>
          <w:sz w:val="24"/>
          <w:szCs w:val="24"/>
        </w:rPr>
      </w:pPr>
      <w:r w:rsidDel="00000000" w:rsidR="00000000" w:rsidRPr="00000000">
        <w:rPr>
          <w:rtl w:val="0"/>
        </w:rPr>
      </w:r>
    </w:p>
    <w:tbl>
      <w:tblPr>
        <w:tblStyle w:val="Table2"/>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A0"/>
      </w:tblPr>
      <w:tblGrid>
        <w:gridCol w:w="3264"/>
        <w:gridCol w:w="3264"/>
        <w:gridCol w:w="3264"/>
        <w:tblGridChange w:id="0">
          <w:tblGrid>
            <w:gridCol w:w="3264"/>
            <w:gridCol w:w="3264"/>
            <w:gridCol w:w="3264"/>
          </w:tblGrid>
        </w:tblGridChange>
      </w:tblGrid>
      <w:tr>
        <w:trPr>
          <w:cantSplit w:val="0"/>
          <w:tblHeader w:val="0"/>
        </w:trPr>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C">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Indicador de calidad</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D">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Antes</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E">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Después</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F">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Registros</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0">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569</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1">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569</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2">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Variables predictoras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3">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30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4">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30</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5">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Valores faltantes</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6">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7">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8">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Duplicados exactos</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9">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A">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w:t>
            </w:r>
          </w:p>
        </w:tc>
      </w:tr>
    </w:tbl>
    <w:p w:rsidR="00000000" w:rsidDel="00000000" w:rsidP="00000000" w:rsidRDefault="00000000" w:rsidRPr="00000000" w14:paraId="0000002B">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Versionamiento: README.md documenta la reproducción y CHANGELOG.md describe las etapas de preparación. Los archivos se organizan para su publicación mediante commits de Git/GitHub; la publicación remota no se verifica con estas evidencias.</w:t>
      </w:r>
    </w:p>
    <w:p w:rsidR="00000000" w:rsidDel="00000000" w:rsidP="00000000" w:rsidRDefault="00000000" w:rsidRPr="00000000" w14:paraId="0000002D">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2E">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4. Exploración visual</w:t>
      </w:r>
    </w:p>
    <w:p w:rsidR="00000000" w:rsidDel="00000000" w:rsidP="00000000" w:rsidRDefault="00000000" w:rsidRPr="00000000" w14:paraId="0000002F">
      <w:pPr>
        <w:spacing w:after="0" w:before="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114300" distR="114300">
            <wp:extent cx="5303520" cy="3030583"/>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303520" cy="3030583"/>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Figura 1. Distribución de radio medio.</w:t>
      </w:r>
    </w:p>
    <w:p w:rsidR="00000000" w:rsidDel="00000000" w:rsidP="00000000" w:rsidRDefault="00000000" w:rsidRPr="00000000" w14:paraId="00000031">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distribución permite observar concentración de valores y algunos valores más altos que la mayoría de los registros. No se eliminaron observaciones por ser extremas sin comprobar su validez. Para un problema sensible a escalas, esta exploración apoya el uso de estandarización dentro del pipeline.</w:t>
      </w:r>
    </w:p>
    <w:p w:rsidR="00000000" w:rsidDel="00000000" w:rsidP="00000000" w:rsidRDefault="00000000" w:rsidRPr="00000000" w14:paraId="00000033">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34">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5. Modelos y ajuste de hiperparámetros</w:t>
      </w:r>
    </w:p>
    <w:p w:rsidR="00000000" w:rsidDel="00000000" w:rsidP="00000000" w:rsidRDefault="00000000" w:rsidRPr="00000000" w14:paraId="00000035">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6">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entrenaron dos algoritmos: regresión logística (modelo lineal interpretable, con regularización) y Random Forest (modelo que combina varios árboles de decisión para realizar predicciones). La partición entrenamiento/prueba fue 80/20 con semilla fija 42. GridSearchCV evaluó combinaciones de hiperparámetros mediante validación cruzada de cinco folds, utilizando F1 como criterio de selección.</w:t>
      </w:r>
    </w:p>
    <w:p w:rsidR="00000000" w:rsidDel="00000000" w:rsidP="00000000" w:rsidRDefault="00000000" w:rsidRPr="00000000" w14:paraId="00000037">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seleccionar la mejor configuración de cada algoritmo utilicé F1-score como métrica principal de Grid Search, ya que combina precision y recall en un solo indicador. Esto permitió evaluar el equilibrio entre ambas métricas, en lugar de considerar únicamente el porcentaje general de predicciones correctas. También revisé accuracy y ROC-AUC para tener una visión más completa del desempeño. Es importante señalar que, en esta práctica, la clase positiva corresponde a los registros benignos, por lo que una evaluación orientada a detectar casos malignos requeriría analizar específicamente los errores de esa clase.</w:t>
      </w:r>
    </w:p>
    <w:p w:rsidR="00000000" w:rsidDel="00000000" w:rsidP="00000000" w:rsidRDefault="00000000" w:rsidRPr="00000000" w14:paraId="00000038">
      <w:pPr>
        <w:spacing w:after="0" w:before="0" w:lineRule="auto"/>
        <w:jc w:val="both"/>
        <w:rPr>
          <w:rFonts w:ascii="Arial" w:cs="Arial" w:eastAsia="Arial" w:hAnsi="Arial"/>
          <w:sz w:val="24"/>
          <w:szCs w:val="24"/>
        </w:rPr>
      </w:pPr>
      <w:r w:rsidDel="00000000" w:rsidR="00000000" w:rsidRPr="00000000">
        <w:rPr>
          <w:rtl w:val="0"/>
        </w:rPr>
      </w:r>
    </w:p>
    <w:tbl>
      <w:tblPr>
        <w:tblStyle w:val="Table3"/>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A0"/>
      </w:tblPr>
      <w:tblGrid>
        <w:gridCol w:w="2472"/>
        <w:gridCol w:w="4068.000000000001"/>
        <w:gridCol w:w="3270"/>
        <w:tblGridChange w:id="0">
          <w:tblGrid>
            <w:gridCol w:w="2472"/>
            <w:gridCol w:w="4068.000000000001"/>
            <w:gridCol w:w="3270"/>
          </w:tblGrid>
        </w:tblGridChange>
      </w:tblGrid>
      <w:tr>
        <w:trPr>
          <w:cantSplit w:val="0"/>
          <w:tblHeader w:val="0"/>
        </w:trPr>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9">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Modelo</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A">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Configuración óptima registrada</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B">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Motivo de búsqueda</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C">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Regresión logística</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D">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 = 0.1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E">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Controlar la intensidad de regularización</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F">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Random Forest</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0">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n_estimators = 200; max_depth = None</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1">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Equilibrar capacidad del ensamble y complejidad</w:t>
            </w:r>
          </w:p>
        </w:tc>
      </w:tr>
    </w:tbl>
    <w:p w:rsidR="00000000" w:rsidDel="00000000" w:rsidP="00000000" w:rsidRDefault="00000000" w:rsidRPr="00000000" w14:paraId="00000042">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clase positiva configurada fue benigno (1). Por ello, el recall reportado mide la recuperación de registros benignos y no debe describirse como sensibilidad para detectar casos malignos.</w:t>
      </w:r>
    </w:p>
    <w:p w:rsidR="00000000" w:rsidDel="00000000" w:rsidP="00000000" w:rsidRDefault="00000000" w:rsidRPr="00000000" w14:paraId="00000044">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45">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6. Métricas obtenidas en la ejecución</w:t>
      </w:r>
    </w:p>
    <w:p w:rsidR="00000000" w:rsidDel="00000000" w:rsidP="00000000" w:rsidRDefault="00000000" w:rsidRPr="00000000" w14:paraId="00000046">
      <w:pPr>
        <w:spacing w:after="0" w:lineRule="auto"/>
        <w:rPr/>
      </w:pPr>
      <w:r w:rsidDel="00000000" w:rsidR="00000000" w:rsidRPr="00000000">
        <w:rPr>
          <w:rtl w:val="0"/>
        </w:rPr>
      </w:r>
    </w:p>
    <w:tbl>
      <w:tblPr>
        <w:tblStyle w:val="Table4"/>
        <w:tblW w:w="9792.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A0"/>
      </w:tblPr>
      <w:tblGrid>
        <w:gridCol w:w="3264"/>
        <w:gridCol w:w="3264"/>
        <w:gridCol w:w="3264"/>
        <w:tblGridChange w:id="0">
          <w:tblGrid>
            <w:gridCol w:w="3264"/>
            <w:gridCol w:w="3264"/>
            <w:gridCol w:w="3264"/>
          </w:tblGrid>
        </w:tblGridChange>
      </w:tblGrid>
      <w:tr>
        <w:trPr>
          <w:cantSplit w:val="0"/>
          <w:tblHeader w:val="0"/>
        </w:trPr>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7">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Métrica</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8">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Regresión logística</w:t>
            </w:r>
          </w:p>
        </w:tc>
        <w:tc>
          <w:tcPr>
            <w:shd w:fill="d9ead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9">
            <w:pPr>
              <w:spacing w:after="0" w:before="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Random Forest</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A">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accuracy</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B">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97.37 %</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C">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95.61 %</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D">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precision</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E">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97.26 %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F">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95.89 %</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recall</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98.61 %</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97.22 %</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f1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97.93 %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96.55 %</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6">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roc_auc</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7">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99.57 %</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8">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99.31 %</w:t>
            </w:r>
          </w:p>
        </w:tc>
      </w:tr>
      <w:tr>
        <w:trPr>
          <w:cantSplit w:val="0"/>
          <w:tblHeader w:val="0"/>
        </w:trPr>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9">
            <w:pPr>
              <w:spacing w:after="0" w:before="0" w:lineRule="auto"/>
              <w:jc w:val="both"/>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F1 CV medio</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A">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0.9861</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B">
            <w:pPr>
              <w:spacing w:after="0" w:before="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0.9700</w:t>
            </w:r>
          </w:p>
        </w:tc>
      </w:tr>
    </w:tbl>
    <w:p w:rsidR="00000000" w:rsidDel="00000000" w:rsidP="00000000" w:rsidRDefault="00000000" w:rsidRPr="00000000" w14:paraId="0000005C">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D">
      <w:pPr>
        <w:spacing w:after="0" w:before="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114300" distR="114300">
            <wp:extent cx="5669280" cy="2519680"/>
            <wp:effectExtent b="0" l="0" r="0" t="0"/>
            <wp:docPr id="8"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669280" cy="251968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Figura 2. Comparación de métricas del conjunto de prueba.</w:t>
      </w:r>
    </w:p>
    <w:p w:rsidR="00000000" w:rsidDel="00000000" w:rsidP="00000000" w:rsidRDefault="00000000" w:rsidRPr="00000000" w14:paraId="0000005F">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0">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Regresión logística obtuvo las cinco métricas de prueba ligeramente superiores. En F1, registró 0.9793 frente a 0.9655 de Random Forest. El resultado es específico de esta partición y del conjunto de datos utilizado; no implica que un algoritmo sea superior en cualquier contexto.</w:t>
      </w:r>
    </w:p>
    <w:p w:rsidR="00000000" w:rsidDel="00000000" w:rsidP="00000000" w:rsidRDefault="00000000" w:rsidRPr="00000000" w14:paraId="00000061">
      <w:pPr>
        <w:pStyle w:val="Heading1"/>
        <w:spacing w:after="0" w:before="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62">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7. Comparación estadística y limitaciones</w:t>
      </w:r>
    </w:p>
    <w:p w:rsidR="00000000" w:rsidDel="00000000" w:rsidP="00000000" w:rsidRDefault="00000000" w:rsidRPr="00000000" w14:paraId="00000063">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4">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comparar los resultados de ambos modelos, realicé una prueba estadística utilizando las cinco evaluaciones de la validación cruzada. El resultado fue de p = 0.1062, un valor superior a 0.05. Esto significa que, aunque la regresión logística obtuvo mejores métricas, la diferencia no es suficiente para asegurar que sea superior a Random Forest. Por lo tanto, considero que ambos modelos tuvieron un buen desempeño y que sería conveniente realizar más pruebas antes de tomar una decisión definitiva.</w:t>
      </w:r>
    </w:p>
    <w:p w:rsidR="00000000" w:rsidDel="00000000" w:rsidP="00000000" w:rsidRDefault="00000000" w:rsidRPr="00000000" w14:paraId="00000065">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66">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8. Evidencia de MLflow y reproducibilidad</w:t>
      </w:r>
    </w:p>
    <w:p w:rsidR="00000000" w:rsidDel="00000000" w:rsidP="00000000" w:rsidRDefault="00000000" w:rsidRPr="00000000" w14:paraId="00000067">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notebook ejecutado registró métricas de accuracy, precision, recall, F1, ROC-AUC y F1 medio de validación cruzada. En la captura se observan cuatro ejecuciones (dos por algoritmo), generadas durante los intentos y la repetición corregida del experimento; no son cuatro algoritmos. Los nombres de las ejecuciones y métricas coinciden con la salida del cuaderno.</w:t>
      </w:r>
    </w:p>
    <w:p w:rsidR="00000000" w:rsidDel="00000000" w:rsidP="00000000" w:rsidRDefault="00000000" w:rsidRPr="00000000" w14:paraId="00000069">
      <w:pPr>
        <w:spacing w:after="0" w:before="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114300" distR="114300">
            <wp:extent cx="5852160" cy="1013988"/>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852160" cy="1013988"/>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Figura 3. Tabla de ejecuciones recuperadas de MLflow en Colab.</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C">
      <w:pPr>
        <w:spacing w:after="0" w:before="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114300" distR="114300">
            <wp:extent cx="2872559" cy="3105020"/>
            <wp:effectExtent b="0" l="0" r="0" t="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872559" cy="310502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Figura 4. Estructura mlruns con directorio models;</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u w:val="none"/>
          <w:shd w:fill="auto" w:val="clear"/>
          <w:vertAlign w:val="baseline"/>
        </w:rPr>
      </w:pPr>
      <w:r w:rsidDel="00000000" w:rsidR="00000000" w:rsidRPr="00000000">
        <w:rPr>
          <w:rFonts w:ascii="Arial" w:cs="Arial" w:eastAsia="Arial" w:hAnsi="Arial"/>
          <w:b w:val="1"/>
          <w:bCs w:val="1"/>
          <w:i w:val="0"/>
          <w:iCs w:val="0"/>
          <w:smallCaps w:val="0"/>
          <w:strike w:val="0"/>
          <w:u w:val="none"/>
          <w:shd w:fill="auto" w:val="clear"/>
          <w:vertAlign w:val="baseline"/>
          <w:rtl w:val="0"/>
        </w:rPr>
        <w:t xml:space="preserve">no verifica por sí sola cada artefacto individual.</w:t>
      </w:r>
    </w:p>
    <w:p w:rsidR="00000000" w:rsidDel="00000000" w:rsidP="00000000" w:rsidRDefault="00000000" w:rsidRPr="00000000" w14:paraId="0000006F">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0">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error previo de serialización de Random Forest se resolvió al registrar el modelo mediante cloudpickle, según la ejecución compartida. La carpeta models es indicio de archivos del modelo guardados en MLflow; para comprobar el contenido de cada modelo y su carga posterior, se debe inspeccionar el artefacto MLmodel y ejecutar una prueba de carga. El paquete no incluye una copia íntegra de mlruns.</w:t>
      </w:r>
    </w:p>
    <w:p w:rsidR="00000000" w:rsidDel="00000000" w:rsidP="00000000" w:rsidRDefault="00000000" w:rsidRPr="00000000" w14:paraId="00000071">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2">
      <w:pPr>
        <w:spacing w:after="0" w:before="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145823" cy="2131785"/>
            <wp:effectExtent b="0" l="0" r="0" t="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145823" cy="213178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0" w:before="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Figura 5. Verificación de modelos registrados en MLflow.</w:t>
      </w:r>
    </w:p>
    <w:p w:rsidR="00000000" w:rsidDel="00000000" w:rsidP="00000000" w:rsidRDefault="00000000" w:rsidRPr="00000000" w14:paraId="00000074">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5">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complementar la evidencia, revisé los archivos asociados a los experimentos en MLflow. Esta comprobación permitió identificar los modelos guardados y verificar que sus registros se encuentran disponibles para futuras consultas.</w:t>
      </w:r>
    </w:p>
    <w:p w:rsidR="00000000" w:rsidDel="00000000" w:rsidP="00000000" w:rsidRDefault="00000000" w:rsidRPr="00000000" w14:paraId="00000076">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7">
      <w:pPr>
        <w:spacing w:after="0" w:before="0"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9. Repositorio y acceso a la práctica</w:t>
      </w:r>
    </w:p>
    <w:p w:rsidR="00000000" w:rsidDel="00000000" w:rsidP="00000000" w:rsidRDefault="00000000" w:rsidRPr="00000000" w14:paraId="00000078">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9">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facilitar la consulta y reproducción del ejercicio, organicé los archivos del proyecto en un repositorio de GitHub, incluyendo los conjuntos de datos original y limpio, el notebook de entrenamiento, los scripts de soporte, las gráficas y la documentación de los cambios realizados.</w:t>
      </w:r>
    </w:p>
    <w:p w:rsidR="00000000" w:rsidDel="00000000" w:rsidP="00000000" w:rsidRDefault="00000000" w:rsidRPr="00000000" w14:paraId="0000007A">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B">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También conservé el notebook de Google Colab, desde el cual se ejecutaron los dos algoritmos, se aplicó Grid Search con validación cruzada y se registraron los experimentos mediante MLflow.</w:t>
      </w:r>
    </w:p>
    <w:p w:rsidR="00000000" w:rsidDel="00000000" w:rsidP="00000000" w:rsidRDefault="00000000" w:rsidRPr="00000000" w14:paraId="0000007C">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Enlace GitHub: </w:t>
      </w:r>
      <w:hyperlink r:id="rId12">
        <w:r w:rsidDel="00000000" w:rsidR="00000000" w:rsidRPr="00000000">
          <w:rPr>
            <w:rFonts w:ascii="Arial" w:cs="Arial" w:eastAsia="Arial" w:hAnsi="Arial"/>
            <w:color w:val="1155cc"/>
            <w:sz w:val="24"/>
            <w:szCs w:val="24"/>
            <w:u w:val="single"/>
            <w:rtl w:val="0"/>
          </w:rPr>
          <w:t xml:space="preserve">https://github.com/SoyGio/Actividad5</w:t>
        </w:r>
      </w:hyperlink>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E">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F">
      <w:pPr>
        <w:spacing w:after="0" w:before="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Enlace Colab: </w:t>
      </w:r>
      <w:hyperlink r:id="rId13">
        <w:r w:rsidDel="00000000" w:rsidR="00000000" w:rsidRPr="00000000">
          <w:rPr>
            <w:rFonts w:ascii="Arial" w:cs="Arial" w:eastAsia="Arial" w:hAnsi="Arial"/>
            <w:color w:val="1155cc"/>
            <w:sz w:val="24"/>
            <w:szCs w:val="24"/>
            <w:u w:val="single"/>
            <w:rtl w:val="0"/>
          </w:rPr>
          <w:t xml:space="preserve">https://colab.research.google.com/drive/1s5OAXTcrheo9qROQ8E9G0KCZbUAKsski</w:t>
        </w:r>
      </w:hyperlink>
      <w:r w:rsidDel="00000000" w:rsidR="00000000" w:rsidRPr="00000000">
        <w:rPr>
          <w:rtl w:val="0"/>
        </w:rPr>
      </w:r>
    </w:p>
    <w:p w:rsidR="00000000" w:rsidDel="00000000" w:rsidP="00000000" w:rsidRDefault="00000000" w:rsidRPr="00000000" w14:paraId="00000080">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1">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Estos recursos permiten consultar el procedimiento seguido y repetir las pruebas bajo las condiciones documentadas. Los resultados pueden variar si se utilizan versiones diferentes de las librerías o se modifican las configuraciones del entrenamiento.</w:t>
      </w:r>
    </w:p>
    <w:p w:rsidR="00000000" w:rsidDel="00000000" w:rsidP="00000000" w:rsidRDefault="00000000" w:rsidRPr="00000000" w14:paraId="00000082">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83">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10</w:t>
      </w:r>
      <w:r w:rsidDel="00000000" w:rsidR="00000000" w:rsidRPr="00000000">
        <w:rPr>
          <w:rFonts w:ascii="Arial" w:cs="Arial" w:eastAsia="Arial" w:hAnsi="Arial"/>
          <w:color w:val="000000"/>
          <w:rtl w:val="0"/>
        </w:rPr>
        <w:t xml:space="preserve">. Decisión técnica, deuda técnica y MLOps</w:t>
      </w:r>
    </w:p>
    <w:p w:rsidR="00000000" w:rsidDel="00000000" w:rsidP="00000000" w:rsidRDefault="00000000" w:rsidRPr="00000000" w14:paraId="00000084">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5">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recomienda provisionalmente regresión logística por su mejor F1 y ROC-AUC observados, menor complejidad y facilidad de interpretación. Antes de cualquier uso real se requieren validación externa, evaluación por clase, control de versiones de datos y dependencias, pruebas de carga de artefactos y seguimiento de degradación. Algunos problemas futuros podrían surgir por actualizaciones de las librerías, cambios en los datos, diferencias al dividir los conjuntos de entrenamiento y prueba, o una interpretación incorrecta de la clase positiva. MLflow, el versionado de datos y el registro de configuraciones reducen estos riesgos.</w:t>
      </w:r>
    </w:p>
    <w:p w:rsidR="00000000" w:rsidDel="00000000" w:rsidP="00000000" w:rsidRDefault="00000000" w:rsidRPr="00000000" w14:paraId="00000086">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7">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reducir los problemas de mantenimiento en futuras versiones, considero necesario conservar un historial de los datasets utilizados, registrar las versiones de las librerías y documentar los hiperparámetros de cada entrenamiento. También sería conveniente comprobar que los modelos guardados en MLflow puedan cargarse correctamente y repetir las evaluaciones cuando se incorporen nuevos datos. Estas medidas ayudarían a identificar cambios que afecten el desempeño y evitarían depender únicamente de los resultados de una ejecución anterior.</w:t>
      </w:r>
    </w:p>
    <w:p w:rsidR="00000000" w:rsidDel="00000000" w:rsidP="00000000" w:rsidRDefault="00000000" w:rsidRPr="00000000" w14:paraId="00000088">
      <w:pPr>
        <w:pStyle w:val="Heading1"/>
        <w:spacing w:after="0" w:before="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89">
      <w:pPr>
        <w:pStyle w:val="Heading1"/>
        <w:spacing w:after="0" w:before="0" w:lineRule="auto"/>
        <w:jc w:val="both"/>
        <w:rPr>
          <w:rFonts w:ascii="Arial" w:cs="Arial" w:eastAsia="Arial" w:hAnsi="Arial"/>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11. Conclusiones</w:t>
      </w:r>
    </w:p>
    <w:p w:rsidR="00000000" w:rsidDel="00000000" w:rsidP="00000000" w:rsidRDefault="00000000" w:rsidRPr="00000000" w14:paraId="0000008B">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C">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Durante esta práctica pude comprobar la importancia de preparar correctamente los datos antes de entrenar un modelo de inteligencia artificial. Aunque el dataset utilizado no presentó valores faltantes ni duplicados, fue necesario revisar su estructura y aplicar las transformaciones adecuadas para garantizar una evaluación consistente.</w:t>
      </w:r>
    </w:p>
    <w:p w:rsidR="00000000" w:rsidDel="00000000" w:rsidP="00000000" w:rsidRDefault="00000000" w:rsidRPr="00000000" w14:paraId="0000008D">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E">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comparación, la regresión logística obtuvo mejores resultados que Random Forest, alcanzando un accuracy de 97.37 % y un F1-score de 97.93 %. Sin embargo, la prueba estadística no mostró una diferencia significativa entre ambos modelos, por lo que considero que la regresión logística es la mejor alternativa para este ejercicio, sin descartar que los resultados puedan cambiar con otros datos.</w:t>
      </w:r>
    </w:p>
    <w:p w:rsidR="00000000" w:rsidDel="00000000" w:rsidP="00000000" w:rsidRDefault="00000000" w:rsidRPr="00000000" w14:paraId="0000008F">
      <w:pPr>
        <w:spacing w:after="0" w:before="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0">
      <w:pPr>
        <w:spacing w:after="0" w:before="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Finalmente, trabajar con MLflow me permitió comprender la utilidad de registrar parámetros, métricas y experimentos para facilitar su seguimiento y reproducción. Me quedo con el aprendizaje de que no basta con obtener buenos resultados: también es importante poder explicar cómo se consiguieron, identificar sus limitaciones y mantener un proceso organizado para futuras mejoras.</w:t>
      </w:r>
      <w:r w:rsidDel="00000000" w:rsidR="00000000" w:rsidRPr="00000000">
        <w:rPr>
          <w:rtl w:val="0"/>
        </w:rPr>
      </w:r>
    </w:p>
    <w:p w:rsidR="00000000" w:rsidDel="00000000" w:rsidP="00000000" w:rsidRDefault="00000000" w:rsidRPr="00000000" w14:paraId="00000091">
      <w:pPr>
        <w:pStyle w:val="Heading1"/>
        <w:spacing w:after="0" w:before="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92">
      <w:pPr>
        <w:pStyle w:val="Heading1"/>
        <w:spacing w:after="0" w:before="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Referencias</w:t>
      </w:r>
    </w:p>
    <w:p w:rsidR="00000000" w:rsidDel="00000000" w:rsidP="00000000" w:rsidRDefault="00000000" w:rsidRPr="00000000" w14:paraId="00000093">
      <w:pPr>
        <w:spacing w:after="0" w:before="0" w:lineRule="auto"/>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4">
      <w:pPr>
        <w:numPr>
          <w:ilvl w:val="0"/>
          <w:numId w:val="1"/>
        </w:numPr>
        <w:spacing w:after="0" w:before="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Scikit-learn developers. (s. f.). Breast cancer Wisconsin (diagnostic) dataset. </w:t>
      </w:r>
      <w:hyperlink r:id="rId14">
        <w:r w:rsidDel="00000000" w:rsidR="00000000" w:rsidRPr="00000000">
          <w:rPr>
            <w:rFonts w:ascii="Arial" w:cs="Arial" w:eastAsia="Arial" w:hAnsi="Arial"/>
            <w:color w:val="1155cc"/>
            <w:sz w:val="24"/>
            <w:szCs w:val="24"/>
            <w:u w:val="single"/>
            <w:rtl w:val="0"/>
          </w:rPr>
          <w:t xml:space="preserve">https://scikit-learn.org/stable/modules/generated/sklearn.datasets.load_breast_cancer.html</w:t>
        </w:r>
      </w:hyperlink>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95">
      <w:pPr>
        <w:numPr>
          <w:ilvl w:val="0"/>
          <w:numId w:val="1"/>
        </w:numPr>
        <w:spacing w:after="0" w:before="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UCI Machine Learning Repository. (s. f.). Breast Cancer Wisconsin (Diagnostic). </w:t>
      </w:r>
      <w:hyperlink r:id="rId15">
        <w:r w:rsidDel="00000000" w:rsidR="00000000" w:rsidRPr="00000000">
          <w:rPr>
            <w:rFonts w:ascii="Arial" w:cs="Arial" w:eastAsia="Arial" w:hAnsi="Arial"/>
            <w:color w:val="1155cc"/>
            <w:sz w:val="24"/>
            <w:szCs w:val="24"/>
            <w:u w:val="single"/>
            <w:rtl w:val="0"/>
          </w:rPr>
          <w:t xml:space="preserve">https://archive.ics.uci.edu/dataset/17/breast+cancer+wisconsin+diagnostic</w:t>
        </w:r>
      </w:hyperlink>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96">
      <w:pPr>
        <w:numPr>
          <w:ilvl w:val="0"/>
          <w:numId w:val="1"/>
        </w:numPr>
        <w:spacing w:after="0" w:before="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MLflow Project. (s. f.). MLflow Tracking. </w:t>
      </w:r>
      <w:hyperlink r:id="rId16">
        <w:r w:rsidDel="00000000" w:rsidR="00000000" w:rsidRPr="00000000">
          <w:rPr>
            <w:rFonts w:ascii="Arial" w:cs="Arial" w:eastAsia="Arial" w:hAnsi="Arial"/>
            <w:color w:val="1155cc"/>
            <w:sz w:val="24"/>
            <w:szCs w:val="24"/>
            <w:u w:val="single"/>
            <w:rtl w:val="0"/>
          </w:rPr>
          <w:t xml:space="preserve">https://mlflow.org/docs/latest/ml/tracking/</w:t>
        </w:r>
      </w:hyperlink>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97">
      <w:pPr>
        <w:numPr>
          <w:ilvl w:val="0"/>
          <w:numId w:val="1"/>
        </w:numPr>
        <w:spacing w:after="0" w:before="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Scikit-learn developers. (s. f.). GridSearchCV. </w:t>
      </w:r>
      <w:hyperlink r:id="rId17">
        <w:r w:rsidDel="00000000" w:rsidR="00000000" w:rsidRPr="00000000">
          <w:rPr>
            <w:rFonts w:ascii="Arial" w:cs="Arial" w:eastAsia="Arial" w:hAnsi="Arial"/>
            <w:color w:val="1155cc"/>
            <w:sz w:val="24"/>
            <w:szCs w:val="24"/>
            <w:u w:val="single"/>
            <w:rtl w:val="0"/>
          </w:rPr>
          <w:t xml:space="preserve">https://scikit-learn.org/stable/modules/generated/sklearn.model_selection.GridSearchCV.html</w:t>
        </w:r>
      </w:hyperlink>
      <w:r w:rsidDel="00000000" w:rsidR="00000000" w:rsidRPr="00000000">
        <w:rPr>
          <w:rFonts w:ascii="Arial" w:cs="Arial" w:eastAsia="Arial" w:hAnsi="Arial"/>
          <w:sz w:val="24"/>
          <w:szCs w:val="24"/>
          <w:rtl w:val="0"/>
        </w:rPr>
        <w:t xml:space="preserve"> </w:t>
      </w:r>
    </w:p>
    <w:sectPr>
      <w:pgSz w:h="15840" w:w="12240"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 w:name="Oswald">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93d55"/>
      <w:sz w:val="28"/>
      <w:szCs w:val="28"/>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93d55"/>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color w:val="193d55"/>
      <w:sz w:val="40"/>
      <w:szCs w:val="4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2">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shd w:fill="d3dfee" w:val="clear"/>
      </w:tcPr>
    </w:tblStylePr>
    <w:tblStylePr w:type="band1Vert">
      <w:tcPr>
        <w:shd w:fill="d3dfee" w:val="clear"/>
      </w:tcPr>
    </w:tblStylePr>
    <w:tblStylePr w:type="band2Horz">
      <w:tcPr/>
    </w:tblStylePr>
    <w:tblStylePr w:type="band2Vert">
      <w:tcPr/>
    </w:tblStylePr>
    <w:tblStylePr w:type="firstCol">
      <w:rPr>
        <w:b w:val="1"/>
        <w:bCs w:val="1"/>
      </w:rPr>
      <w:tcPr/>
    </w:tblStylePr>
    <w:tblStylePr w:type="firstRow">
      <w:pPr>
        <w:spacing w:after="0" w:before="0" w:line="240" w:lineRule="auto"/>
      </w:pPr>
      <w:rPr>
        <w:b w:val="1"/>
        <w:bCs w:val="1"/>
      </w:rPr>
      <w:tcPr/>
    </w:tblStylePr>
    <w:tblStylePr w:type="lastCol">
      <w:rPr>
        <w:b w:val="1"/>
        <w:bCs w:val="1"/>
      </w:rPr>
      <w:tcPr/>
    </w:tblStylePr>
    <w:tblStylePr w:type="lastRow">
      <w:pPr>
        <w:spacing w:after="0" w:before="0" w:line="240" w:lineRule="auto"/>
      </w:pPr>
      <w:rPr>
        <w:b w:val="1"/>
        <w:bCs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hyperlink" Target="https://colab.research.google.com/drive/1s5OAXTcrheo9qROQ8E9G0KCZbUAKsski?usp=sharing" TargetMode="External"/><Relationship Id="rId12" Type="http://schemas.openxmlformats.org/officeDocument/2006/relationships/hyperlink" Target="https://github.com/SoyGio/Actividad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archive.ics.uci.edu/dataset/17/breast+cancer+wisconsin+diagnostic" TargetMode="External"/><Relationship Id="rId14" Type="http://schemas.openxmlformats.org/officeDocument/2006/relationships/hyperlink" Target="https://scikit-learn.org/stable/modules/generated/sklearn.datasets.load_breast_cancer.html" TargetMode="External"/><Relationship Id="rId17" Type="http://schemas.openxmlformats.org/officeDocument/2006/relationships/hyperlink" Target="https://scikit-learn.org/stable/modules/generated/sklearn.model_selection.GridSearchCV.html" TargetMode="External"/><Relationship Id="rId16" Type="http://schemas.openxmlformats.org/officeDocument/2006/relationships/hyperlink" Target="https://mlflow.org/docs/latest/ml/tracking/"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Oswald-regular.ttf"/><Relationship Id="rId4"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K24c3G5s8AGRSmAt/NwYm4Y23A==">CgMxLjAyDmgubHY1c3F3bTV4bGFqOAByITEzZUhZVzYxMWJsVDducHN0WTlHbW5GZHRBNkR3Yk9XLQ==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