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before="0"/>
        <w:jc w:val="center"/>
      </w:pPr>
      <w:r>
        <w:rPr>
          <w:rFonts w:ascii="Arial" w:cs="Arial" w:eastAsia="Arial" w:hAnsi="Arial"/>
          <w:b/>
          <w:bCs/>
          <w:color w:val="6C63FF"/>
          <w:sz w:val="52"/>
          <w:szCs w:val="52"/>
        </w:rPr>
        <w:t xml:space="preserve">⬡  Q V A U L T</w:t>
      </w:r>
    </w:p>
    <w:p>
      <w:pPr>
        <w:spacing w:after="240" w:before="0"/>
        <w:jc w:val="center"/>
      </w:pPr>
      <w:r>
        <w:rPr>
          <w:rFonts w:ascii="Arial" w:cs="Arial" w:eastAsia="Arial" w:hAnsi="Arial"/>
          <w:i/>
          <w:iCs/>
          <w:color w:val="00D4FF"/>
          <w:sz w:val="30"/>
          <w:szCs w:val="30"/>
        </w:rPr>
        <w:t xml:space="preserve">The Quantum-Proof Community Protocol</w:t>
      </w:r>
    </w:p>
    <w:p>
      <w:pPr>
        <w:pBdr>
          <w:bottom w:val="single" w:color="6C63FF" w:sz="4" w:space="1"/>
        </w:pBdr>
        <w:spacing w:after="160" w:before="160"/>
      </w:pPr>
    </w:p>
    <w:p>
      <w:pPr>
        <w:spacing w:after="100" w:before="200"/>
        <w:jc w:val="center"/>
      </w:pPr>
      <w:r>
        <w:rPr>
          <w:rFonts w:ascii="Arial" w:cs="Arial" w:eastAsia="Arial" w:hAnsi="Arial"/>
          <w:b/>
          <w:bCs/>
          <w:color w:val="6B6B8D"/>
          <w:spacing w:val="200"/>
          <w:sz w:val="26"/>
          <w:szCs w:val="26"/>
        </w:rPr>
        <w:t xml:space="preserve">W H I T E P A P E R</w:t>
      </w:r>
    </w:p>
    <w:p>
      <w:pPr>
        <w:spacing w:after="600" w:before="60"/>
        <w:jc w:val="center"/>
      </w:pPr>
      <w:r>
        <w:rPr>
          <w:rFonts w:ascii="Arial" w:cs="Arial" w:eastAsia="Arial" w:hAnsi="Arial"/>
          <w:color w:val="6B6B8D"/>
          <w:sz w:val="20"/>
          <w:szCs w:val="20"/>
        </w:rPr>
        <w:t xml:space="preserve">Version 1.0  —  May 2026</w:t>
      </w:r>
    </w:p>
    <w:p>
      <w:pPr>
        <w:spacing w:after="80" w:before="0"/>
        <w:jc w:val="center"/>
      </w:pPr>
      <w:r>
        <w:rPr>
          <w:rFonts w:ascii="Arial" w:cs="Arial" w:eastAsia="Arial" w:hAnsi="Arial"/>
          <w:i/>
          <w:iCs/>
          <w:color w:val="6B6B8D"/>
          <w:sz w:val="20"/>
          <w:szCs w:val="20"/>
        </w:rPr>
        <w:t xml:space="preserve">Token: $QVLT  |  Network: Solana  |  Community-first · DeFi · Quantum-secure</w:t>
      </w:r>
    </w:p>
    <w:p>
      <w:pPr>
        <w:spacing w:before="600"/>
      </w:pPr>
    </w:p>
    <w:p>
      <w:pPr>
        <w:jc w:val="center"/>
      </w:pPr>
      <w:r>
        <w:rPr>
          <w:rFonts w:ascii="Arial" w:cs="Arial" w:eastAsia="Arial" w:hAnsi="Arial"/>
          <w:i/>
          <w:iCs/>
          <w:color w:val="6B6B8D"/>
          <w:sz w:val="16"/>
          <w:szCs w:val="16"/>
        </w:rPr>
        <w:t xml:space="preserve">This document is for informational purposes only and does not constitute financial advice.</w:t>
      </w:r>
    </w:p>
    <w:p>
      <w:r>
        <w:br w:type="page"/>
      </w:r>
    </w:p>
    <w:p>
      <w:pPr>
        <w:pStyle w:val="Heading1"/>
        <w:spacing w:after="160" w:before="480"/>
      </w:pPr>
      <w:r>
        <w:rPr>
          <w:rFonts w:ascii="Arial" w:cs="Arial" w:eastAsia="Arial" w:hAnsi="Arial"/>
          <w:b/>
          <w:bCs/>
          <w:color w:val="1A1A2E"/>
          <w:sz w:val="36"/>
          <w:szCs w:val="36"/>
        </w:rPr>
        <w:t xml:space="preserve">1. Executive Summary</w:t>
      </w:r>
    </w:p>
    <w:p>
      <w:pPr>
        <w:spacing w:after="100" w:before="60"/>
        <w:jc w:val="both"/>
      </w:pPr>
      <w:r>
        <w:rPr>
          <w:rFonts w:ascii="Arial" w:cs="Arial" w:eastAsia="Arial" w:hAnsi="Arial"/>
          <w:b w:val="false"/>
          <w:bCs w:val="false"/>
          <w:i w:val="false"/>
          <w:iCs w:val="false"/>
          <w:color w:val="1A1A2E"/>
          <w:sz w:val="22"/>
          <w:szCs w:val="22"/>
        </w:rPr>
        <w:t xml:space="preserve">QVAULT ($QVLT) is a community-first crypto protocol designed to thrive at the intersection of three of the most powerful narratives in Web3 today: quantum-resistant security, decentralized finance (DeFi), and organic community growth.</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The crypto industry faces an existential threat: quantum computing. Google's March 2026 research paper demonstrated that current encryption standards underpinning Bitcoin, Ethereum, and most blockchains could be broken by sufficiently advanced quantum machines. Yet the vast majority of the $2.8 trillion crypto market remains unprotected.</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QVAULT's mission is to become the home for forward-thinking crypto participants who understand this risk — and who want to be part of the solution. Rather than simply launching another token, we are building a movement: a community of holders, builders, and believers who are leading the transition to quantum-safe finance.</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$QVLT launches on Solana for its speed (4,000+ TPS), low fees, and vibrant retail community. The token features Tokenomics 2.0: fee-sharing, buyback pressure, and a governance model that gives the community real power over the protocol's evolution — including the long-term roadmap to a proprietary quantum-resistant Layer 1 blockchain.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E8" w:sz="1"/>
              <w:left w:val="single" w:color="D0D0E8" w:sz="1"/>
              <w:bottom w:val="single" w:color="D0D0E8" w:sz="1"/>
              <w:right w:val="single" w:color="D0D0E8"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Token Ticker</w:t>
            </w:r>
          </w:p>
        </w:tc>
        <w:tc>
          <w:tcPr>
            <w:tcW w:type="dxa" w:w="62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$QVLT</w:t>
            </w:r>
          </w:p>
        </w:tc>
      </w:tr>
      <w:tr>
        <w:tc>
          <w:tcPr>
            <w:tcW w:type="dxa" w:w="312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bCs/>
                <w:color w:val="1A1A2E"/>
                <w:sz w:val="22"/>
                <w:szCs w:val="22"/>
              </w:rPr>
              <w:t xml:space="preserve">Blockchain</w:t>
            </w:r>
          </w:p>
        </w:tc>
        <w:tc>
          <w:tcPr>
            <w:tcW w:type="dxa" w:w="624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Solana (Phase 1) → Proprietary L1 (Phase 3)</w:t>
            </w:r>
          </w:p>
        </w:tc>
      </w:tr>
      <w:tr>
        <w:tc>
          <w:tcPr>
            <w:tcW w:type="dxa" w:w="312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2E"/>
                <w:sz w:val="22"/>
                <w:szCs w:val="22"/>
              </w:rPr>
              <w:t xml:space="preserve">Total Supply</w:t>
            </w:r>
          </w:p>
        </w:tc>
        <w:tc>
          <w:tcPr>
            <w:tcW w:type="dxa" w:w="62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1,000,000,000 QVLT</w:t>
            </w:r>
          </w:p>
        </w:tc>
      </w:tr>
      <w:tr>
        <w:tc>
          <w:tcPr>
            <w:tcW w:type="dxa" w:w="312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bCs/>
                <w:color w:val="1A1A2E"/>
                <w:sz w:val="22"/>
                <w:szCs w:val="22"/>
              </w:rPr>
              <w:t xml:space="preserve">Token Standard</w:t>
            </w:r>
          </w:p>
        </w:tc>
        <w:tc>
          <w:tcPr>
            <w:tcW w:type="dxa" w:w="624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SPL Token (Solana Program Library)</w:t>
            </w:r>
          </w:p>
        </w:tc>
      </w:tr>
      <w:tr>
        <w:tc>
          <w:tcPr>
            <w:tcW w:type="dxa" w:w="312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bCs/>
                <w:color w:val="1A1A2E"/>
                <w:sz w:val="22"/>
                <w:szCs w:val="22"/>
              </w:rPr>
              <w:t xml:space="preserve">Core Narrative</w:t>
            </w:r>
          </w:p>
        </w:tc>
        <w:tc>
          <w:tcPr>
            <w:tcW w:type="dxa" w:w="62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Quantum Security + DeFi + Community</w:t>
            </w:r>
          </w:p>
        </w:tc>
      </w:tr>
      <w:tr>
        <w:tc>
          <w:tcPr>
            <w:tcW w:type="dxa" w:w="312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bCs/>
                <w:color w:val="1A1A2E"/>
                <w:sz w:val="22"/>
                <w:szCs w:val="22"/>
              </w:rPr>
              <w:t xml:space="preserve">Launch Model</w:t>
            </w:r>
          </w:p>
        </w:tc>
        <w:tc>
          <w:tcPr>
            <w:tcW w:type="dxa" w:w="624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Fair Launch + Liquidity Pool on Raydium</w:t>
            </w:r>
          </w:p>
        </w:tc>
      </w:tr>
    </w:tbl>
    <w:p>
      <w:pPr>
        <w:spacing w:before="80"/>
      </w:pPr>
    </w:p>
    <w:p>
      <w:pPr>
        <w:spacing w:before="240"/>
      </w:pPr>
    </w:p>
    <w:p>
      <w:pPr>
        <w:pBdr>
          <w:bottom w:val="single" w:color="6C63FF" w:sz="4" w:space="1"/>
        </w:pBdr>
        <w:spacing w:after="160" w:before="160"/>
      </w:pPr>
    </w:p>
    <w:p>
      <w:pPr>
        <w:pStyle w:val="Heading1"/>
        <w:spacing w:after="160" w:before="480"/>
      </w:pPr>
      <w:r>
        <w:rPr>
          <w:rFonts w:ascii="Arial" w:cs="Arial" w:eastAsia="Arial" w:hAnsi="Arial"/>
          <w:b/>
          <w:bCs/>
          <w:color w:val="1A1A2E"/>
          <w:sz w:val="36"/>
          <w:szCs w:val="36"/>
        </w:rPr>
        <w:t xml:space="preserve">2. The Problem</w:t>
      </w:r>
    </w:p>
    <w:p>
      <w:pPr>
        <w:pStyle w:val="Heading2"/>
        <w:spacing w:after="120" w:before="320"/>
      </w:pPr>
      <w:r>
        <w:rPr>
          <w:rFonts w:ascii="Arial" w:cs="Arial" w:eastAsia="Arial" w:hAnsi="Arial"/>
          <w:b/>
          <w:bCs/>
          <w:color w:val="6C63FF"/>
          <w:sz w:val="28"/>
          <w:szCs w:val="28"/>
        </w:rPr>
        <w:t xml:space="preserve">2.1  The Quantum Threat Is Real and Imminent</w:t>
      </w:r>
    </w:p>
    <w:p>
      <w:pPr>
        <w:spacing w:after="100" w:before="60"/>
        <w:jc w:val="both"/>
      </w:pPr>
      <w:r>
        <w:rPr>
          <w:rFonts w:ascii="Arial" w:cs="Arial" w:eastAsia="Arial" w:hAnsi="Arial"/>
          <w:b w:val="false"/>
          <w:bCs w:val="false"/>
          <w:i w:val="false"/>
          <w:iCs w:val="false"/>
          <w:color w:val="1A1A2E"/>
          <w:sz w:val="22"/>
          <w:szCs w:val="22"/>
        </w:rPr>
        <w:t xml:space="preserve">Most participants in the crypto space are unaware of a ticking clock. The cryptographic foundations of today's blockchains — specifically the Elliptic Curve Digital Signature Algorithm (ECDSA) — are mathematically vulnerable to quantum computers running Shor's algorithm.</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In March 2026, Google's Quantum AI team published research showing that breaking Bitcoin's encryption would require 20x fewer quantum resources than previously estimated. Independent estimates suggest a sufficiently powerful quantum machine could crack a Bitcoin private key in approximately 9 minutes — well within Bitcoin's 10-minute block time.</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Approximately 6.9 million BTC — over 30% of total supply — sits in addresses with exposed public keys, making them directly vulnerable. The rest of the $2.8 trillion crypto ecosystem faces the same structural risk.</w:t>
      </w:r>
    </w:p>
    <w:p>
      <w:pPr>
        <w:spacing w:before="120"/>
      </w:pPr>
    </w:p>
    <w:p>
      <w:pPr>
        <w:pStyle w:val="Heading2"/>
        <w:spacing w:after="120" w:before="320"/>
      </w:pPr>
      <w:r>
        <w:rPr>
          <w:rFonts w:ascii="Arial" w:cs="Arial" w:eastAsia="Arial" w:hAnsi="Arial"/>
          <w:b/>
          <w:bCs/>
          <w:color w:val="6C63FF"/>
          <w:sz w:val="28"/>
          <w:szCs w:val="28"/>
        </w:rPr>
        <w:t xml:space="preserve">2.2  The Market Has No Unified Community</w:t>
      </w:r>
    </w:p>
    <w:p>
      <w:pPr>
        <w:spacing w:after="100" w:before="60"/>
        <w:jc w:val="both"/>
      </w:pPr>
      <w:r>
        <w:rPr>
          <w:rFonts w:ascii="Arial" w:cs="Arial" w:eastAsia="Arial" w:hAnsi="Arial"/>
          <w:b w:val="false"/>
          <w:bCs w:val="false"/>
          <w:i w:val="false"/>
          <w:iCs w:val="false"/>
          <w:color w:val="1A1A2E"/>
          <w:sz w:val="22"/>
          <w:szCs w:val="22"/>
        </w:rPr>
        <w:t xml:space="preserve">While specialized quantum-resistant projects exist (QRL, QANplatform, Algorand), they have failed to build large, engaged retail communities. They are technically strong but culturally weak. The quantum narrative needs a home — a tribe.</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Simultaneously, the broader DeFi space has become fragmented, with retail holders increasingly looking for projects that offer real utility (staking, fee-sharing, governance) rather than empty speculation.</w:t>
      </w:r>
    </w:p>
    <w:p>
      <w:pPr>
        <w:spacing w:before="120"/>
      </w:pPr>
    </w:p>
    <w:p>
      <w:pPr>
        <w:pStyle w:val="Heading2"/>
        <w:spacing w:after="120" w:before="320"/>
      </w:pPr>
      <w:r>
        <w:rPr>
          <w:rFonts w:ascii="Arial" w:cs="Arial" w:eastAsia="Arial" w:hAnsi="Arial"/>
          <w:b/>
          <w:bCs/>
          <w:color w:val="6C63FF"/>
          <w:sz w:val="28"/>
          <w:szCs w:val="28"/>
        </w:rPr>
        <w:t xml:space="preserve">2.3  The Opportunity Gap</w:t>
      </w:r>
    </w:p>
    <w:p>
      <w:pPr>
        <w:spacing w:after="100" w:before="60"/>
        <w:jc w:val="both"/>
      </w:pPr>
      <w:r>
        <w:rPr>
          <w:rFonts w:ascii="Arial" w:cs="Arial" w:eastAsia="Arial" w:hAnsi="Arial"/>
          <w:b w:val="false"/>
          <w:bCs w:val="false"/>
          <w:i w:val="false"/>
          <w:iCs w:val="false"/>
          <w:color w:val="1A1A2E"/>
          <w:sz w:val="22"/>
          <w:szCs w:val="22"/>
        </w:rPr>
        <w:t xml:space="preserve">There is no project today that combines: (1) the urgency and narrative power of quantum resistance, (2) the financial utility of DeFi mechanics, and (3) a vibrant, culture-driven community. QVAULT fills this gap.</w:t>
      </w:r>
    </w:p>
    <w:p>
      <w:pPr>
        <w:spacing w:before="80"/>
      </w:pPr>
    </w:p>
    <w:p>
      <w:pPr>
        <w:spacing w:before="240"/>
      </w:pPr>
    </w:p>
    <w:p>
      <w:pPr>
        <w:pBdr>
          <w:bottom w:val="single" w:color="6C63FF" w:sz="4" w:space="1"/>
        </w:pBdr>
        <w:spacing w:after="160" w:before="160"/>
      </w:pPr>
    </w:p>
    <w:p>
      <w:pPr>
        <w:pStyle w:val="Heading1"/>
        <w:spacing w:after="160" w:before="480"/>
      </w:pPr>
      <w:r>
        <w:rPr>
          <w:rFonts w:ascii="Arial" w:cs="Arial" w:eastAsia="Arial" w:hAnsi="Arial"/>
          <w:b/>
          <w:bCs/>
          <w:color w:val="1A1A2E"/>
          <w:sz w:val="36"/>
          <w:szCs w:val="36"/>
        </w:rPr>
        <w:t xml:space="preserve">3. The QVAULT Solution</w:t>
      </w:r>
    </w:p>
    <w:p>
      <w:pPr>
        <w:pStyle w:val="Heading2"/>
        <w:spacing w:after="120" w:before="320"/>
      </w:pPr>
      <w:r>
        <w:rPr>
          <w:rFonts w:ascii="Arial" w:cs="Arial" w:eastAsia="Arial" w:hAnsi="Arial"/>
          <w:b/>
          <w:bCs/>
          <w:color w:val="6C63FF"/>
          <w:sz w:val="28"/>
          <w:szCs w:val="28"/>
        </w:rPr>
        <w:t xml:space="preserve">3.1  A Three-Layer Protocol</w:t>
      </w:r>
    </w:p>
    <w:p>
      <w:pPr>
        <w:spacing w:after="100" w:before="60"/>
        <w:jc w:val="both"/>
      </w:pPr>
      <w:r>
        <w:rPr>
          <w:rFonts w:ascii="Arial" w:cs="Arial" w:eastAsia="Arial" w:hAnsi="Arial"/>
          <w:b w:val="false"/>
          <w:bCs w:val="false"/>
          <w:i w:val="false"/>
          <w:iCs w:val="false"/>
          <w:color w:val="1A1A2E"/>
          <w:sz w:val="22"/>
          <w:szCs w:val="22"/>
        </w:rPr>
        <w:t xml:space="preserve">QVAULT is built around three interlocking layers that create compounding value for $QVLT holders:</w:t>
      </w:r>
    </w:p>
    <w:p>
      <w:pPr>
        <w:spacing w:before="80"/>
      </w:pPr>
    </w:p>
    <w:p>
      <w:pPr>
        <w:spacing w:after="80" w:before="240"/>
      </w:pPr>
      <w:r>
        <w:rPr>
          <w:rFonts w:ascii="Arial" w:cs="Arial" w:eastAsia="Arial" w:hAnsi="Arial"/>
          <w:b/>
          <w:bCs/>
          <w:color w:val="3A3A5C"/>
          <w:sz w:val="24"/>
          <w:szCs w:val="24"/>
        </w:rPr>
        <w:t xml:space="preserve">Layer 1 — Community &amp; Culture</w:t>
      </w:r>
    </w:p>
    <w:p>
      <w:pPr>
        <w:pStyle w:val="ListParagraph"/>
        <w:numPr>
          <w:ilvl w:val="0"/>
          <w:numId w:val="2"/>
        </w:numPr>
        <w:spacing w:after="40" w:before="40"/>
      </w:pPr>
      <w:r>
        <w:rPr>
          <w:rFonts w:ascii="Arial" w:cs="Arial" w:eastAsia="Arial" w:hAnsi="Arial"/>
          <w:color w:val="1A1A2E"/>
          <w:sz w:val="22"/>
          <w:szCs w:val="22"/>
        </w:rPr>
        <w:t xml:space="preserve">A globally distributed community of crypto participants united by the shared belief that quantum-safe finance is not optional — it is inevitable.</w:t>
      </w:r>
    </w:p>
    <w:p>
      <w:pPr>
        <w:pStyle w:val="ListParagraph"/>
        <w:numPr>
          <w:ilvl w:val="0"/>
          <w:numId w:val="2"/>
        </w:numPr>
        <w:spacing w:after="40" w:before="40"/>
      </w:pPr>
      <w:r>
        <w:rPr>
          <w:rFonts w:ascii="Arial" w:cs="Arial" w:eastAsia="Arial" w:hAnsi="Arial"/>
          <w:color w:val="1A1A2E"/>
          <w:sz w:val="22"/>
          <w:szCs w:val="22"/>
        </w:rPr>
        <w:t xml:space="preserve">Community governance through the QVAULT DAO, where $QVLT holders vote on protocol upgrades, treasury allocations, and partnership decisions.</w:t>
      </w:r>
    </w:p>
    <w:p>
      <w:pPr>
        <w:pStyle w:val="ListParagraph"/>
        <w:numPr>
          <w:ilvl w:val="0"/>
          <w:numId w:val="2"/>
        </w:numPr>
        <w:spacing w:after="40" w:before="40"/>
      </w:pPr>
      <w:r>
        <w:rPr>
          <w:rFonts w:ascii="Arial" w:cs="Arial" w:eastAsia="Arial" w:hAnsi="Arial"/>
          <w:color w:val="1A1A2E"/>
          <w:sz w:val="22"/>
          <w:szCs w:val="22"/>
        </w:rPr>
        <w:t xml:space="preserve">Exclusive holder perks: early access to security tools, educational content, and pre-launch opportunities on the QVAULT ecosystem.</w:t>
      </w:r>
    </w:p>
    <w:p>
      <w:pPr>
        <w:spacing w:before="80"/>
      </w:pPr>
    </w:p>
    <w:p>
      <w:pPr>
        <w:spacing w:after="80" w:before="240"/>
      </w:pPr>
      <w:r>
        <w:rPr>
          <w:rFonts w:ascii="Arial" w:cs="Arial" w:eastAsia="Arial" w:hAnsi="Arial"/>
          <w:b/>
          <w:bCs/>
          <w:color w:val="3A3A5C"/>
          <w:sz w:val="24"/>
          <w:szCs w:val="24"/>
        </w:rPr>
        <w:t xml:space="preserve">Layer 2 — DeFi Utility</w:t>
      </w:r>
    </w:p>
    <w:p>
      <w:pPr>
        <w:pStyle w:val="ListParagraph"/>
        <w:numPr>
          <w:ilvl w:val="0"/>
          <w:numId w:val="2"/>
        </w:numPr>
        <w:spacing w:after="40" w:before="40"/>
      </w:pPr>
      <w:r>
        <w:rPr>
          <w:rFonts w:ascii="Arial" w:cs="Arial" w:eastAsia="Arial" w:hAnsi="Arial"/>
          <w:color w:val="1A1A2E"/>
          <w:sz w:val="22"/>
          <w:szCs w:val="22"/>
        </w:rPr>
        <w:t xml:space="preserve">Staking pools with competitive yields, funded by protocol revenue.</w:t>
      </w:r>
    </w:p>
    <w:p>
      <w:pPr>
        <w:pStyle w:val="ListParagraph"/>
        <w:numPr>
          <w:ilvl w:val="0"/>
          <w:numId w:val="2"/>
        </w:numPr>
        <w:spacing w:after="40" w:before="40"/>
      </w:pPr>
      <w:r>
        <w:rPr>
          <w:rFonts w:ascii="Arial" w:cs="Arial" w:eastAsia="Arial" w:hAnsi="Arial"/>
          <w:color w:val="1A1A2E"/>
          <w:sz w:val="22"/>
          <w:szCs w:val="22"/>
        </w:rPr>
        <w:t xml:space="preserve">Fee-sharing mechanism: 40% of all protocol fees are redistributed to stakers.</w:t>
      </w:r>
    </w:p>
    <w:p>
      <w:pPr>
        <w:pStyle w:val="ListParagraph"/>
        <w:numPr>
          <w:ilvl w:val="0"/>
          <w:numId w:val="2"/>
        </w:numPr>
        <w:spacing w:after="40" w:before="40"/>
      </w:pPr>
      <w:r>
        <w:rPr>
          <w:rFonts w:ascii="Arial" w:cs="Arial" w:eastAsia="Arial" w:hAnsi="Arial"/>
          <w:color w:val="1A1A2E"/>
          <w:sz w:val="22"/>
          <w:szCs w:val="22"/>
        </w:rPr>
        <w:t xml:space="preserve">Buyback-and-burn: 20% of fees are used to purchase and burn $QVLT, creating deflationary pressure.</w:t>
      </w:r>
    </w:p>
    <w:p>
      <w:pPr>
        <w:pStyle w:val="ListParagraph"/>
        <w:numPr>
          <w:ilvl w:val="0"/>
          <w:numId w:val="2"/>
        </w:numPr>
        <w:spacing w:after="40" w:before="40"/>
      </w:pPr>
      <w:r>
        <w:rPr>
          <w:rFonts w:ascii="Arial" w:cs="Arial" w:eastAsia="Arial" w:hAnsi="Arial"/>
          <w:color w:val="1A1A2E"/>
          <w:sz w:val="22"/>
          <w:szCs w:val="22"/>
        </w:rPr>
        <w:t xml:space="preserve">Liquidity mining incentives for early adopters and liquidity providers on Raydium and Orca.</w:t>
      </w:r>
    </w:p>
    <w:p>
      <w:pPr>
        <w:spacing w:before="80"/>
      </w:pPr>
    </w:p>
    <w:p>
      <w:pPr>
        <w:spacing w:after="80" w:before="240"/>
      </w:pPr>
      <w:r>
        <w:rPr>
          <w:rFonts w:ascii="Arial" w:cs="Arial" w:eastAsia="Arial" w:hAnsi="Arial"/>
          <w:b/>
          <w:bCs/>
          <w:color w:val="3A3A5C"/>
          <w:sz w:val="24"/>
          <w:szCs w:val="24"/>
        </w:rPr>
        <w:t xml:space="preserve">Layer 3 — Quantum Security Roadmap</w:t>
      </w:r>
    </w:p>
    <w:p>
      <w:pPr>
        <w:pStyle w:val="ListParagraph"/>
        <w:numPr>
          <w:ilvl w:val="0"/>
          <w:numId w:val="2"/>
        </w:numPr>
        <w:spacing w:after="40" w:before="40"/>
      </w:pPr>
      <w:r>
        <w:rPr>
          <w:rFonts w:ascii="Arial" w:cs="Arial" w:eastAsia="Arial" w:hAnsi="Arial"/>
          <w:color w:val="1A1A2E"/>
          <w:sz w:val="22"/>
          <w:szCs w:val="22"/>
        </w:rPr>
        <w:t xml:space="preserve">Phase 1: Deploy $QVLT on Solana with post-quantum awareness tooling for the community.</w:t>
      </w:r>
    </w:p>
    <w:p>
      <w:pPr>
        <w:pStyle w:val="ListParagraph"/>
        <w:numPr>
          <w:ilvl w:val="0"/>
          <w:numId w:val="2"/>
        </w:numPr>
        <w:spacing w:after="40" w:before="40"/>
      </w:pPr>
      <w:r>
        <w:rPr>
          <w:rFonts w:ascii="Arial" w:cs="Arial" w:eastAsia="Arial" w:hAnsi="Arial"/>
          <w:color w:val="1A1A2E"/>
          <w:sz w:val="22"/>
          <w:szCs w:val="22"/>
        </w:rPr>
        <w:t xml:space="preserve">Phase 2: Launch the QVAULT Security Suite — an open-source toolkit helping other protocols assess and migrate their quantum vulnerability.</w:t>
      </w:r>
    </w:p>
    <w:p>
      <w:pPr>
        <w:pStyle w:val="ListParagraph"/>
        <w:numPr>
          <w:ilvl w:val="0"/>
          <w:numId w:val="2"/>
        </w:numPr>
        <w:spacing w:after="40" w:before="40"/>
      </w:pPr>
      <w:r>
        <w:rPr>
          <w:rFonts w:ascii="Arial" w:cs="Arial" w:eastAsia="Arial" w:hAnsi="Arial"/>
          <w:color w:val="1A1A2E"/>
          <w:sz w:val="22"/>
          <w:szCs w:val="22"/>
        </w:rPr>
        <w:t xml:space="preserve">Phase 3: Deploy a proprietary Layer 1 blockchain built from the ground up with NIST-approved post-quantum cryptography (CRYSTALS-Dilithium / SPHINCS+), governed by the QVAULT DAO.</w:t>
      </w:r>
    </w:p>
    <w:p>
      <w:pPr>
        <w:spacing w:before="120"/>
      </w:pPr>
    </w:p>
    <w:p>
      <w:pPr>
        <w:pStyle w:val="Heading2"/>
        <w:spacing w:after="120" w:before="320"/>
      </w:pPr>
      <w:r>
        <w:rPr>
          <w:rFonts w:ascii="Arial" w:cs="Arial" w:eastAsia="Arial" w:hAnsi="Arial"/>
          <w:b/>
          <w:bCs/>
          <w:color w:val="6C63FF"/>
          <w:sz w:val="28"/>
          <w:szCs w:val="28"/>
        </w:rPr>
        <w:t xml:space="preserve">3.2  Why Solana for Phase 1?</w:t>
      </w:r>
    </w:p>
    <w:p>
      <w:pPr>
        <w:spacing w:after="100" w:before="60"/>
        <w:jc w:val="both"/>
      </w:pPr>
      <w:r>
        <w:rPr>
          <w:rFonts w:ascii="Arial" w:cs="Arial" w:eastAsia="Arial" w:hAnsi="Arial"/>
          <w:b w:val="false"/>
          <w:bCs w:val="false"/>
          <w:i w:val="false"/>
          <w:iCs w:val="false"/>
          <w:color w:val="1A1A2E"/>
          <w:sz w:val="22"/>
          <w:szCs w:val="22"/>
        </w:rPr>
        <w:t xml:space="preserve">Solana offers the ideal launchpad: 4,000+ TPS, sub-cent transaction fees, and the most active retail crypto community outside of Ethereum. The upcoming Firedancer upgrade and native post-quantum key experimentation make Solana the natural bridge to a quantum-safe future.</w:t>
      </w:r>
    </w:p>
    <w:p>
      <w:pPr>
        <w:spacing w:before="80"/>
      </w:pPr>
    </w:p>
    <w:p>
      <w:pPr>
        <w:spacing w:before="240"/>
      </w:pPr>
    </w:p>
    <w:p>
      <w:pPr>
        <w:pBdr>
          <w:bottom w:val="single" w:color="6C63FF" w:sz="4" w:space="1"/>
        </w:pBdr>
        <w:spacing w:after="160" w:before="160"/>
      </w:pPr>
    </w:p>
    <w:p>
      <w:pPr>
        <w:pStyle w:val="Heading1"/>
        <w:spacing w:after="160" w:before="480"/>
      </w:pPr>
      <w:r>
        <w:rPr>
          <w:rFonts w:ascii="Arial" w:cs="Arial" w:eastAsia="Arial" w:hAnsi="Arial"/>
          <w:b/>
          <w:bCs/>
          <w:color w:val="1A1A2E"/>
          <w:sz w:val="36"/>
          <w:szCs w:val="36"/>
        </w:rPr>
        <w:t xml:space="preserve">4. Tokenomics</w:t>
      </w:r>
    </w:p>
    <w:p>
      <w:pPr>
        <w:pStyle w:val="Heading2"/>
        <w:spacing w:after="120" w:before="320"/>
      </w:pPr>
      <w:r>
        <w:rPr>
          <w:rFonts w:ascii="Arial" w:cs="Arial" w:eastAsia="Arial" w:hAnsi="Arial"/>
          <w:b/>
          <w:bCs/>
          <w:color w:val="6C63FF"/>
          <w:sz w:val="28"/>
          <w:szCs w:val="28"/>
        </w:rPr>
        <w:t xml:space="preserve">4.1  Supply Distribution</w:t>
      </w:r>
    </w:p>
    <w:p>
      <w:pPr>
        <w:spacing w:after="100" w:before="60"/>
        <w:jc w:val="both"/>
      </w:pPr>
      <w:r>
        <w:rPr>
          <w:rFonts w:ascii="Arial" w:cs="Arial" w:eastAsia="Arial" w:hAnsi="Arial"/>
          <w:b w:val="false"/>
          <w:bCs w:val="false"/>
          <w:i w:val="false"/>
          <w:iCs w:val="false"/>
          <w:color w:val="1A1A2E"/>
          <w:sz w:val="22"/>
          <w:szCs w:val="22"/>
        </w:rPr>
        <w:t xml:space="preserve">Total supply: 1,000,000,000 $QVLT — fixed, no additional minting.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D0D0E8" w:sz="1"/>
              <w:left w:val="single" w:color="D0D0E8" w:sz="1"/>
              <w:bottom w:val="single" w:color="D0D0E8" w:sz="1"/>
              <w:right w:val="single" w:color="D0D0E8"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Allocation</w:t>
            </w:r>
          </w:p>
        </w:tc>
        <w:tc>
          <w:tcPr>
            <w:tcW w:type="dxa" w:w="1800"/>
            <w:tcBorders>
              <w:top w:val="single" w:color="D0D0E8" w:sz="1"/>
              <w:left w:val="single" w:color="D0D0E8" w:sz="1"/>
              <w:bottom w:val="single" w:color="D0D0E8" w:sz="1"/>
              <w:right w:val="single" w:color="D0D0E8"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t>
            </w:r>
          </w:p>
        </w:tc>
        <w:tc>
          <w:tcPr>
            <w:tcW w:type="dxa" w:w="1800"/>
            <w:tcBorders>
              <w:top w:val="single" w:color="D0D0E8" w:sz="1"/>
              <w:left w:val="single" w:color="D0D0E8" w:sz="1"/>
              <w:bottom w:val="single" w:color="D0D0E8" w:sz="1"/>
              <w:right w:val="single" w:color="D0D0E8"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Tokens</w:t>
            </w:r>
          </w:p>
        </w:tc>
        <w:tc>
          <w:tcPr>
            <w:tcW w:type="dxa" w:w="2360"/>
            <w:tcBorders>
              <w:top w:val="single" w:color="D0D0E8" w:sz="1"/>
              <w:left w:val="single" w:color="D0D0E8" w:sz="1"/>
              <w:bottom w:val="single" w:color="D0D0E8" w:sz="1"/>
              <w:right w:val="single" w:color="D0D0E8"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Vesting</w:t>
            </w:r>
          </w:p>
        </w:tc>
      </w:tr>
      <w:tr>
        <w:tc>
          <w:tcPr>
            <w:tcW w:type="dxa" w:w="340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Public Fair Launch</w:t>
            </w:r>
          </w:p>
        </w:tc>
        <w:tc>
          <w:tcPr>
            <w:tcW w:type="dxa" w:w="180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40%</w:t>
            </w:r>
          </w:p>
        </w:tc>
        <w:tc>
          <w:tcPr>
            <w:tcW w:type="dxa" w:w="180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400,000,000</w:t>
            </w:r>
          </w:p>
        </w:tc>
        <w:tc>
          <w:tcPr>
            <w:tcW w:type="dxa" w:w="236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No lock</w:t>
            </w:r>
          </w:p>
        </w:tc>
      </w:tr>
      <w:tr>
        <w:tc>
          <w:tcPr>
            <w:tcW w:type="dxa" w:w="340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Community &amp; Ecosystem Rewards</w:t>
            </w:r>
          </w:p>
        </w:tc>
        <w:tc>
          <w:tcPr>
            <w:tcW w:type="dxa" w:w="180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25%</w:t>
            </w:r>
          </w:p>
        </w:tc>
        <w:tc>
          <w:tcPr>
            <w:tcW w:type="dxa" w:w="180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250,000,000</w:t>
            </w:r>
          </w:p>
        </w:tc>
        <w:tc>
          <w:tcPr>
            <w:tcW w:type="dxa" w:w="236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36-month linear vest</w:t>
            </w:r>
          </w:p>
        </w:tc>
      </w:tr>
      <w:tr>
        <w:tc>
          <w:tcPr>
            <w:tcW w:type="dxa" w:w="340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Treasury / DAO</w:t>
            </w:r>
          </w:p>
        </w:tc>
        <w:tc>
          <w:tcPr>
            <w:tcW w:type="dxa" w:w="180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15%</w:t>
            </w:r>
          </w:p>
        </w:tc>
        <w:tc>
          <w:tcPr>
            <w:tcW w:type="dxa" w:w="180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150,000,000</w:t>
            </w:r>
          </w:p>
        </w:tc>
        <w:tc>
          <w:tcPr>
            <w:tcW w:type="dxa" w:w="236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DAO governance controlled</w:t>
            </w:r>
          </w:p>
        </w:tc>
      </w:tr>
      <w:tr>
        <w:tc>
          <w:tcPr>
            <w:tcW w:type="dxa" w:w="340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Team &amp; Advisors</w:t>
            </w:r>
          </w:p>
        </w:tc>
        <w:tc>
          <w:tcPr>
            <w:tcW w:type="dxa" w:w="180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10%</w:t>
            </w:r>
          </w:p>
        </w:tc>
        <w:tc>
          <w:tcPr>
            <w:tcW w:type="dxa" w:w="180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100,000,000</w:t>
            </w:r>
          </w:p>
        </w:tc>
        <w:tc>
          <w:tcPr>
            <w:tcW w:type="dxa" w:w="236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12m cliff + 24m vest</w:t>
            </w:r>
          </w:p>
        </w:tc>
      </w:tr>
      <w:tr>
        <w:tc>
          <w:tcPr>
            <w:tcW w:type="dxa" w:w="340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Liquidity Provision</w:t>
            </w:r>
          </w:p>
        </w:tc>
        <w:tc>
          <w:tcPr>
            <w:tcW w:type="dxa" w:w="180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7%</w:t>
            </w:r>
          </w:p>
        </w:tc>
        <w:tc>
          <w:tcPr>
            <w:tcW w:type="dxa" w:w="180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70,000,000</w:t>
            </w:r>
          </w:p>
        </w:tc>
        <w:tc>
          <w:tcPr>
            <w:tcW w:type="dxa" w:w="236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Protocol-locked</w:t>
            </w:r>
          </w:p>
        </w:tc>
      </w:tr>
      <w:tr>
        <w:tc>
          <w:tcPr>
            <w:tcW w:type="dxa" w:w="340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Strategic Partners</w:t>
            </w:r>
          </w:p>
        </w:tc>
        <w:tc>
          <w:tcPr>
            <w:tcW w:type="dxa" w:w="180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3%</w:t>
            </w:r>
          </w:p>
        </w:tc>
        <w:tc>
          <w:tcPr>
            <w:tcW w:type="dxa" w:w="180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30,000,000</w:t>
            </w:r>
          </w:p>
        </w:tc>
        <w:tc>
          <w:tcPr>
            <w:tcW w:type="dxa" w:w="236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6m cliff + 18m vest</w:t>
            </w:r>
          </w:p>
        </w:tc>
      </w:tr>
    </w:tbl>
    <w:p>
      <w:pPr>
        <w:spacing w:before="120"/>
      </w:pPr>
    </w:p>
    <w:p>
      <w:pPr>
        <w:pStyle w:val="Heading2"/>
        <w:spacing w:after="120" w:before="320"/>
      </w:pPr>
      <w:r>
        <w:rPr>
          <w:rFonts w:ascii="Arial" w:cs="Arial" w:eastAsia="Arial" w:hAnsi="Arial"/>
          <w:b/>
          <w:bCs/>
          <w:color w:val="6C63FF"/>
          <w:sz w:val="28"/>
          <w:szCs w:val="28"/>
        </w:rPr>
        <w:t xml:space="preserve">4.2  Fee Mechanics (Tokenomics 2.0)</w:t>
      </w:r>
    </w:p>
    <w:p>
      <w:pPr>
        <w:spacing w:after="100" w:before="60"/>
        <w:jc w:val="both"/>
      </w:pPr>
      <w:r>
        <w:rPr>
          <w:rFonts w:ascii="Arial" w:cs="Arial" w:eastAsia="Arial" w:hAnsi="Arial"/>
          <w:b w:val="false"/>
          <w:bCs w:val="false"/>
          <w:i w:val="false"/>
          <w:iCs w:val="false"/>
          <w:color w:val="1A1A2E"/>
          <w:sz w:val="22"/>
          <w:szCs w:val="22"/>
        </w:rPr>
        <w:t xml:space="preserve">QVAULT implements a value-capture model directly linked to protocol usage:</w:t>
      </w:r>
    </w:p>
    <w:p>
      <w:pPr>
        <w:spacing w:before="80"/>
      </w:pPr>
    </w:p>
    <w:p>
      <w:pPr>
        <w:pStyle w:val="ListParagraph"/>
        <w:numPr>
          <w:ilvl w:val="0"/>
          <w:numId w:val="2"/>
        </w:numPr>
        <w:spacing w:after="40" w:before="40"/>
      </w:pPr>
      <w:r>
        <w:rPr>
          <w:rFonts w:ascii="Arial" w:cs="Arial" w:eastAsia="Arial" w:hAnsi="Arial"/>
          <w:color w:val="1A1A2E"/>
          <w:sz w:val="22"/>
          <w:szCs w:val="22"/>
        </w:rPr>
        <w:t xml:space="preserve">40% of protocol fees → distributed to $QVLT stakers (weekly epochs)</w:t>
      </w:r>
    </w:p>
    <w:p>
      <w:pPr>
        <w:pStyle w:val="ListParagraph"/>
        <w:numPr>
          <w:ilvl w:val="0"/>
          <w:numId w:val="2"/>
        </w:numPr>
        <w:spacing w:after="40" w:before="40"/>
      </w:pPr>
      <w:r>
        <w:rPr>
          <w:rFonts w:ascii="Arial" w:cs="Arial" w:eastAsia="Arial" w:hAnsi="Arial"/>
          <w:color w:val="1A1A2E"/>
          <w:sz w:val="22"/>
          <w:szCs w:val="22"/>
        </w:rPr>
        <w:t xml:space="preserve">20% of protocol fees → buyback and burn (deflationary pressure)</w:t>
      </w:r>
    </w:p>
    <w:p>
      <w:pPr>
        <w:pStyle w:val="ListParagraph"/>
        <w:numPr>
          <w:ilvl w:val="0"/>
          <w:numId w:val="2"/>
        </w:numPr>
        <w:spacing w:after="40" w:before="40"/>
      </w:pPr>
      <w:r>
        <w:rPr>
          <w:rFonts w:ascii="Arial" w:cs="Arial" w:eastAsia="Arial" w:hAnsi="Arial"/>
          <w:color w:val="1A1A2E"/>
          <w:sz w:val="22"/>
          <w:szCs w:val="22"/>
        </w:rPr>
        <w:t xml:space="preserve">25% of protocol fees → DAO treasury (funds development and grants)</w:t>
      </w:r>
    </w:p>
    <w:p>
      <w:pPr>
        <w:pStyle w:val="ListParagraph"/>
        <w:numPr>
          <w:ilvl w:val="0"/>
          <w:numId w:val="2"/>
        </w:numPr>
        <w:spacing w:after="40" w:before="40"/>
      </w:pPr>
      <w:r>
        <w:rPr>
          <w:rFonts w:ascii="Arial" w:cs="Arial" w:eastAsia="Arial" w:hAnsi="Arial"/>
          <w:color w:val="1A1A2E"/>
          <w:sz w:val="22"/>
          <w:szCs w:val="22"/>
        </w:rPr>
        <w:t xml:space="preserve">15% of protocol fees → ecosystem growth and marketing</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This model ensures that as the QVAULT ecosystem grows in usage, token holders benefit directly — aligning incentives between the protocol, the community, and the token.</w:t>
      </w:r>
    </w:p>
    <w:p>
      <w:pPr>
        <w:spacing w:before="120"/>
      </w:pPr>
    </w:p>
    <w:p>
      <w:pPr>
        <w:pStyle w:val="Heading2"/>
        <w:spacing w:after="120" w:before="320"/>
      </w:pPr>
      <w:r>
        <w:rPr>
          <w:rFonts w:ascii="Arial" w:cs="Arial" w:eastAsia="Arial" w:hAnsi="Arial"/>
          <w:b/>
          <w:bCs/>
          <w:color w:val="6C63FF"/>
          <w:sz w:val="28"/>
          <w:szCs w:val="28"/>
        </w:rPr>
        <w:t xml:space="preserve">4.3  Staking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E8" w:sz="1"/>
              <w:left w:val="single" w:color="D0D0E8" w:sz="1"/>
              <w:bottom w:val="single" w:color="D0D0E8" w:sz="1"/>
              <w:right w:val="single" w:color="D0D0E8"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Tier</w:t>
            </w:r>
          </w:p>
        </w:tc>
        <w:tc>
          <w:tcPr>
            <w:tcW w:type="dxa" w:w="2340"/>
            <w:tcBorders>
              <w:top w:val="single" w:color="D0D0E8" w:sz="1"/>
              <w:left w:val="single" w:color="D0D0E8" w:sz="1"/>
              <w:bottom w:val="single" w:color="D0D0E8" w:sz="1"/>
              <w:right w:val="single" w:color="D0D0E8"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Min. Stake</w:t>
            </w:r>
          </w:p>
        </w:tc>
        <w:tc>
          <w:tcPr>
            <w:tcW w:type="dxa" w:w="2340"/>
            <w:tcBorders>
              <w:top w:val="single" w:color="D0D0E8" w:sz="1"/>
              <w:left w:val="single" w:color="D0D0E8" w:sz="1"/>
              <w:bottom w:val="single" w:color="D0D0E8" w:sz="1"/>
              <w:right w:val="single" w:color="D0D0E8"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APY (est.)</w:t>
            </w:r>
          </w:p>
        </w:tc>
        <w:tc>
          <w:tcPr>
            <w:tcW w:type="dxa" w:w="2340"/>
            <w:tcBorders>
              <w:top w:val="single" w:color="D0D0E8" w:sz="1"/>
              <w:left w:val="single" w:color="D0D0E8" w:sz="1"/>
              <w:bottom w:val="single" w:color="D0D0E8" w:sz="1"/>
              <w:right w:val="single" w:color="D0D0E8"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Perks</w:t>
            </w:r>
          </w:p>
        </w:tc>
      </w:tr>
      <w:tr>
        <w:tc>
          <w:tcPr>
            <w:tcW w:type="dxa" w:w="23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Electron</w:t>
            </w:r>
          </w:p>
        </w:tc>
        <w:tc>
          <w:tcPr>
            <w:tcW w:type="dxa" w:w="23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10,000 QVLT</w:t>
            </w:r>
          </w:p>
        </w:tc>
        <w:tc>
          <w:tcPr>
            <w:tcW w:type="dxa" w:w="23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8–12%</w:t>
            </w:r>
          </w:p>
        </w:tc>
        <w:tc>
          <w:tcPr>
            <w:tcW w:type="dxa" w:w="23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Fee share + governance</w:t>
            </w:r>
          </w:p>
        </w:tc>
      </w:tr>
      <w:tr>
        <w:tc>
          <w:tcPr>
            <w:tcW w:type="dxa" w:w="234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Photon</w:t>
            </w:r>
          </w:p>
        </w:tc>
        <w:tc>
          <w:tcPr>
            <w:tcW w:type="dxa" w:w="234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50,000 QVLT</w:t>
            </w:r>
          </w:p>
        </w:tc>
        <w:tc>
          <w:tcPr>
            <w:tcW w:type="dxa" w:w="234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14–20%</w:t>
            </w:r>
          </w:p>
        </w:tc>
        <w:tc>
          <w:tcPr>
            <w:tcW w:type="dxa" w:w="2340"/>
            <w:tcBorders>
              <w:top w:val="single" w:color="D0D0E8" w:sz="1"/>
              <w:left w:val="single" w:color="D0D0E8" w:sz="1"/>
              <w:bottom w:val="single" w:color="D0D0E8" w:sz="1"/>
              <w:right w:val="single" w:color="D0D0E8" w:sz="1"/>
            </w:tcBorders>
            <w:shd w:fill="F4F4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 Early access</w:t>
            </w:r>
          </w:p>
        </w:tc>
      </w:tr>
      <w:tr>
        <w:tc>
          <w:tcPr>
            <w:tcW w:type="dxa" w:w="23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Qubit</w:t>
            </w:r>
          </w:p>
        </w:tc>
        <w:tc>
          <w:tcPr>
            <w:tcW w:type="dxa" w:w="23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250,000 QVLT</w:t>
            </w:r>
          </w:p>
        </w:tc>
        <w:tc>
          <w:tcPr>
            <w:tcW w:type="dxa" w:w="23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22–30%</w:t>
            </w:r>
          </w:p>
        </w:tc>
        <w:tc>
          <w:tcPr>
            <w:tcW w:type="dxa" w:w="2340"/>
            <w:tcBorders>
              <w:top w:val="single" w:color="D0D0E8" w:sz="1"/>
              <w:left w:val="single" w:color="D0D0E8" w:sz="1"/>
              <w:bottom w:val="single" w:color="D0D0E8" w:sz="1"/>
              <w:right w:val="single" w:color="D0D0E8"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A1A2E"/>
                <w:sz w:val="22"/>
                <w:szCs w:val="22"/>
              </w:rPr>
              <w:t xml:space="preserve">+ DAO council seat</w:t>
            </w:r>
          </w:p>
        </w:tc>
      </w:tr>
    </w:tbl>
    <w:p>
      <w:pPr>
        <w:spacing w:before="80"/>
      </w:pPr>
    </w:p>
    <w:p>
      <w:pPr>
        <w:spacing w:before="240"/>
      </w:pPr>
    </w:p>
    <w:p>
      <w:pPr>
        <w:pBdr>
          <w:bottom w:val="single" w:color="6C63FF" w:sz="4" w:space="1"/>
        </w:pBdr>
        <w:spacing w:after="160" w:before="160"/>
      </w:pPr>
    </w:p>
    <w:p>
      <w:pPr>
        <w:pStyle w:val="Heading1"/>
        <w:spacing w:after="160" w:before="480"/>
      </w:pPr>
      <w:r>
        <w:rPr>
          <w:rFonts w:ascii="Arial" w:cs="Arial" w:eastAsia="Arial" w:hAnsi="Arial"/>
          <w:b/>
          <w:bCs/>
          <w:color w:val="1A1A2E"/>
          <w:sz w:val="36"/>
          <w:szCs w:val="36"/>
        </w:rPr>
        <w:t xml:space="preserve">5. Roadmap</w:t>
      </w:r>
    </w:p>
    <w:p>
      <w:pPr>
        <w:pStyle w:val="Heading2"/>
        <w:spacing w:after="120" w:before="320"/>
      </w:pPr>
      <w:r>
        <w:rPr>
          <w:rFonts w:ascii="Arial" w:cs="Arial" w:eastAsia="Arial" w:hAnsi="Arial"/>
          <w:b/>
          <w:bCs/>
          <w:color w:val="6C63FF"/>
          <w:sz w:val="28"/>
          <w:szCs w:val="28"/>
        </w:rPr>
        <w:t xml:space="preserve">Phase 1 — Launch &amp; Community (Q3 2026)</w:t>
      </w:r>
    </w:p>
    <w:p>
      <w:pPr>
        <w:pStyle w:val="ListParagraph"/>
        <w:numPr>
          <w:ilvl w:val="0"/>
          <w:numId w:val="2"/>
        </w:numPr>
        <w:spacing w:after="40" w:before="40"/>
      </w:pPr>
      <w:r>
        <w:rPr>
          <w:rFonts w:ascii="Arial" w:cs="Arial" w:eastAsia="Arial" w:hAnsi="Arial"/>
          <w:color w:val="1A1A2E"/>
          <w:sz w:val="22"/>
          <w:szCs w:val="22"/>
        </w:rPr>
        <w:t xml:space="preserve">Fair launch of $QVLT on Solana via Raydium</w:t>
      </w:r>
    </w:p>
    <w:p>
      <w:pPr>
        <w:pStyle w:val="ListParagraph"/>
        <w:numPr>
          <w:ilvl w:val="0"/>
          <w:numId w:val="2"/>
        </w:numPr>
        <w:spacing w:after="40" w:before="40"/>
      </w:pPr>
      <w:r>
        <w:rPr>
          <w:rFonts w:ascii="Arial" w:cs="Arial" w:eastAsia="Arial" w:hAnsi="Arial"/>
          <w:color w:val="1A1A2E"/>
          <w:sz w:val="22"/>
          <w:szCs w:val="22"/>
        </w:rPr>
        <w:t xml:space="preserve">QVAULT community launch: Discord, Telegram, X (Twitter)</w:t>
      </w:r>
    </w:p>
    <w:p>
      <w:pPr>
        <w:pStyle w:val="ListParagraph"/>
        <w:numPr>
          <w:ilvl w:val="0"/>
          <w:numId w:val="2"/>
        </w:numPr>
        <w:spacing w:after="40" w:before="40"/>
      </w:pPr>
      <w:r>
        <w:rPr>
          <w:rFonts w:ascii="Arial" w:cs="Arial" w:eastAsia="Arial" w:hAnsi="Arial"/>
          <w:color w:val="1A1A2E"/>
          <w:sz w:val="22"/>
          <w:szCs w:val="22"/>
        </w:rPr>
        <w:t xml:space="preserve">Staking platform live (Electron &amp; Photon tiers)</w:t>
      </w:r>
    </w:p>
    <w:p>
      <w:pPr>
        <w:pStyle w:val="ListParagraph"/>
        <w:numPr>
          <w:ilvl w:val="0"/>
          <w:numId w:val="2"/>
        </w:numPr>
        <w:spacing w:after="40" w:before="40"/>
      </w:pPr>
      <w:r>
        <w:rPr>
          <w:rFonts w:ascii="Arial" w:cs="Arial" w:eastAsia="Arial" w:hAnsi="Arial"/>
          <w:color w:val="1A1A2E"/>
          <w:sz w:val="22"/>
          <w:szCs w:val="22"/>
        </w:rPr>
        <w:t xml:space="preserve">QVAULT Security Awareness Campaign — educating the market on quantum risk</w:t>
      </w:r>
    </w:p>
    <w:p>
      <w:pPr>
        <w:pStyle w:val="ListParagraph"/>
        <w:numPr>
          <w:ilvl w:val="0"/>
          <w:numId w:val="2"/>
        </w:numPr>
        <w:spacing w:after="40" w:before="40"/>
      </w:pPr>
      <w:r>
        <w:rPr>
          <w:rFonts w:ascii="Arial" w:cs="Arial" w:eastAsia="Arial" w:hAnsi="Arial"/>
          <w:color w:val="1A1A2E"/>
          <w:sz w:val="22"/>
          <w:szCs w:val="22"/>
        </w:rPr>
        <w:t xml:space="preserve">First DAO governance vote</w:t>
      </w:r>
    </w:p>
    <w:p>
      <w:pPr>
        <w:spacing w:before="80"/>
      </w:pPr>
    </w:p>
    <w:p>
      <w:pPr>
        <w:pStyle w:val="Heading2"/>
        <w:spacing w:after="120" w:before="320"/>
      </w:pPr>
      <w:r>
        <w:rPr>
          <w:rFonts w:ascii="Arial" w:cs="Arial" w:eastAsia="Arial" w:hAnsi="Arial"/>
          <w:b/>
          <w:bCs/>
          <w:color w:val="6C63FF"/>
          <w:sz w:val="28"/>
          <w:szCs w:val="28"/>
        </w:rPr>
        <w:t xml:space="preserve">Phase 2 — DeFi Expansion (Q4 2026 – Q1 2027)</w:t>
      </w:r>
    </w:p>
    <w:p>
      <w:pPr>
        <w:pStyle w:val="ListParagraph"/>
        <w:numPr>
          <w:ilvl w:val="0"/>
          <w:numId w:val="2"/>
        </w:numPr>
        <w:spacing w:after="40" w:before="40"/>
      </w:pPr>
      <w:r>
        <w:rPr>
          <w:rFonts w:ascii="Arial" w:cs="Arial" w:eastAsia="Arial" w:hAnsi="Arial"/>
          <w:color w:val="1A1A2E"/>
          <w:sz w:val="22"/>
          <w:szCs w:val="22"/>
        </w:rPr>
        <w:t xml:space="preserve">QVAULT Security Suite v1.0 — open-source quantum vulnerability auditing toolkit</w:t>
      </w:r>
    </w:p>
    <w:p>
      <w:pPr>
        <w:pStyle w:val="ListParagraph"/>
        <w:numPr>
          <w:ilvl w:val="0"/>
          <w:numId w:val="2"/>
        </w:numPr>
        <w:spacing w:after="40" w:before="40"/>
      </w:pPr>
      <w:r>
        <w:rPr>
          <w:rFonts w:ascii="Arial" w:cs="Arial" w:eastAsia="Arial" w:hAnsi="Arial"/>
          <w:color w:val="1A1A2E"/>
          <w:sz w:val="22"/>
          <w:szCs w:val="22"/>
        </w:rPr>
        <w:t xml:space="preserve">CEX listings (targeting Tier 2 exchanges)</w:t>
      </w:r>
    </w:p>
    <w:p>
      <w:pPr>
        <w:pStyle w:val="ListParagraph"/>
        <w:numPr>
          <w:ilvl w:val="0"/>
          <w:numId w:val="2"/>
        </w:numPr>
        <w:spacing w:after="40" w:before="40"/>
      </w:pPr>
      <w:r>
        <w:rPr>
          <w:rFonts w:ascii="Arial" w:cs="Arial" w:eastAsia="Arial" w:hAnsi="Arial"/>
          <w:color w:val="1A1A2E"/>
          <w:sz w:val="22"/>
          <w:szCs w:val="22"/>
        </w:rPr>
        <w:t xml:space="preserve">Launch of QVAULT Grants Program for quantum-resistant Web3 projects</w:t>
      </w:r>
    </w:p>
    <w:p>
      <w:pPr>
        <w:pStyle w:val="ListParagraph"/>
        <w:numPr>
          <w:ilvl w:val="0"/>
          <w:numId w:val="2"/>
        </w:numPr>
        <w:spacing w:after="40" w:before="40"/>
      </w:pPr>
      <w:r>
        <w:rPr>
          <w:rFonts w:ascii="Arial" w:cs="Arial" w:eastAsia="Arial" w:hAnsi="Arial"/>
          <w:color w:val="1A1A2E"/>
          <w:sz w:val="22"/>
          <w:szCs w:val="22"/>
        </w:rPr>
        <w:t xml:space="preserve">Qubit tier activation</w:t>
      </w:r>
    </w:p>
    <w:p>
      <w:pPr>
        <w:pStyle w:val="ListParagraph"/>
        <w:numPr>
          <w:ilvl w:val="0"/>
          <w:numId w:val="2"/>
        </w:numPr>
        <w:spacing w:after="40" w:before="40"/>
      </w:pPr>
      <w:r>
        <w:rPr>
          <w:rFonts w:ascii="Arial" w:cs="Arial" w:eastAsia="Arial" w:hAnsi="Arial"/>
          <w:color w:val="1A1A2E"/>
          <w:sz w:val="22"/>
          <w:szCs w:val="22"/>
        </w:rPr>
        <w:t xml:space="preserve">Strategic partnerships with post-quantum cryptography research institutions</w:t>
      </w:r>
    </w:p>
    <w:p>
      <w:pPr>
        <w:spacing w:before="80"/>
      </w:pPr>
    </w:p>
    <w:p>
      <w:pPr>
        <w:pStyle w:val="Heading2"/>
        <w:spacing w:after="120" w:before="320"/>
      </w:pPr>
      <w:r>
        <w:rPr>
          <w:rFonts w:ascii="Arial" w:cs="Arial" w:eastAsia="Arial" w:hAnsi="Arial"/>
          <w:b/>
          <w:bCs/>
          <w:color w:val="6C63FF"/>
          <w:sz w:val="28"/>
          <w:szCs w:val="28"/>
        </w:rPr>
        <w:t xml:space="preserve">Phase 3 — Proprietary L1 (2027–2028)</w:t>
      </w:r>
    </w:p>
    <w:p>
      <w:pPr>
        <w:pStyle w:val="ListParagraph"/>
        <w:numPr>
          <w:ilvl w:val="0"/>
          <w:numId w:val="2"/>
        </w:numPr>
        <w:spacing w:after="40" w:before="40"/>
      </w:pPr>
      <w:r>
        <w:rPr>
          <w:rFonts w:ascii="Arial" w:cs="Arial" w:eastAsia="Arial" w:hAnsi="Arial"/>
          <w:color w:val="1A1A2E"/>
          <w:sz w:val="22"/>
          <w:szCs w:val="22"/>
        </w:rPr>
        <w:t xml:space="preserve">Testnet launch of QVAULT Chain — built with NIST-approved CRYSTALS-Dilithium signatures</w:t>
      </w:r>
    </w:p>
    <w:p>
      <w:pPr>
        <w:pStyle w:val="ListParagraph"/>
        <w:numPr>
          <w:ilvl w:val="0"/>
          <w:numId w:val="2"/>
        </w:numPr>
        <w:spacing w:after="40" w:before="40"/>
      </w:pPr>
      <w:r>
        <w:rPr>
          <w:rFonts w:ascii="Arial" w:cs="Arial" w:eastAsia="Arial" w:hAnsi="Arial"/>
          <w:color w:val="1A1A2E"/>
          <w:sz w:val="22"/>
          <w:szCs w:val="22"/>
        </w:rPr>
        <w:t xml:space="preserve">EVM-compatible smart contracts with post-quantum security</w:t>
      </w:r>
    </w:p>
    <w:p>
      <w:pPr>
        <w:pStyle w:val="ListParagraph"/>
        <w:numPr>
          <w:ilvl w:val="0"/>
          <w:numId w:val="2"/>
        </w:numPr>
        <w:spacing w:after="40" w:before="40"/>
      </w:pPr>
      <w:r>
        <w:rPr>
          <w:rFonts w:ascii="Arial" w:cs="Arial" w:eastAsia="Arial" w:hAnsi="Arial"/>
          <w:color w:val="1A1A2E"/>
          <w:sz w:val="22"/>
          <w:szCs w:val="22"/>
        </w:rPr>
        <w:t xml:space="preserve">$QVLT migration bridge from Solana to QVAULT Chain</w:t>
      </w:r>
    </w:p>
    <w:p>
      <w:pPr>
        <w:pStyle w:val="ListParagraph"/>
        <w:numPr>
          <w:ilvl w:val="0"/>
          <w:numId w:val="2"/>
        </w:numPr>
        <w:spacing w:after="40" w:before="40"/>
      </w:pPr>
      <w:r>
        <w:rPr>
          <w:rFonts w:ascii="Arial" w:cs="Arial" w:eastAsia="Arial" w:hAnsi="Arial"/>
          <w:color w:val="1A1A2E"/>
          <w:sz w:val="22"/>
          <w:szCs w:val="22"/>
        </w:rPr>
        <w:t xml:space="preserve">Mainnet launch — governed entirely by the QVAULT DAO</w:t>
      </w:r>
    </w:p>
    <w:p>
      <w:pPr>
        <w:pStyle w:val="ListParagraph"/>
        <w:numPr>
          <w:ilvl w:val="0"/>
          <w:numId w:val="2"/>
        </w:numPr>
        <w:spacing w:after="40" w:before="40"/>
      </w:pPr>
      <w:r>
        <w:rPr>
          <w:rFonts w:ascii="Arial" w:cs="Arial" w:eastAsia="Arial" w:hAnsi="Arial"/>
          <w:color w:val="1A1A2E"/>
          <w:sz w:val="22"/>
          <w:szCs w:val="22"/>
        </w:rPr>
        <w:t xml:space="preserve">QVAULT Chain opens to third-party dApp deployment</w:t>
      </w:r>
    </w:p>
    <w:p>
      <w:pPr>
        <w:spacing w:before="80"/>
      </w:pPr>
    </w:p>
    <w:p>
      <w:pPr>
        <w:spacing w:before="240"/>
      </w:pPr>
    </w:p>
    <w:p>
      <w:pPr>
        <w:pBdr>
          <w:bottom w:val="single" w:color="6C63FF" w:sz="4" w:space="1"/>
        </w:pBdr>
        <w:spacing w:after="160" w:before="160"/>
      </w:pPr>
    </w:p>
    <w:p>
      <w:pPr>
        <w:pStyle w:val="Heading1"/>
        <w:spacing w:after="160" w:before="480"/>
      </w:pPr>
      <w:r>
        <w:rPr>
          <w:rFonts w:ascii="Arial" w:cs="Arial" w:eastAsia="Arial" w:hAnsi="Arial"/>
          <w:b/>
          <w:bCs/>
          <w:color w:val="1A1A2E"/>
          <w:sz w:val="36"/>
          <w:szCs w:val="36"/>
        </w:rPr>
        <w:t xml:space="preserve">6. Community Strategy</w:t>
      </w:r>
    </w:p>
    <w:p>
      <w:pPr>
        <w:pStyle w:val="Heading2"/>
        <w:spacing w:after="120" w:before="320"/>
      </w:pPr>
      <w:r>
        <w:rPr>
          <w:rFonts w:ascii="Arial" w:cs="Arial" w:eastAsia="Arial" w:hAnsi="Arial"/>
          <w:b/>
          <w:bCs/>
          <w:color w:val="6C63FF"/>
          <w:sz w:val="28"/>
          <w:szCs w:val="28"/>
        </w:rPr>
        <w:t xml:space="preserve">6.1  Community-First Philosophy</w:t>
      </w:r>
    </w:p>
    <w:p>
      <w:pPr>
        <w:spacing w:after="100" w:before="60"/>
        <w:jc w:val="both"/>
      </w:pPr>
      <w:r>
        <w:rPr>
          <w:rFonts w:ascii="Arial" w:cs="Arial" w:eastAsia="Arial" w:hAnsi="Arial"/>
          <w:b w:val="false"/>
          <w:bCs w:val="false"/>
          <w:i w:val="false"/>
          <w:iCs w:val="false"/>
          <w:color w:val="1A1A2E"/>
          <w:sz w:val="22"/>
          <w:szCs w:val="22"/>
        </w:rPr>
        <w:t xml:space="preserve">QVAULT is not a project that happens to have a community — it is a community that happens to have a protocol. Every design decision prioritizes long-term holder alignment over short-term speculation.</w:t>
      </w:r>
    </w:p>
    <w:p>
      <w:pPr>
        <w:spacing w:before="80"/>
      </w:pPr>
    </w:p>
    <w:p>
      <w:pPr>
        <w:pStyle w:val="Heading2"/>
        <w:spacing w:after="120" w:before="320"/>
      </w:pPr>
      <w:r>
        <w:rPr>
          <w:rFonts w:ascii="Arial" w:cs="Arial" w:eastAsia="Arial" w:hAnsi="Arial"/>
          <w:b/>
          <w:bCs/>
          <w:color w:val="6C63FF"/>
          <w:sz w:val="28"/>
          <w:szCs w:val="28"/>
        </w:rPr>
        <w:t xml:space="preserve">6.2  Growth Mechanics</w:t>
      </w:r>
    </w:p>
    <w:p>
      <w:pPr>
        <w:pStyle w:val="ListParagraph"/>
        <w:numPr>
          <w:ilvl w:val="0"/>
          <w:numId w:val="2"/>
        </w:numPr>
        <w:spacing w:after="40" w:before="40"/>
      </w:pPr>
      <w:r>
        <w:rPr>
          <w:rFonts w:ascii="Arial" w:cs="Arial" w:eastAsia="Arial" w:hAnsi="Arial"/>
          <w:color w:val="1A1A2E"/>
          <w:sz w:val="22"/>
          <w:szCs w:val="22"/>
        </w:rPr>
        <w:t xml:space="preserve">Ambassador Program: rewarding early community leaders who grow the QVAULT movement</w:t>
      </w:r>
    </w:p>
    <w:p>
      <w:pPr>
        <w:pStyle w:val="ListParagraph"/>
        <w:numPr>
          <w:ilvl w:val="0"/>
          <w:numId w:val="2"/>
        </w:numPr>
        <w:spacing w:after="40" w:before="40"/>
      </w:pPr>
      <w:r>
        <w:rPr>
          <w:rFonts w:ascii="Arial" w:cs="Arial" w:eastAsia="Arial" w:hAnsi="Arial"/>
          <w:color w:val="1A1A2E"/>
          <w:sz w:val="22"/>
          <w:szCs w:val="22"/>
        </w:rPr>
        <w:t xml:space="preserve">Referral incentives: token rewards for bringing verified new community members</w:t>
      </w:r>
    </w:p>
    <w:p>
      <w:pPr>
        <w:pStyle w:val="ListParagraph"/>
        <w:numPr>
          <w:ilvl w:val="0"/>
          <w:numId w:val="2"/>
        </w:numPr>
        <w:spacing w:after="40" w:before="40"/>
      </w:pPr>
      <w:r>
        <w:rPr>
          <w:rFonts w:ascii="Arial" w:cs="Arial" w:eastAsia="Arial" w:hAnsi="Arial"/>
          <w:color w:val="1A1A2E"/>
          <w:sz w:val="22"/>
          <w:szCs w:val="22"/>
        </w:rPr>
        <w:t xml:space="preserve">Content bounties: rewarding high-quality educational content about quantum security and $QVLT</w:t>
      </w:r>
    </w:p>
    <w:p>
      <w:pPr>
        <w:pStyle w:val="ListParagraph"/>
        <w:numPr>
          <w:ilvl w:val="0"/>
          <w:numId w:val="2"/>
        </w:numPr>
        <w:spacing w:after="40" w:before="40"/>
      </w:pPr>
      <w:r>
        <w:rPr>
          <w:rFonts w:ascii="Arial" w:cs="Arial" w:eastAsia="Arial" w:hAnsi="Arial"/>
          <w:color w:val="1A1A2E"/>
          <w:sz w:val="22"/>
          <w:szCs w:val="22"/>
        </w:rPr>
        <w:t xml:space="preserve">Meme culture: embracing the viral power of crypto community culture while maintaining credibility</w:t>
      </w:r>
    </w:p>
    <w:p>
      <w:pPr>
        <w:spacing w:before="80"/>
      </w:pPr>
    </w:p>
    <w:p>
      <w:pPr>
        <w:pStyle w:val="Heading2"/>
        <w:spacing w:after="120" w:before="320"/>
      </w:pPr>
      <w:r>
        <w:rPr>
          <w:rFonts w:ascii="Arial" w:cs="Arial" w:eastAsia="Arial" w:hAnsi="Arial"/>
          <w:b/>
          <w:bCs/>
          <w:color w:val="6C63FF"/>
          <w:sz w:val="28"/>
          <w:szCs w:val="28"/>
        </w:rPr>
        <w:t xml:space="preserve">6.3  Education as Moat</w:t>
      </w:r>
    </w:p>
    <w:p>
      <w:pPr>
        <w:spacing w:after="100" w:before="60"/>
        <w:jc w:val="both"/>
      </w:pPr>
      <w:r>
        <w:rPr>
          <w:rFonts w:ascii="Arial" w:cs="Arial" w:eastAsia="Arial" w:hAnsi="Arial"/>
          <w:b w:val="false"/>
          <w:bCs w:val="false"/>
          <w:i w:val="false"/>
          <w:iCs w:val="false"/>
          <w:color w:val="1A1A2E"/>
          <w:sz w:val="22"/>
          <w:szCs w:val="22"/>
        </w:rPr>
        <w:t xml:space="preserve">The quantum threat is complex and misunderstood. QVAULT positions itself as the premier educational resource in this space — making the community smarter and more loyal. Informed holders become evangelists. Evangelists build movements.</w:t>
      </w:r>
    </w:p>
    <w:p>
      <w:pPr>
        <w:spacing w:before="80"/>
      </w:pPr>
    </w:p>
    <w:p>
      <w:pPr>
        <w:pStyle w:val="ListParagraph"/>
        <w:numPr>
          <w:ilvl w:val="0"/>
          <w:numId w:val="2"/>
        </w:numPr>
        <w:spacing w:after="40" w:before="40"/>
      </w:pPr>
      <w:r>
        <w:rPr>
          <w:rFonts w:ascii="Arial" w:cs="Arial" w:eastAsia="Arial" w:hAnsi="Arial"/>
          <w:color w:val="1A1A2E"/>
          <w:sz w:val="22"/>
          <w:szCs w:val="22"/>
        </w:rPr>
        <w:t xml:space="preserve">Weekly QVAULT Security Briefings — accessible summaries of quantum computing news</w:t>
      </w:r>
    </w:p>
    <w:p>
      <w:pPr>
        <w:pStyle w:val="ListParagraph"/>
        <w:numPr>
          <w:ilvl w:val="0"/>
          <w:numId w:val="2"/>
        </w:numPr>
        <w:spacing w:after="40" w:before="40"/>
      </w:pPr>
      <w:r>
        <w:rPr>
          <w:rFonts w:ascii="Arial" w:cs="Arial" w:eastAsia="Arial" w:hAnsi="Arial"/>
          <w:color w:val="1A1A2E"/>
          <w:sz w:val="22"/>
          <w:szCs w:val="22"/>
        </w:rPr>
        <w:t xml:space="preserve">QVAULT Academy — free courses on post-quantum cryptography for non-technical audiences</w:t>
      </w:r>
    </w:p>
    <w:p>
      <w:pPr>
        <w:pStyle w:val="ListParagraph"/>
        <w:numPr>
          <w:ilvl w:val="0"/>
          <w:numId w:val="2"/>
        </w:numPr>
        <w:spacing w:after="40" w:before="40"/>
      </w:pPr>
      <w:r>
        <w:rPr>
          <w:rFonts w:ascii="Arial" w:cs="Arial" w:eastAsia="Arial" w:hAnsi="Arial"/>
          <w:color w:val="1A1A2E"/>
          <w:sz w:val="22"/>
          <w:szCs w:val="22"/>
        </w:rPr>
        <w:t xml:space="preserve">Monthly Twitter/X Spaces with quantum computing researchers and crypto security experts</w:t>
      </w:r>
    </w:p>
    <w:p>
      <w:pPr>
        <w:spacing w:before="80"/>
      </w:pPr>
    </w:p>
    <w:p>
      <w:pPr>
        <w:spacing w:before="240"/>
      </w:pPr>
    </w:p>
    <w:p>
      <w:pPr>
        <w:pBdr>
          <w:bottom w:val="single" w:color="6C63FF" w:sz="4" w:space="1"/>
        </w:pBdr>
        <w:spacing w:after="160" w:before="160"/>
      </w:pPr>
    </w:p>
    <w:p>
      <w:pPr>
        <w:pStyle w:val="Heading1"/>
        <w:spacing w:after="160" w:before="480"/>
      </w:pPr>
      <w:r>
        <w:rPr>
          <w:rFonts w:ascii="Arial" w:cs="Arial" w:eastAsia="Arial" w:hAnsi="Arial"/>
          <w:b/>
          <w:bCs/>
          <w:color w:val="1A1A2E"/>
          <w:sz w:val="36"/>
          <w:szCs w:val="36"/>
        </w:rPr>
        <w:t xml:space="preserve">7. Risk Factors</w:t>
      </w:r>
    </w:p>
    <w:p>
      <w:pPr>
        <w:spacing w:after="100" w:before="60"/>
        <w:jc w:val="both"/>
      </w:pPr>
      <w:r>
        <w:rPr>
          <w:rFonts w:ascii="Arial" w:cs="Arial" w:eastAsia="Arial" w:hAnsi="Arial"/>
          <w:b w:val="false"/>
          <w:bCs w:val="false"/>
          <w:i w:val="false"/>
          <w:iCs w:val="false"/>
          <w:color w:val="1A1A2E"/>
          <w:sz w:val="22"/>
          <w:szCs w:val="22"/>
        </w:rPr>
        <w:t xml:space="preserve">Investing in $QVLT involves significant risks. Prospective participants should carefully consider the following:</w:t>
      </w:r>
    </w:p>
    <w:p>
      <w:pPr>
        <w:spacing w:before="80"/>
      </w:pPr>
    </w:p>
    <w:p>
      <w:pPr>
        <w:pStyle w:val="ListParagraph"/>
        <w:numPr>
          <w:ilvl w:val="0"/>
          <w:numId w:val="2"/>
        </w:numPr>
        <w:spacing w:after="40" w:before="40"/>
      </w:pPr>
      <w:r>
        <w:rPr>
          <w:rFonts w:ascii="Arial" w:cs="Arial" w:eastAsia="Arial" w:hAnsi="Arial"/>
          <w:color w:val="1A1A2E"/>
          <w:sz w:val="22"/>
          <w:szCs w:val="22"/>
        </w:rPr>
        <w:t xml:space="preserve">Market risk: Cryptocurrency markets are highly volatile. The value of $QVLT may decrease substantially.</w:t>
      </w:r>
    </w:p>
    <w:p>
      <w:pPr>
        <w:pStyle w:val="ListParagraph"/>
        <w:numPr>
          <w:ilvl w:val="0"/>
          <w:numId w:val="2"/>
        </w:numPr>
        <w:spacing w:after="40" w:before="40"/>
      </w:pPr>
      <w:r>
        <w:rPr>
          <w:rFonts w:ascii="Arial" w:cs="Arial" w:eastAsia="Arial" w:hAnsi="Arial"/>
          <w:color w:val="1A1A2E"/>
          <w:sz w:val="22"/>
          <w:szCs w:val="22"/>
        </w:rPr>
        <w:t xml:space="preserve">Regulatory risk: Evolving crypto regulations globally may impact the project's operations or token utility.</w:t>
      </w:r>
    </w:p>
    <w:p>
      <w:pPr>
        <w:pStyle w:val="ListParagraph"/>
        <w:numPr>
          <w:ilvl w:val="0"/>
          <w:numId w:val="2"/>
        </w:numPr>
        <w:spacing w:after="40" w:before="40"/>
      </w:pPr>
      <w:r>
        <w:rPr>
          <w:rFonts w:ascii="Arial" w:cs="Arial" w:eastAsia="Arial" w:hAnsi="Arial"/>
          <w:color w:val="1A1A2E"/>
          <w:sz w:val="22"/>
          <w:szCs w:val="22"/>
        </w:rPr>
        <w:t xml:space="preserve">Technology risk: Post-quantum cryptography is an evolving field. Standards may change. Building a proprietary L1 blockchain is technically complex and resource-intensive.</w:t>
      </w:r>
    </w:p>
    <w:p>
      <w:pPr>
        <w:pStyle w:val="ListParagraph"/>
        <w:numPr>
          <w:ilvl w:val="0"/>
          <w:numId w:val="2"/>
        </w:numPr>
        <w:spacing w:after="40" w:before="40"/>
      </w:pPr>
      <w:r>
        <w:rPr>
          <w:rFonts w:ascii="Arial" w:cs="Arial" w:eastAsia="Arial" w:hAnsi="Arial"/>
          <w:color w:val="1A1A2E"/>
          <w:sz w:val="22"/>
          <w:szCs w:val="22"/>
        </w:rPr>
        <w:t xml:space="preserve">Execution risk: Roadmap timelines are estimates and subject to change based on technical, market, and regulatory conditions.</w:t>
      </w:r>
    </w:p>
    <w:p>
      <w:pPr>
        <w:pStyle w:val="ListParagraph"/>
        <w:numPr>
          <w:ilvl w:val="0"/>
          <w:numId w:val="2"/>
        </w:numPr>
        <w:spacing w:after="40" w:before="40"/>
      </w:pPr>
      <w:r>
        <w:rPr>
          <w:rFonts w:ascii="Arial" w:cs="Arial" w:eastAsia="Arial" w:hAnsi="Arial"/>
          <w:color w:val="1A1A2E"/>
          <w:sz w:val="22"/>
          <w:szCs w:val="22"/>
        </w:rPr>
        <w:t xml:space="preserve">Competition risk: Other projects may develop similar products or capture the quantum-security narrative.</w:t>
      </w:r>
    </w:p>
    <w:p>
      <w:pPr>
        <w:pStyle w:val="ListParagraph"/>
        <w:numPr>
          <w:ilvl w:val="0"/>
          <w:numId w:val="2"/>
        </w:numPr>
        <w:spacing w:after="40" w:before="40"/>
      </w:pPr>
      <w:r>
        <w:rPr>
          <w:rFonts w:ascii="Arial" w:cs="Arial" w:eastAsia="Arial" w:hAnsi="Arial"/>
          <w:color w:val="1A1A2E"/>
          <w:sz w:val="22"/>
          <w:szCs w:val="22"/>
        </w:rPr>
        <w:t xml:space="preserve">Smart contract risk: Despite audits, smart contracts may contain vulnerabilities. All code will be open-sourced and audited by reputable third parties before deployment.</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QVAULT commits to transparency: regular community updates, open-source code, and public treasury reporting.</w:t>
      </w:r>
    </w:p>
    <w:p>
      <w:pPr>
        <w:spacing w:before="80"/>
      </w:pPr>
    </w:p>
    <w:p>
      <w:pPr>
        <w:spacing w:before="240"/>
      </w:pPr>
    </w:p>
    <w:p>
      <w:pPr>
        <w:pBdr>
          <w:bottom w:val="single" w:color="6C63FF" w:sz="4" w:space="1"/>
        </w:pBdr>
        <w:spacing w:after="160" w:before="160"/>
      </w:pPr>
    </w:p>
    <w:p>
      <w:pPr>
        <w:pStyle w:val="Heading1"/>
        <w:spacing w:after="160" w:before="480"/>
      </w:pPr>
      <w:r>
        <w:rPr>
          <w:rFonts w:ascii="Arial" w:cs="Arial" w:eastAsia="Arial" w:hAnsi="Arial"/>
          <w:b/>
          <w:bCs/>
          <w:color w:val="1A1A2E"/>
          <w:sz w:val="36"/>
          <w:szCs w:val="36"/>
        </w:rPr>
        <w:t xml:space="preserve">8. Legal Disclaimer</w:t>
      </w:r>
    </w:p>
    <w:p>
      <w:pPr>
        <w:spacing w:after="100" w:before="60"/>
        <w:jc w:val="both"/>
      </w:pPr>
      <w:r>
        <w:rPr>
          <w:rFonts w:ascii="Arial" w:cs="Arial" w:eastAsia="Arial" w:hAnsi="Arial"/>
          <w:b w:val="false"/>
          <w:bCs w:val="false"/>
          <w:i w:val="false"/>
          <w:iCs w:val="false"/>
          <w:color w:val="1A1A2E"/>
          <w:sz w:val="22"/>
          <w:szCs w:val="22"/>
        </w:rPr>
        <w:t xml:space="preserve">This whitepaper is provided for informational purposes only and does not constitute financial, investment, legal, or tax advice. The information contained herein is subject to change without notice.</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$QVLT is a utility token designed to power the QVAULT protocol and governance. It is not intended to constitute a security in any jurisdiction. Participants should consult legal and financial advisors before participating in any token sale or purchase.</w:t>
      </w:r>
    </w:p>
    <w:p>
      <w:pPr>
        <w:spacing w:before="80"/>
      </w:pPr>
    </w:p>
    <w:p>
      <w:pPr>
        <w:spacing w:after="100" w:before="60"/>
        <w:jc w:val="both"/>
      </w:pPr>
      <w:r>
        <w:rPr>
          <w:rFonts w:ascii="Arial" w:cs="Arial" w:eastAsia="Arial" w:hAnsi="Arial"/>
          <w:b w:val="false"/>
          <w:bCs w:val="false"/>
          <w:i w:val="false"/>
          <w:iCs w:val="false"/>
          <w:color w:val="1A1A2E"/>
          <w:sz w:val="22"/>
          <w:szCs w:val="22"/>
        </w:rPr>
        <w:t xml:space="preserve">The QVAULT team makes no representations or warranties regarding the accuracy or completeness of this document. Past performance of any cryptocurrency is not indicative of future results.</w:t>
      </w:r>
    </w:p>
    <w:p>
      <w:pPr>
        <w:spacing w:before="80"/>
      </w:pPr>
    </w:p>
    <w:p>
      <w:pPr>
        <w:spacing w:after="100" w:before="60"/>
        <w:jc w:val="both"/>
      </w:pPr>
      <w:r>
        <w:rPr>
          <w:rFonts w:ascii="Arial" w:cs="Arial" w:eastAsia="Arial" w:hAnsi="Arial"/>
          <w:b w:val="false"/>
          <w:bCs w:val="false"/>
          <w:i/>
          <w:iCs/>
          <w:color w:val="6B6B8D"/>
          <w:sz w:val="22"/>
          <w:szCs w:val="22"/>
        </w:rPr>
        <w:t xml:space="preserve">© 2026 QVAULT Protocol.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63FF" w:sz="4" w:space="1"/>
      </w:pBdr>
      <w:jc w:val="center"/>
    </w:pPr>
    <w:r>
      <w:rPr>
        <w:rFonts w:ascii="Arial" w:cs="Arial" w:eastAsia="Arial" w:hAnsi="Arial"/>
        <w:color w:val="6B6B8D"/>
        <w:sz w:val="18"/>
        <w:szCs w:val="18"/>
      </w:rPr>
      <w:t xml:space="preserve">Page </w:t>
    </w:r>
    <w:fldSimple w:instr="PAGE"/>
    <w:r>
      <w:rPr>
        <w:rFonts w:ascii="Arial" w:cs="Arial" w:eastAsia="Arial" w:hAnsi="Arial"/>
        <w:color w:val="6B6B8D"/>
        <w:sz w:val="18"/>
        <w:szCs w:val="18"/>
      </w:rPr>
      <w:t xml:space="preserve">  |  For informational purposes only. Not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1"/>
      </w:pBdr>
      <w:jc w:val="right"/>
    </w:pPr>
    <w:r>
      <w:rPr>
        <w:rFonts w:ascii="Arial" w:cs="Arial" w:eastAsia="Arial" w:hAnsi="Arial"/>
        <w:i/>
        <w:iCs/>
        <w:color w:val="6B6B8D"/>
        <w:sz w:val="18"/>
        <w:szCs w:val="18"/>
      </w:rPr>
      <w:t xml:space="preserve">QVAULT ($QVLT) — Whitepaper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6C63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2026-05-12T08:17:48.222Z</dcterms:created>
  <dcterms:modified xsi:type="dcterms:W3CDTF">2026-05-12T08:17:48.222Z</dcterms:modified>
</cp:coreProperties>
</file>

<file path=docProps/custom.xml><?xml version="1.0" encoding="utf-8"?>
<Properties xmlns="http://schemas.openxmlformats.org/officeDocument/2006/custom-properties" xmlns:vt="http://schemas.openxmlformats.org/officeDocument/2006/docPropsVTypes"/>
</file>