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0BE085">
      <w:pPr>
        <w:pStyle w:val="2"/>
        <w:bidi w:val="0"/>
        <w:jc w:val="both"/>
        <w:rPr>
          <w:rFonts w:hint="eastAsia"/>
          <w:sz w:val="36"/>
          <w:szCs w:val="36"/>
        </w:rPr>
      </w:pPr>
      <w:r>
        <w:rPr>
          <w:rFonts w:hint="eastAsia"/>
          <w:sz w:val="36"/>
          <w:szCs w:val="36"/>
        </w:rPr>
        <w:t>基于 ViT 的皮肤病变分类 (H</w:t>
      </w:r>
      <w:bookmarkStart w:id="0" w:name="_GoBack"/>
      <w:bookmarkEnd w:id="0"/>
      <w:r>
        <w:rPr>
          <w:rFonts w:hint="eastAsia"/>
          <w:sz w:val="36"/>
          <w:szCs w:val="36"/>
        </w:rPr>
        <w:t>AM10000 数据集)</w:t>
      </w:r>
    </w:p>
    <w:p w14:paraId="7998E32D"/>
    <w:p w14:paraId="237B21AF">
      <w:pPr>
        <w:pStyle w:val="3"/>
      </w:pPr>
      <w:r>
        <w:t>一、项目背景与技术原理</w:t>
      </w:r>
    </w:p>
    <w:p w14:paraId="21D68111">
      <w:pPr>
        <w:pStyle w:val="4"/>
      </w:pPr>
      <w:r>
        <w:t>1.1 皮肤病变分类的临床需求</w:t>
      </w:r>
    </w:p>
    <w:p w14:paraId="178AEDED">
      <w:pPr>
        <w:ind w:firstLine="420" w:firstLineChars="0"/>
      </w:pPr>
      <w:r>
        <w:t>皮肤癌是全球最常见的恶性肿瘤之一，仅2022年就有超过150万新发病例报告。黑色素瘤作为其中最致命的类型，早期发现和干预能够显著降低死亡率。然而，传统的皮肤癌诊断主要依赖皮肤科医生的目视检查，存在一定的误诊率和漏诊率。近年来，深度学习技术被广泛应用于皮肤病变图像的自动分类，其中卷积神经网络（CNN）虽然取得了不错的效果，但由于其局部感受野的限制，在捕捉图像全局上下文信息方面存在天然不足。</w:t>
      </w:r>
    </w:p>
    <w:p w14:paraId="1957895F">
      <w:pPr>
        <w:pStyle w:val="4"/>
      </w:pPr>
      <w:r>
        <w:t>1.2 Vision Transformer的核心思想</w:t>
      </w:r>
    </w:p>
    <w:p w14:paraId="621F07D1">
      <w:r>
        <w:t>Vision Transformer（ViT）由Dosovitskiy等人在2020年提出，它创造性地将自然语言处理中的Transformer架构迁移到计算机视觉领域。ViT的核心思想非常直观：</w:t>
      </w:r>
    </w:p>
    <w:p w14:paraId="2DA93A55">
      <w:r>
        <w:rPr>
          <w:b/>
        </w:rPr>
        <w:t>第一步：图像分块</w:t>
      </w:r>
      <w:r>
        <w:t>——将输入图像切分成固定大小的正方形小块（例如16×16像素），每个图像块被视作一个"视觉单词"，其作用类似于NLP中的词嵌入。然后在这些块序列的最前面加入一个特殊的[CLS]分类标记（Class Token），该标记的最终输出将用于后续分类任务，同时为每个图像块添加位置编码以保留空间位置信息。</w:t>
      </w:r>
    </w:p>
    <w:p w14:paraId="013E2FCC">
      <w:r>
        <w:rPr>
          <w:b/>
        </w:rPr>
        <w:t>第二步：Transformer编码</w:t>
      </w:r>
      <w:r>
        <w:t>——将上述序列输入到标准的Transformer编码器中，核心计算单元是多头自注意力（Multi-Head Self-Attention）机制，该机制使模型能够建立整张图像中任意两个位置之间的长距离依赖关系。</w:t>
      </w:r>
    </w:p>
    <w:p w14:paraId="778369E0">
      <w:r>
        <w:rPr>
          <w:b/>
        </w:rPr>
        <w:t>第三步：分类输出</w:t>
      </w:r>
      <w:r>
        <w:t>——最终[CLS]标记对应的输出向量通过一个分类头（通常是多层感知机）完成最终的分类预测。</w:t>
      </w:r>
    </w:p>
    <w:p w14:paraId="75A8FF71">
      <w:r>
        <w:t>ViT与CNN的本质区别在于：CNN通过卷积核逐步堆叠来扩大感受野，局部信息是逐层累积的；而ViT从第一层开始就能"看到"整张图像，所有图像块之间可以并行地交换信息，这让它在处理需要全局理解的任务时具有天然优势。不过，ViT也依赖大规模预训练数据（如ImageNet-21k）才能发挥出最佳性能，这也是为什么在实际项目中通常采用"预训练+微调"而非从头训练的方式。</w:t>
      </w:r>
    </w:p>
    <w:p w14:paraId="00490962">
      <w:pPr>
        <w:pStyle w:val="3"/>
      </w:pPr>
      <w:r>
        <w:t>二、HAM10000数据集详解</w:t>
      </w:r>
    </w:p>
    <w:p w14:paraId="797D2592">
      <w:pPr>
        <w:pStyle w:val="4"/>
      </w:pPr>
      <w:r>
        <w:t>2.1 数据集来源与规模</w:t>
      </w:r>
    </w:p>
    <w:p w14:paraId="1735750E">
      <w:r>
        <w:t>HAM10000全称"Human Against Machine with 10000 training images"，由Tschandl等人在2018年发布，是目前皮肤病变分类领域最广泛使用的公开基准数据集之一。该数据集包含</w:t>
      </w:r>
      <w:r>
        <w:rPr>
          <w:b/>
        </w:rPr>
        <w:t>10,015张高质量的皮肤镜图像</w:t>
      </w:r>
      <w:r>
        <w:t>，通过多种皮肤镜设备在不同医疗机构采集，确保了数据来源的多样性，所有图像均经过专业皮肤科医生的精准标注。</w:t>
      </w:r>
    </w:p>
    <w:p w14:paraId="22CDF124">
      <w:pPr>
        <w:pStyle w:val="4"/>
      </w:pPr>
      <w:r>
        <w:t>2.2 7个病变类别</w:t>
      </w:r>
    </w:p>
    <w:p w14:paraId="1A4A6911">
      <w:r>
        <w:t>HAM10000涵盖7种临床上最重要的皮肤病变类型：</w:t>
      </w:r>
    </w:p>
    <w:tbl>
      <w:tblPr>
        <w:tblW w:w="0" w:type="auto"/>
        <w:tblInd w:w="0" w:type="dxa"/>
        <w:tblLayout w:type="fixed"/>
        <w:tblCellMar>
          <w:top w:w="0" w:type="dxa"/>
          <w:left w:w="0" w:type="dxa"/>
          <w:bottom w:w="0" w:type="dxa"/>
          <w:right w:w="0" w:type="dxa"/>
        </w:tblCellMar>
      </w:tblPr>
      <w:tblGrid>
        <w:gridCol w:w="3212"/>
        <w:gridCol w:w="3212"/>
        <w:gridCol w:w="3212"/>
      </w:tblGrid>
      <w:tr w14:paraId="458833D6">
        <w:tc>
          <w:tcPr>
            <w:tcW w:w="0" w:type="auto"/>
            <w:tcMar>
              <w:left w:w="108" w:type="dxa"/>
              <w:right w:w="108" w:type="dxa"/>
            </w:tcMar>
            <w:vAlign w:val="center"/>
          </w:tcPr>
          <w:p w14:paraId="0CF8719E">
            <w:pPr>
              <w:jc w:val="center"/>
              <w:rPr>
                <w:b/>
              </w:rPr>
            </w:pPr>
            <w:r>
              <w:rPr>
                <w:b/>
              </w:rPr>
              <w:t>类别名称</w:t>
            </w:r>
          </w:p>
        </w:tc>
        <w:tc>
          <w:tcPr>
            <w:tcW w:w="0" w:type="auto"/>
            <w:tcMar>
              <w:left w:w="108" w:type="dxa"/>
              <w:right w:w="108" w:type="dxa"/>
            </w:tcMar>
            <w:vAlign w:val="center"/>
          </w:tcPr>
          <w:p w14:paraId="51DFDF00">
            <w:pPr>
              <w:jc w:val="center"/>
              <w:rPr>
                <w:b/>
              </w:rPr>
            </w:pPr>
            <w:r>
              <w:rPr>
                <w:b/>
              </w:rPr>
              <w:t>英文缩写</w:t>
            </w:r>
          </w:p>
        </w:tc>
        <w:tc>
          <w:tcPr>
            <w:tcW w:w="0" w:type="auto"/>
            <w:tcMar>
              <w:left w:w="108" w:type="dxa"/>
              <w:right w:w="108" w:type="dxa"/>
            </w:tcMar>
            <w:vAlign w:val="center"/>
          </w:tcPr>
          <w:p w14:paraId="38B24AE9">
            <w:pPr>
              <w:jc w:val="center"/>
              <w:rPr>
                <w:b/>
              </w:rPr>
            </w:pPr>
            <w:r>
              <w:rPr>
                <w:b/>
              </w:rPr>
              <w:t>样本数量</w:t>
            </w:r>
          </w:p>
        </w:tc>
      </w:tr>
      <w:tr w14:paraId="6CBCF0BC">
        <w:tc>
          <w:tcPr>
            <w:tcW w:w="0" w:type="auto"/>
            <w:tcMar>
              <w:left w:w="108" w:type="dxa"/>
              <w:right w:w="108" w:type="dxa"/>
            </w:tcMar>
            <w:vAlign w:val="center"/>
          </w:tcPr>
          <w:p w14:paraId="49315A82">
            <w:r>
              <w:t>黑色素细胞痣（良性）</w:t>
            </w:r>
          </w:p>
        </w:tc>
        <w:tc>
          <w:tcPr>
            <w:tcW w:w="0" w:type="auto"/>
            <w:tcMar>
              <w:left w:w="108" w:type="dxa"/>
              <w:right w:w="108" w:type="dxa"/>
            </w:tcMar>
            <w:vAlign w:val="center"/>
          </w:tcPr>
          <w:p w14:paraId="54CD5C55">
            <w:r>
              <w:t>NV</w:t>
            </w:r>
          </w:p>
        </w:tc>
        <w:tc>
          <w:tcPr>
            <w:tcW w:w="0" w:type="auto"/>
            <w:tcMar>
              <w:left w:w="108" w:type="dxa"/>
              <w:right w:w="108" w:type="dxa"/>
            </w:tcMar>
            <w:vAlign w:val="center"/>
          </w:tcPr>
          <w:p w14:paraId="0102EA87">
            <w:r>
              <w:t>约6,700</w:t>
            </w:r>
          </w:p>
        </w:tc>
      </w:tr>
      <w:tr w14:paraId="7186A2C8">
        <w:tc>
          <w:tcPr>
            <w:tcW w:w="0" w:type="auto"/>
            <w:tcMar>
              <w:left w:w="108" w:type="dxa"/>
              <w:right w:w="108" w:type="dxa"/>
            </w:tcMar>
            <w:vAlign w:val="center"/>
          </w:tcPr>
          <w:p w14:paraId="409215C4">
            <w:r>
              <w:t>黑色素瘤（恶性）</w:t>
            </w:r>
          </w:p>
        </w:tc>
        <w:tc>
          <w:tcPr>
            <w:tcW w:w="0" w:type="auto"/>
            <w:tcMar>
              <w:left w:w="108" w:type="dxa"/>
              <w:right w:w="108" w:type="dxa"/>
            </w:tcMar>
            <w:vAlign w:val="center"/>
          </w:tcPr>
          <w:p w14:paraId="720093C5">
            <w:r>
              <w:t>MEL</w:t>
            </w:r>
          </w:p>
        </w:tc>
        <w:tc>
          <w:tcPr>
            <w:tcW w:w="0" w:type="auto"/>
            <w:tcMar>
              <w:left w:w="108" w:type="dxa"/>
              <w:right w:w="108" w:type="dxa"/>
            </w:tcMar>
            <w:vAlign w:val="center"/>
          </w:tcPr>
          <w:p w14:paraId="62723FDE">
            <w:r>
              <w:t>约1,100</w:t>
            </w:r>
          </w:p>
        </w:tc>
      </w:tr>
      <w:tr w14:paraId="4A04AF4A">
        <w:tc>
          <w:tcPr>
            <w:tcW w:w="0" w:type="auto"/>
            <w:tcMar>
              <w:left w:w="108" w:type="dxa"/>
              <w:right w:w="108" w:type="dxa"/>
            </w:tcMar>
            <w:vAlign w:val="center"/>
          </w:tcPr>
          <w:p w14:paraId="38C08DFA">
            <w:r>
              <w:t>良性角化病</w:t>
            </w:r>
          </w:p>
        </w:tc>
        <w:tc>
          <w:tcPr>
            <w:tcW w:w="0" w:type="auto"/>
            <w:tcMar>
              <w:left w:w="108" w:type="dxa"/>
              <w:right w:w="108" w:type="dxa"/>
            </w:tcMar>
            <w:vAlign w:val="center"/>
          </w:tcPr>
          <w:p w14:paraId="1D3710BB">
            <w:r>
              <w:t>BKL</w:t>
            </w:r>
          </w:p>
        </w:tc>
        <w:tc>
          <w:tcPr>
            <w:tcW w:w="0" w:type="auto"/>
            <w:tcMar>
              <w:left w:w="108" w:type="dxa"/>
              <w:right w:w="108" w:type="dxa"/>
            </w:tcMar>
            <w:vAlign w:val="center"/>
          </w:tcPr>
          <w:p w14:paraId="43316BAF">
            <w:r>
              <w:t>约1,100</w:t>
            </w:r>
          </w:p>
        </w:tc>
      </w:tr>
      <w:tr w14:paraId="3B5410CA">
        <w:tc>
          <w:tcPr>
            <w:tcW w:w="0" w:type="auto"/>
            <w:tcMar>
              <w:left w:w="108" w:type="dxa"/>
              <w:right w:w="108" w:type="dxa"/>
            </w:tcMar>
            <w:vAlign w:val="center"/>
          </w:tcPr>
          <w:p w14:paraId="40CE00FA">
            <w:r>
              <w:t>基底细胞癌（恶性）</w:t>
            </w:r>
          </w:p>
        </w:tc>
        <w:tc>
          <w:tcPr>
            <w:tcW w:w="0" w:type="auto"/>
            <w:tcMar>
              <w:left w:w="108" w:type="dxa"/>
              <w:right w:w="108" w:type="dxa"/>
            </w:tcMar>
            <w:vAlign w:val="center"/>
          </w:tcPr>
          <w:p w14:paraId="6884A8DF">
            <w:r>
              <w:t>BCC</w:t>
            </w:r>
          </w:p>
        </w:tc>
        <w:tc>
          <w:tcPr>
            <w:tcW w:w="0" w:type="auto"/>
            <w:tcMar>
              <w:left w:w="108" w:type="dxa"/>
              <w:right w:w="108" w:type="dxa"/>
            </w:tcMar>
            <w:vAlign w:val="center"/>
          </w:tcPr>
          <w:p w14:paraId="62DCB38E">
            <w:r>
              <w:t>约500</w:t>
            </w:r>
          </w:p>
        </w:tc>
      </w:tr>
      <w:tr w14:paraId="4F6922C1">
        <w:tc>
          <w:tcPr>
            <w:tcW w:w="0" w:type="auto"/>
            <w:tcMar>
              <w:left w:w="108" w:type="dxa"/>
              <w:right w:w="108" w:type="dxa"/>
            </w:tcMar>
            <w:vAlign w:val="center"/>
          </w:tcPr>
          <w:p w14:paraId="14507EC3">
            <w:r>
              <w:t>光化性角化病</w:t>
            </w:r>
          </w:p>
        </w:tc>
        <w:tc>
          <w:tcPr>
            <w:tcW w:w="0" w:type="auto"/>
            <w:tcMar>
              <w:left w:w="108" w:type="dxa"/>
              <w:right w:w="108" w:type="dxa"/>
            </w:tcMar>
            <w:vAlign w:val="center"/>
          </w:tcPr>
          <w:p w14:paraId="7618DAF0">
            <w:r>
              <w:t>AKIEC</w:t>
            </w:r>
          </w:p>
        </w:tc>
        <w:tc>
          <w:tcPr>
            <w:tcW w:w="0" w:type="auto"/>
            <w:tcMar>
              <w:left w:w="108" w:type="dxa"/>
              <w:right w:w="108" w:type="dxa"/>
            </w:tcMar>
            <w:vAlign w:val="center"/>
          </w:tcPr>
          <w:p w14:paraId="5D9ABEDC">
            <w:r>
              <w:t>约300</w:t>
            </w:r>
          </w:p>
        </w:tc>
      </w:tr>
      <w:tr w14:paraId="03CD3FE3">
        <w:tc>
          <w:tcPr>
            <w:tcW w:w="0" w:type="auto"/>
            <w:tcMar>
              <w:left w:w="108" w:type="dxa"/>
              <w:right w:w="108" w:type="dxa"/>
            </w:tcMar>
            <w:vAlign w:val="center"/>
          </w:tcPr>
          <w:p w14:paraId="701463DA">
            <w:r>
              <w:t>血管病变</w:t>
            </w:r>
          </w:p>
        </w:tc>
        <w:tc>
          <w:tcPr>
            <w:tcW w:w="0" w:type="auto"/>
            <w:tcMar>
              <w:left w:w="108" w:type="dxa"/>
              <w:right w:w="108" w:type="dxa"/>
            </w:tcMar>
            <w:vAlign w:val="center"/>
          </w:tcPr>
          <w:p w14:paraId="0B4662DA">
            <w:r>
              <w:t>VASC</w:t>
            </w:r>
          </w:p>
        </w:tc>
        <w:tc>
          <w:tcPr>
            <w:tcW w:w="0" w:type="auto"/>
            <w:tcMar>
              <w:left w:w="108" w:type="dxa"/>
              <w:right w:w="108" w:type="dxa"/>
            </w:tcMar>
            <w:vAlign w:val="center"/>
          </w:tcPr>
          <w:p w14:paraId="4732AFD8">
            <w:r>
              <w:t>约150</w:t>
            </w:r>
          </w:p>
        </w:tc>
      </w:tr>
      <w:tr w14:paraId="0B177BAC">
        <w:tc>
          <w:tcPr>
            <w:tcW w:w="0" w:type="auto"/>
            <w:tcMar>
              <w:left w:w="108" w:type="dxa"/>
              <w:right w:w="108" w:type="dxa"/>
            </w:tcMar>
            <w:vAlign w:val="center"/>
          </w:tcPr>
          <w:p w14:paraId="419E8569">
            <w:r>
              <w:t>皮肤纤维瘤</w:t>
            </w:r>
          </w:p>
        </w:tc>
        <w:tc>
          <w:tcPr>
            <w:tcW w:w="0" w:type="auto"/>
            <w:tcMar>
              <w:left w:w="108" w:type="dxa"/>
              <w:right w:w="108" w:type="dxa"/>
            </w:tcMar>
            <w:vAlign w:val="center"/>
          </w:tcPr>
          <w:p w14:paraId="6B420180">
            <w:r>
              <w:t>DF</w:t>
            </w:r>
          </w:p>
        </w:tc>
        <w:tc>
          <w:tcPr>
            <w:tcW w:w="0" w:type="auto"/>
            <w:tcMar>
              <w:left w:w="108" w:type="dxa"/>
              <w:right w:w="108" w:type="dxa"/>
            </w:tcMar>
            <w:vAlign w:val="center"/>
          </w:tcPr>
          <w:p w14:paraId="7A979E7B">
            <w:r>
              <w:t>约100</w:t>
            </w:r>
          </w:p>
        </w:tc>
      </w:tr>
    </w:tbl>
    <w:p w14:paraId="12A26E62">
      <w:pPr>
        <w:pStyle w:val="4"/>
      </w:pPr>
      <w:r>
        <w:t>2.3 类别不平衡挑战</w:t>
      </w:r>
    </w:p>
    <w:p w14:paraId="45DA9B7A">
      <w:r>
        <w:t>从以上分布可以看出，HAM10000存在显著的类别不平衡问题——NV一类就占了约67%的样本，而DF和VASC两类合计不足3%。这种不平衡会导致模型倾向于预测多数类而忽略少数类。在复现时，建议采用</w:t>
      </w:r>
      <w:r>
        <w:rPr>
          <w:b/>
        </w:rPr>
        <w:t>加权交叉熵损失</w:t>
      </w:r>
      <w:r>
        <w:t>（为少数类分配更高的权重）或</w:t>
      </w:r>
      <w:r>
        <w:rPr>
          <w:b/>
        </w:rPr>
        <w:t>数据增强策略</w:t>
      </w:r>
      <w:r>
        <w:t>（对少数类进行过采样）来缓解这一问题。</w:t>
      </w:r>
    </w:p>
    <w:p w14:paraId="456CD97D">
      <w:pPr>
        <w:pStyle w:val="4"/>
      </w:pPr>
      <w:r>
        <w:t>2.4 访问方式</w:t>
      </w:r>
    </w:p>
    <w:p w14:paraId="1D3C39C2">
      <w:r>
        <w:t>HAM10000可通过</w:t>
      </w:r>
      <w:r>
        <w:rPr>
          <w:b/>
        </w:rPr>
        <w:t>ISIC Archive官网</w:t>
      </w:r>
      <w:r>
        <w:t>或</w:t>
      </w:r>
      <w:r>
        <w:rPr>
          <w:b/>
        </w:rPr>
        <w:t>Kaggle平台</w:t>
      </w:r>
      <w:r>
        <w:t>免费下载，学术用途无需额外申请。</w:t>
      </w:r>
    </w:p>
    <w:p w14:paraId="31044265">
      <w:pPr>
        <w:pStyle w:val="3"/>
      </w:pPr>
      <w:r>
        <w:t>三、ViT在HAM10000上的应用：研究现状与性能</w:t>
      </w:r>
    </w:p>
    <w:p w14:paraId="5A927338">
      <w:pPr>
        <w:pStyle w:val="4"/>
      </w:pPr>
      <w:r>
        <w:t>3.1 最新研究成果</w:t>
      </w:r>
    </w:p>
    <w:p w14:paraId="7F77DCB5">
      <w:r>
        <w:t>近年来越来越多的研究将ViT应用于HAM10000数据集，并取得了令人瞩目的成果：</w:t>
      </w:r>
    </w:p>
    <w:p w14:paraId="41DD6CD1">
      <w:pPr>
        <w:numPr>
          <w:ilvl w:val="0"/>
          <w:numId w:val="1"/>
        </w:numPr>
        <w:spacing w:before="0" w:beforeAutospacing="1" w:after="0" w:afterAutospacing="1"/>
        <w:ind w:left="420" w:leftChars="0" w:hanging="420" w:firstLineChars="0"/>
      </w:pPr>
      <w:r>
        <w:rPr>
          <w:b/>
        </w:rPr>
        <w:t>2024年，Himel等人的研究</w:t>
      </w:r>
      <w:r>
        <w:t>：将ViT用于HAM10000的皮肤癌分类，Google-based ViT patch-32变体取得了</w:t>
      </w:r>
      <w:r>
        <w:rPr>
          <w:b/>
        </w:rPr>
        <w:t>96.15%的准确率</w:t>
      </w:r>
      <w:r>
        <w:t>，研究还同时使用Segment Anything Model对癌变区域进行了精确分割。</w:t>
      </w:r>
    </w:p>
    <w:p w14:paraId="02D8CEAA">
      <w:pPr>
        <w:numPr>
          <w:ilvl w:val="0"/>
          <w:numId w:val="1"/>
        </w:numPr>
        <w:spacing w:before="0" w:beforeAutospacing="1" w:after="0" w:afterAutospacing="1"/>
        <w:ind w:left="420" w:leftChars="0" w:hanging="420" w:firstLineChars="0"/>
      </w:pPr>
      <w:r>
        <w:rPr>
          <w:b/>
        </w:rPr>
        <w:t>2025年，Aruk等人的全面对比研究</w:t>
      </w:r>
      <w:r>
        <w:t>：系统比较了15种CNN和15种ViT模型在同一条件下的表现，发现基于Swin架构的ViT在HAM10000上达到了</w:t>
      </w:r>
      <w:r>
        <w:rPr>
          <w:b/>
        </w:rPr>
        <w:t>0.9212的准确率</w:t>
      </w:r>
      <w:r>
        <w:t>，显著优于传统CNN模型。</w:t>
      </w:r>
    </w:p>
    <w:p w14:paraId="7E24A574">
      <w:pPr>
        <w:numPr>
          <w:ilvl w:val="0"/>
          <w:numId w:val="1"/>
        </w:numPr>
        <w:spacing w:before="0" w:beforeAutospacing="1" w:after="0" w:afterAutospacing="1"/>
        <w:ind w:left="420" w:leftChars="0" w:hanging="420" w:firstLineChars="0"/>
      </w:pPr>
      <w:r>
        <w:rPr>
          <w:b/>
        </w:rPr>
        <w:t>2025年，Zoravar等人的CE-ViTs框架</w:t>
      </w:r>
      <w:r>
        <w:t>：通过集成了多个ViT模型的置信集成框架，结合HAM10000、Dermofit和ISIC等多个数据集进行训练，在域适应场景下实现了</w:t>
      </w:r>
      <w:r>
        <w:rPr>
          <w:b/>
        </w:rPr>
        <w:t>90.38%的覆盖率</w:t>
      </w:r>
      <w:r>
        <w:t>。</w:t>
      </w:r>
    </w:p>
    <w:p w14:paraId="47BC9084">
      <w:pPr>
        <w:numPr>
          <w:ilvl w:val="0"/>
          <w:numId w:val="1"/>
        </w:numPr>
        <w:spacing w:before="0" w:beforeAutospacing="1" w:after="0" w:afterAutospacing="1"/>
        <w:ind w:left="420" w:leftChars="0" w:hanging="420" w:firstLineChars="0"/>
      </w:pPr>
      <w:r>
        <w:rPr>
          <w:b/>
        </w:rPr>
        <w:t>2025年，LMS-ViT模型</w:t>
      </w:r>
      <w:r>
        <w:t>：一种轻量化多尺度ViT变体，在HAM10000上达到</w:t>
      </w:r>
      <w:r>
        <w:rPr>
          <w:b/>
        </w:rPr>
        <w:t>90%准确率，比CNN提升18%</w:t>
      </w:r>
      <w:r>
        <w:t>，同时计算成本降低30%，展现出良好的移动端部署潜力。</w:t>
      </w:r>
    </w:p>
    <w:p w14:paraId="5FE5FE79">
      <w:pPr>
        <w:pStyle w:val="4"/>
      </w:pPr>
      <w:r>
        <w:t>3.2 ViT vs CNN的对比结论</w:t>
      </w:r>
    </w:p>
    <w:p w14:paraId="5A48D8BF">
      <w:r>
        <w:t>Aruk等人的全面对比研究给出了一个清晰的结论：ViT模型在皮肤癌分类的准确率上优于CNN，但代价是更高的计算开销和更大的参数量。具体来说：</w:t>
      </w:r>
    </w:p>
    <w:tbl>
      <w:tblPr>
        <w:tblW w:w="0" w:type="auto"/>
        <w:tblInd w:w="0" w:type="dxa"/>
        <w:tblLayout w:type="fixed"/>
        <w:tblCellMar>
          <w:top w:w="0" w:type="dxa"/>
          <w:left w:w="0" w:type="dxa"/>
          <w:bottom w:w="0" w:type="dxa"/>
          <w:right w:w="0" w:type="dxa"/>
        </w:tblCellMar>
      </w:tblPr>
      <w:tblGrid>
        <w:gridCol w:w="3212"/>
        <w:gridCol w:w="3212"/>
        <w:gridCol w:w="3212"/>
      </w:tblGrid>
      <w:tr w14:paraId="5FB2824D">
        <w:tc>
          <w:tcPr>
            <w:tcW w:w="0" w:type="auto"/>
            <w:tcMar>
              <w:left w:w="108" w:type="dxa"/>
              <w:right w:w="108" w:type="dxa"/>
            </w:tcMar>
            <w:vAlign w:val="center"/>
          </w:tcPr>
          <w:p w14:paraId="4C186F2A">
            <w:pPr>
              <w:jc w:val="center"/>
              <w:rPr>
                <w:b/>
              </w:rPr>
            </w:pPr>
            <w:r>
              <w:rPr>
                <w:b/>
              </w:rPr>
              <w:t>维度</w:t>
            </w:r>
          </w:p>
        </w:tc>
        <w:tc>
          <w:tcPr>
            <w:tcW w:w="0" w:type="auto"/>
            <w:tcMar>
              <w:left w:w="108" w:type="dxa"/>
              <w:right w:w="108" w:type="dxa"/>
            </w:tcMar>
            <w:vAlign w:val="center"/>
          </w:tcPr>
          <w:p w14:paraId="75109C55">
            <w:pPr>
              <w:jc w:val="center"/>
              <w:rPr>
                <w:b/>
              </w:rPr>
            </w:pPr>
            <w:r>
              <w:rPr>
                <w:b/>
              </w:rPr>
              <w:t>CNN</w:t>
            </w:r>
          </w:p>
        </w:tc>
        <w:tc>
          <w:tcPr>
            <w:tcW w:w="0" w:type="auto"/>
            <w:tcMar>
              <w:left w:w="108" w:type="dxa"/>
              <w:right w:w="108" w:type="dxa"/>
            </w:tcMar>
            <w:vAlign w:val="center"/>
          </w:tcPr>
          <w:p w14:paraId="02320725">
            <w:pPr>
              <w:jc w:val="center"/>
              <w:rPr>
                <w:b/>
              </w:rPr>
            </w:pPr>
            <w:r>
              <w:rPr>
                <w:b/>
              </w:rPr>
              <w:t>ViT</w:t>
            </w:r>
          </w:p>
        </w:tc>
      </w:tr>
      <w:tr w14:paraId="6F855ADE">
        <w:tc>
          <w:tcPr>
            <w:tcW w:w="0" w:type="auto"/>
            <w:tcMar>
              <w:left w:w="108" w:type="dxa"/>
              <w:right w:w="108" w:type="dxa"/>
            </w:tcMar>
            <w:vAlign w:val="center"/>
          </w:tcPr>
          <w:p w14:paraId="03D0630C">
            <w:r>
              <w:t>参数量</w:t>
            </w:r>
          </w:p>
        </w:tc>
        <w:tc>
          <w:tcPr>
            <w:tcW w:w="0" w:type="auto"/>
            <w:tcMar>
              <w:left w:w="108" w:type="dxa"/>
              <w:right w:w="108" w:type="dxa"/>
            </w:tcMar>
            <w:vAlign w:val="center"/>
          </w:tcPr>
          <w:p w14:paraId="2F2A20AA">
            <w:r>
              <w:t>较小</w:t>
            </w:r>
          </w:p>
        </w:tc>
        <w:tc>
          <w:tcPr>
            <w:tcW w:w="0" w:type="auto"/>
            <w:tcMar>
              <w:left w:w="108" w:type="dxa"/>
              <w:right w:w="108" w:type="dxa"/>
            </w:tcMar>
            <w:vAlign w:val="center"/>
          </w:tcPr>
          <w:p w14:paraId="68CA875C">
            <w:r>
              <w:t>较大</w:t>
            </w:r>
          </w:p>
        </w:tc>
      </w:tr>
      <w:tr w14:paraId="4BE112C9">
        <w:tc>
          <w:tcPr>
            <w:tcW w:w="0" w:type="auto"/>
            <w:tcMar>
              <w:left w:w="108" w:type="dxa"/>
              <w:right w:w="108" w:type="dxa"/>
            </w:tcMar>
            <w:vAlign w:val="center"/>
          </w:tcPr>
          <w:p w14:paraId="20A0B499">
            <w:r>
              <w:t>计算成本</w:t>
            </w:r>
          </w:p>
        </w:tc>
        <w:tc>
          <w:tcPr>
            <w:tcW w:w="0" w:type="auto"/>
            <w:tcMar>
              <w:left w:w="108" w:type="dxa"/>
              <w:right w:w="108" w:type="dxa"/>
            </w:tcMar>
            <w:vAlign w:val="center"/>
          </w:tcPr>
          <w:p w14:paraId="24A9D78A">
            <w:r>
              <w:t>低</w:t>
            </w:r>
          </w:p>
        </w:tc>
        <w:tc>
          <w:tcPr>
            <w:tcW w:w="0" w:type="auto"/>
            <w:tcMar>
              <w:left w:w="108" w:type="dxa"/>
              <w:right w:w="108" w:type="dxa"/>
            </w:tcMar>
            <w:vAlign w:val="center"/>
          </w:tcPr>
          <w:p w14:paraId="4B4DAB72">
            <w:r>
              <w:t>高</w:t>
            </w:r>
          </w:p>
        </w:tc>
      </w:tr>
      <w:tr w14:paraId="0A8B3EC8">
        <w:tc>
          <w:tcPr>
            <w:tcW w:w="0" w:type="auto"/>
            <w:tcMar>
              <w:left w:w="108" w:type="dxa"/>
              <w:right w:w="108" w:type="dxa"/>
            </w:tcMar>
            <w:vAlign w:val="center"/>
          </w:tcPr>
          <w:p w14:paraId="475EBE97">
            <w:r>
              <w:t>分类准确率</w:t>
            </w:r>
          </w:p>
        </w:tc>
        <w:tc>
          <w:tcPr>
            <w:tcW w:w="0" w:type="auto"/>
            <w:tcMar>
              <w:left w:w="108" w:type="dxa"/>
              <w:right w:w="108" w:type="dxa"/>
            </w:tcMar>
            <w:vAlign w:val="center"/>
          </w:tcPr>
          <w:p w14:paraId="69E3C1F2">
            <w:r>
              <w:t>70%-90%</w:t>
            </w:r>
          </w:p>
        </w:tc>
        <w:tc>
          <w:tcPr>
            <w:tcW w:w="0" w:type="auto"/>
            <w:tcMar>
              <w:left w:w="108" w:type="dxa"/>
              <w:right w:w="108" w:type="dxa"/>
            </w:tcMar>
            <w:vAlign w:val="center"/>
          </w:tcPr>
          <w:p w14:paraId="3DC45C30">
            <w:r>
              <w:t>92%-96%</w:t>
            </w:r>
          </w:p>
        </w:tc>
      </w:tr>
      <w:tr w14:paraId="0D5F17CA">
        <w:tc>
          <w:tcPr>
            <w:tcW w:w="0" w:type="auto"/>
            <w:tcMar>
              <w:left w:w="108" w:type="dxa"/>
              <w:right w:w="108" w:type="dxa"/>
            </w:tcMar>
            <w:vAlign w:val="center"/>
          </w:tcPr>
          <w:p w14:paraId="38591BC5">
            <w:r>
              <w:t>泛化能力</w:t>
            </w:r>
          </w:p>
        </w:tc>
        <w:tc>
          <w:tcPr>
            <w:tcW w:w="0" w:type="auto"/>
            <w:tcMar>
              <w:left w:w="108" w:type="dxa"/>
              <w:right w:w="108" w:type="dxa"/>
            </w:tcMar>
            <w:vAlign w:val="center"/>
          </w:tcPr>
          <w:p w14:paraId="7766F896">
            <w:r>
              <w:t>中等</w:t>
            </w:r>
          </w:p>
        </w:tc>
        <w:tc>
          <w:tcPr>
            <w:tcW w:w="0" w:type="auto"/>
            <w:tcMar>
              <w:left w:w="108" w:type="dxa"/>
              <w:right w:w="108" w:type="dxa"/>
            </w:tcMar>
            <w:vAlign w:val="center"/>
          </w:tcPr>
          <w:p w14:paraId="12C41E2E">
            <w:r>
              <w:t>更强</w:t>
            </w:r>
          </w:p>
        </w:tc>
      </w:tr>
    </w:tbl>
    <w:p w14:paraId="499BB2F2">
      <w:r>
        <w:t>这一结果表明，ViT更适合对精度要求较高的场景（如临床辅助诊断），而CNN在资源受限的场景中仍有其价值。未来的方向包括进一步优化ViT的计算效率，或开发融合两者优势的混合架构。</w:t>
      </w:r>
    </w:p>
    <w:p w14:paraId="0DA0F152">
      <w:pPr>
        <w:pStyle w:val="3"/>
      </w:pPr>
      <w:r>
        <w:t>四、复现方案设计</w:t>
      </w:r>
    </w:p>
    <w:p w14:paraId="4ACC0C00">
      <w:r>
        <w:t>作为课程作业，建议采用**"预训练ViT + 在HAM10000上微调"**的方案，这是最经典的实现路径。</w:t>
      </w:r>
    </w:p>
    <w:p w14:paraId="74D67F7A">
      <w:pPr>
        <w:pStyle w:val="4"/>
      </w:pPr>
      <w:r>
        <w:t>4.1 环境配置</w:t>
      </w:r>
    </w:p>
    <w:p w14:paraId="1A2A1FC6">
      <w:r>
        <w:t>推荐使用Google Colab（免费GPU）或Kaggle Notebook（每周免费30小时GPU）运行，两者均无需本地配置。</w:t>
      </w:r>
    </w:p>
    <w:p w14:paraId="1F223166">
      <w:r>
        <w:rPr>
          <w:b/>
        </w:rPr>
        <w:t>所需库</w:t>
      </w:r>
      <w:r>
        <w:t>：</w:t>
      </w:r>
    </w:p>
    <w:p w14:paraId="5D16F810">
      <w:r>
        <w:t>torch # PyTorch深度学习框架</w:t>
      </w:r>
    </w:p>
    <w:p w14:paraId="4936B26C">
      <w:r>
        <w:t>torchvision # 图像处理与数据增强</w:t>
      </w:r>
    </w:p>
    <w:p w14:paraId="46216FDE">
      <w:r>
        <w:t>transformers # Hugging Face的ViT预训练模型</w:t>
      </w:r>
    </w:p>
    <w:p w14:paraId="647D4407">
      <w:r>
        <w:t>datasets # 高效的数据加载工具</w:t>
      </w:r>
    </w:p>
    <w:p w14:paraId="40533DB4">
      <w:r>
        <w:t>scikit-learn # 评价指标（准确率、混淆矩阵等）</w:t>
      </w:r>
    </w:p>
    <w:p w14:paraId="713DFA93">
      <w:r>
        <w:t>matplotlib # 结果可视化</w:t>
      </w:r>
    </w:p>
    <w:p w14:paraId="75A38F92">
      <w:r>
        <w:t>PIL # 图像读取与预处理</w:t>
      </w:r>
    </w:p>
    <w:p w14:paraId="3B539455">
      <w:pPr>
        <w:pStyle w:val="4"/>
      </w:pPr>
      <w:r>
        <w:t>4.2 模型选择</w:t>
      </w:r>
    </w:p>
    <w:p w14:paraId="011FC36A">
      <w:r>
        <w:t>建议使用Hugging Face上预训练的google/vit-base-patch16-224-in21k。该模型在ImageNet-21k（约1400万张图像，2万多个类别）上进行了预训练，具备强大的通用视觉特征提取能力。ViT Base架构包含12层Transformer，隐藏层维度为768，参数量约为86M，对于HAM10000这样中等规模的数据集来说，这个规模的模型能够在精度和计算成本之间取得良好平衡。选择patch-16（每个图像块大小为16×16）也是ViT最经典的配置，支持224×224的输入分辨率，与HAM10000的皮肤镜图像尺寸匹配良好。</w:t>
      </w:r>
    </w:p>
    <w:p w14:paraId="132DB7A9">
      <w:pPr>
        <w:pStyle w:val="4"/>
      </w:pPr>
      <w:r>
        <w:t>4.3 数据预处理与增强</w:t>
      </w:r>
    </w:p>
    <w:p w14:paraId="702D73CD">
      <w:r>
        <w:rPr>
          <w:b/>
        </w:rPr>
        <w:t>加载数据</w:t>
      </w:r>
      <w:r>
        <w:t>：从Kaggle下载HAM10000数据集，包含图像文件和CSV标注文件。使用Pandas读取CSV后，构建图像路径与标签的对应关系。建议按照8:1:1的比例划分为训练集、验证集和测试集。</w:t>
      </w:r>
    </w:p>
    <w:p w14:paraId="1B141677">
      <w:r>
        <w:rPr>
          <w:b/>
        </w:rPr>
        <w:t>预处理流程</w:t>
      </w:r>
      <w:r>
        <w:t>：</w:t>
      </w:r>
    </w:p>
    <w:p w14:paraId="11ECEDD4">
      <w:pPr>
        <w:numPr>
          <w:ilvl w:val="0"/>
          <w:numId w:val="1"/>
        </w:numPr>
        <w:spacing w:before="0" w:beforeAutospacing="1" w:after="0" w:afterAutospacing="1"/>
        <w:ind w:left="420" w:leftChars="0" w:hanging="420" w:firstLineChars="0"/>
      </w:pPr>
      <w:r>
        <w:t>将所有图像统一缩放至224×224</w:t>
      </w:r>
    </w:p>
    <w:p w14:paraId="5FA49C24">
      <w:pPr>
        <w:numPr>
          <w:ilvl w:val="0"/>
          <w:numId w:val="1"/>
        </w:numPr>
        <w:spacing w:before="0" w:beforeAutospacing="1" w:after="0" w:afterAutospacing="1"/>
        <w:ind w:left="420" w:leftChars="0" w:hanging="420" w:firstLineChars="0"/>
      </w:pPr>
      <w:r>
        <w:t>转换为RGB三通道</w:t>
      </w:r>
    </w:p>
    <w:p w14:paraId="4291E6C8">
      <w:pPr>
        <w:numPr>
          <w:ilvl w:val="0"/>
          <w:numId w:val="1"/>
        </w:numPr>
        <w:spacing w:before="0" w:beforeAutospacing="1" w:after="0" w:afterAutospacing="1"/>
        <w:ind w:left="420" w:leftChars="0" w:hanging="420" w:firstLineChars="0"/>
      </w:pPr>
      <w:r>
        <w:t>标准化处理（使用ImageNet的均值和标准差）</w:t>
      </w:r>
    </w:p>
    <w:p w14:paraId="7520DC07">
      <w:r>
        <w:rPr>
          <w:b/>
        </w:rPr>
        <w:t>数据增强策略</w:t>
      </w:r>
      <w:r>
        <w:t>（提升泛化能力）：</w:t>
      </w:r>
    </w:p>
    <w:p w14:paraId="1668F1AC">
      <w:pPr>
        <w:numPr>
          <w:ilvl w:val="0"/>
          <w:numId w:val="1"/>
        </w:numPr>
        <w:spacing w:before="0" w:beforeAutospacing="1" w:after="0" w:afterAutospacing="1"/>
        <w:ind w:left="420" w:leftChars="0" w:hanging="420" w:firstLineChars="0"/>
      </w:pPr>
      <w:r>
        <w:t>随机水平/垂直翻转</w:t>
      </w:r>
    </w:p>
    <w:p w14:paraId="2143B782">
      <w:pPr>
        <w:numPr>
          <w:ilvl w:val="0"/>
          <w:numId w:val="1"/>
        </w:numPr>
        <w:spacing w:before="0" w:beforeAutospacing="1" w:after="0" w:afterAutospacing="1"/>
        <w:ind w:left="420" w:leftChars="0" w:hanging="420" w:firstLineChars="0"/>
      </w:pPr>
      <w:r>
        <w:t>随机旋转（±15度）</w:t>
      </w:r>
    </w:p>
    <w:p w14:paraId="38B1F7E3">
      <w:pPr>
        <w:numPr>
          <w:ilvl w:val="0"/>
          <w:numId w:val="1"/>
        </w:numPr>
        <w:spacing w:before="0" w:beforeAutospacing="1" w:after="0" w:afterAutospacing="1"/>
        <w:ind w:left="420" w:leftChars="0" w:hanging="420" w:firstLineChars="0"/>
      </w:pPr>
      <w:r>
        <w:t>随机亮度/对比度调整（±20%）</w:t>
      </w:r>
    </w:p>
    <w:p w14:paraId="615E5078">
      <w:pPr>
        <w:numPr>
          <w:ilvl w:val="0"/>
          <w:numId w:val="1"/>
        </w:numPr>
        <w:spacing w:before="0" w:beforeAutospacing="1" w:after="0" w:afterAutospacing="1"/>
        <w:ind w:left="420" w:leftChars="0" w:hanging="420" w:firstLineChars="0"/>
      </w:pPr>
      <w:r>
        <w:t>随机仿射变换</w:t>
      </w:r>
    </w:p>
    <w:p w14:paraId="645B45D4">
      <w:pPr>
        <w:numPr>
          <w:ilvl w:val="0"/>
          <w:numId w:val="1"/>
        </w:numPr>
        <w:spacing w:before="0" w:beforeAutospacing="1" w:after="0" w:afterAutospacing="1"/>
        <w:ind w:left="420" w:leftChars="0" w:hanging="420" w:firstLineChars="0"/>
      </w:pPr>
      <w:r>
        <w:rPr>
          <w:b/>
        </w:rPr>
        <w:t>加权采样</w:t>
      </w:r>
      <w:r>
        <w:t>（给少数类别更高的采样权重，缓解类别不平衡）</w:t>
      </w:r>
    </w:p>
    <w:p w14:paraId="7AE2F18A">
      <w:pPr>
        <w:pStyle w:val="4"/>
      </w:pPr>
      <w:r>
        <w:t>4.4 训练配置</w:t>
      </w:r>
    </w:p>
    <w:p w14:paraId="4B298162">
      <w:r>
        <w:rPr>
          <w:b/>
        </w:rPr>
        <w:t>核心超参数</w:t>
      </w:r>
      <w:r>
        <w:t>（参考经典微调设置）：</w:t>
      </w:r>
    </w:p>
    <w:p w14:paraId="1001C4B7">
      <w:pPr>
        <w:numPr>
          <w:ilvl w:val="0"/>
          <w:numId w:val="1"/>
        </w:numPr>
        <w:spacing w:before="0" w:beforeAutospacing="1" w:after="0" w:afterAutospacing="1"/>
        <w:ind w:left="420" w:leftChars="0" w:hanging="420" w:firstLineChars="0"/>
      </w:pPr>
      <w:r>
        <w:t>损失函数：加权交叉熵（根据类别分布计算权重）</w:t>
      </w:r>
    </w:p>
    <w:p w14:paraId="2C55FC9B">
      <w:pPr>
        <w:numPr>
          <w:ilvl w:val="0"/>
          <w:numId w:val="1"/>
        </w:numPr>
        <w:spacing w:before="0" w:beforeAutospacing="1" w:after="0" w:afterAutospacing="1"/>
        <w:ind w:left="420" w:leftChars="0" w:hanging="420" w:firstLineChars="0"/>
      </w:pPr>
      <w:r>
        <w:t>优化器：AdamW</w:t>
      </w:r>
    </w:p>
    <w:p w14:paraId="766DF675">
      <w:pPr>
        <w:numPr>
          <w:ilvl w:val="0"/>
          <w:numId w:val="1"/>
        </w:numPr>
        <w:spacing w:before="0" w:beforeAutospacing="1" w:after="0" w:afterAutospacing="1"/>
        <w:ind w:left="420" w:leftChars="0" w:hanging="420" w:firstLineChars="0"/>
      </w:pPr>
      <w:r>
        <w:t>学习率：2e-5（较小，避免破坏预训练特征）</w:t>
      </w:r>
    </w:p>
    <w:p w14:paraId="7946A951">
      <w:pPr>
        <w:numPr>
          <w:ilvl w:val="0"/>
          <w:numId w:val="1"/>
        </w:numPr>
        <w:spacing w:before="0" w:beforeAutospacing="1" w:after="0" w:afterAutospacing="1"/>
        <w:ind w:left="420" w:leftChars="0" w:hanging="420" w:firstLineChars="0"/>
      </w:pPr>
      <w:r>
        <w:t>学习率调度器：余弦退火</w:t>
      </w:r>
    </w:p>
    <w:p w14:paraId="40F5F484">
      <w:pPr>
        <w:numPr>
          <w:ilvl w:val="0"/>
          <w:numId w:val="1"/>
        </w:numPr>
        <w:spacing w:before="0" w:beforeAutospacing="1" w:after="0" w:afterAutospacing="1"/>
        <w:ind w:left="420" w:leftChars="0" w:hanging="420" w:firstLineChars="0"/>
      </w:pPr>
      <w:r>
        <w:t>Epochs：20-30</w:t>
      </w:r>
    </w:p>
    <w:p w14:paraId="5C1F70DD">
      <w:pPr>
        <w:numPr>
          <w:ilvl w:val="0"/>
          <w:numId w:val="1"/>
        </w:numPr>
        <w:spacing w:before="0" w:beforeAutospacing="1" w:after="0" w:afterAutospacing="1"/>
        <w:ind w:left="420" w:leftChars="0" w:hanging="420" w:firstLineChars="0"/>
      </w:pPr>
      <w:r>
        <w:t>Batch Size：32（可根据GPU显存调整）</w:t>
      </w:r>
    </w:p>
    <w:p w14:paraId="5629314E">
      <w:pPr>
        <w:numPr>
          <w:ilvl w:val="0"/>
          <w:numId w:val="1"/>
        </w:numPr>
        <w:spacing w:before="0" w:beforeAutospacing="1" w:after="0" w:afterAutospacing="1"/>
        <w:ind w:left="420" w:leftChars="0" w:hanging="420" w:firstLineChars="0"/>
      </w:pPr>
      <w:r>
        <w:t>分类头替换：将原ViT的1000类ImageNet分类头替换为7类新头</w:t>
      </w:r>
    </w:p>
    <w:p w14:paraId="4DE85C86">
      <w:pPr>
        <w:pStyle w:val="4"/>
      </w:pPr>
      <w:r>
        <w:t>4.5 模型微调原理</w:t>
      </w:r>
    </w:p>
    <w:p w14:paraId="3C43BDCC">
      <w:r>
        <w:t>所谓"微调"，指的是在预训练模型的基础上，用目标任务的数据对模型参数进行小范围调整。具体到ViT，通常的做法是：</w:t>
      </w:r>
    </w:p>
    <w:p w14:paraId="189A9DC2">
      <w:pPr>
        <w:numPr>
          <w:ilvl w:val="0"/>
          <w:numId w:val="2"/>
        </w:numPr>
        <w:spacing w:before="0" w:beforeAutospacing="1" w:after="0" w:afterAutospacing="1"/>
        <w:ind w:left="720" w:firstLine="0"/>
      </w:pPr>
      <w:r>
        <w:t>加载预训练权重</w:t>
      </w:r>
    </w:p>
    <w:p w14:paraId="19645FA5">
      <w:pPr>
        <w:numPr>
          <w:ilvl w:val="0"/>
          <w:numId w:val="2"/>
        </w:numPr>
        <w:spacing w:before="0" w:beforeAutospacing="1" w:after="0" w:afterAutospacing="1"/>
        <w:ind w:left="720" w:firstLine="0"/>
      </w:pPr>
      <w:r>
        <w:t>替换最后的分类头（从1000类改为7类）</w:t>
      </w:r>
    </w:p>
    <w:p w14:paraId="55B98435">
      <w:pPr>
        <w:numPr>
          <w:ilvl w:val="0"/>
          <w:numId w:val="2"/>
        </w:numPr>
        <w:spacing w:before="0" w:beforeAutospacing="1" w:after="0" w:afterAutospacing="1"/>
        <w:ind w:left="720" w:firstLine="0"/>
      </w:pPr>
      <w:r>
        <w:t>用较小的学习率（如2e-5）在HAM10000上继续训练若干轮</w:t>
      </w:r>
    </w:p>
    <w:p w14:paraId="30F79713">
      <w:r>
        <w:t>这样做的好处是：既能利用ViT在ImageNet等大规模数据集上学到的通用视觉特征，又能让模型适应皮肤镜图像的特殊分布，大大缩短训练时间。与从头训练相比，微调能够在更短的时间内取得更高的精度。</w:t>
      </w:r>
    </w:p>
    <w:p w14:paraId="6388C918">
      <w:pPr>
        <w:pStyle w:val="3"/>
      </w:pPr>
      <w:r>
        <w:t>五、完整的代码实现框架</w:t>
      </w:r>
    </w:p>
    <w:p w14:paraId="3838D4DC">
      <w:pPr>
        <w:ind w:firstLine="420" w:firstLineChars="0"/>
        <w:rPr>
          <w:i/>
          <w:iCs/>
          <w:sz w:val="21"/>
          <w:szCs w:val="21"/>
        </w:rPr>
      </w:pPr>
      <w:r>
        <w:rPr>
          <w:i/>
          <w:iCs/>
          <w:sz w:val="21"/>
          <w:szCs w:val="21"/>
        </w:rPr>
        <w:t>import torch</w:t>
      </w:r>
    </w:p>
    <w:p w14:paraId="1FAF96B3">
      <w:pPr>
        <w:ind w:firstLine="420" w:firstLineChars="0"/>
        <w:rPr>
          <w:i/>
          <w:iCs/>
          <w:sz w:val="21"/>
          <w:szCs w:val="21"/>
        </w:rPr>
      </w:pPr>
      <w:r>
        <w:rPr>
          <w:i/>
          <w:iCs/>
          <w:sz w:val="21"/>
          <w:szCs w:val="21"/>
        </w:rPr>
        <w:t>from torch.utils.data import Dataset, DataLoader</w:t>
      </w:r>
    </w:p>
    <w:p w14:paraId="2E4C95B7">
      <w:pPr>
        <w:ind w:firstLine="420" w:firstLineChars="0"/>
        <w:rPr>
          <w:i/>
          <w:iCs/>
          <w:sz w:val="21"/>
          <w:szCs w:val="21"/>
        </w:rPr>
      </w:pPr>
      <w:r>
        <w:rPr>
          <w:i/>
          <w:iCs/>
          <w:sz w:val="21"/>
          <w:szCs w:val="21"/>
        </w:rPr>
        <w:t>from torchvision import transforms</w:t>
      </w:r>
    </w:p>
    <w:p w14:paraId="1DA3A08E">
      <w:pPr>
        <w:ind w:firstLine="420" w:firstLineChars="0"/>
        <w:rPr>
          <w:i/>
          <w:iCs/>
          <w:sz w:val="21"/>
          <w:szCs w:val="21"/>
        </w:rPr>
      </w:pPr>
      <w:r>
        <w:rPr>
          <w:i/>
          <w:iCs/>
          <w:sz w:val="21"/>
          <w:szCs w:val="21"/>
        </w:rPr>
        <w:t>from transformers import ViTImageProcessor, ViTForImageClassification</w:t>
      </w:r>
    </w:p>
    <w:p w14:paraId="153D1179">
      <w:pPr>
        <w:ind w:firstLine="420" w:firstLineChars="0"/>
        <w:rPr>
          <w:i/>
          <w:iCs/>
          <w:sz w:val="21"/>
          <w:szCs w:val="21"/>
        </w:rPr>
      </w:pPr>
      <w:r>
        <w:rPr>
          <w:i/>
          <w:iCs/>
          <w:sz w:val="21"/>
          <w:szCs w:val="21"/>
        </w:rPr>
        <w:t>from sklearn.metrics import accuracy_score, classification_report</w:t>
      </w:r>
    </w:p>
    <w:p w14:paraId="40393393">
      <w:pPr>
        <w:ind w:firstLine="420" w:firstLineChars="0"/>
        <w:rPr>
          <w:i/>
          <w:iCs/>
          <w:sz w:val="21"/>
          <w:szCs w:val="21"/>
        </w:rPr>
      </w:pPr>
      <w:r>
        <w:rPr>
          <w:i/>
          <w:iCs/>
          <w:sz w:val="21"/>
          <w:szCs w:val="21"/>
        </w:rPr>
        <w:t>import pandas as pd</w:t>
      </w:r>
    </w:p>
    <w:p w14:paraId="44798E84">
      <w:pPr>
        <w:ind w:firstLine="420" w:firstLineChars="0"/>
        <w:rPr>
          <w:i/>
          <w:iCs/>
          <w:sz w:val="21"/>
          <w:szCs w:val="21"/>
        </w:rPr>
      </w:pPr>
      <w:r>
        <w:rPr>
          <w:i/>
          <w:iCs/>
          <w:sz w:val="21"/>
          <w:szCs w:val="21"/>
        </w:rPr>
        <w:t>from PIL import Image</w:t>
      </w:r>
    </w:p>
    <w:p w14:paraId="386F5CDF">
      <w:pPr>
        <w:ind w:firstLine="420" w:firstLineChars="0"/>
        <w:rPr>
          <w:i/>
          <w:iCs/>
          <w:sz w:val="21"/>
          <w:szCs w:val="21"/>
        </w:rPr>
      </w:pPr>
      <w:r>
        <w:rPr>
          <w:i/>
          <w:iCs/>
          <w:sz w:val="21"/>
          <w:szCs w:val="21"/>
        </w:rPr>
        <w:t># ========== 1. 加载数据集 ==========</w:t>
      </w:r>
    </w:p>
    <w:p w14:paraId="7837D09D">
      <w:pPr>
        <w:ind w:firstLine="420" w:firstLineChars="0"/>
        <w:rPr>
          <w:i/>
          <w:iCs/>
          <w:sz w:val="21"/>
          <w:szCs w:val="21"/>
        </w:rPr>
      </w:pPr>
      <w:r>
        <w:rPr>
          <w:i/>
          <w:iCs/>
          <w:sz w:val="21"/>
          <w:szCs w:val="21"/>
        </w:rPr>
        <w:t># 读取CSV文件，构建图像路径与标签的映射</w:t>
      </w:r>
    </w:p>
    <w:p w14:paraId="15EFEB5E">
      <w:pPr>
        <w:ind w:firstLine="420" w:firstLineChars="0"/>
        <w:rPr>
          <w:i/>
          <w:iCs/>
          <w:sz w:val="21"/>
          <w:szCs w:val="21"/>
        </w:rPr>
      </w:pPr>
      <w:r>
        <w:rPr>
          <w:i/>
          <w:iCs/>
          <w:sz w:val="21"/>
          <w:szCs w:val="21"/>
        </w:rPr>
        <w:t># HAM10000的CSV包含image_id和dx（诊断类型）两列关键信息</w:t>
      </w:r>
    </w:p>
    <w:p w14:paraId="5A2F3FA9">
      <w:pPr>
        <w:ind w:firstLine="420" w:firstLineChars="0"/>
        <w:rPr>
          <w:i/>
          <w:iCs/>
          <w:sz w:val="21"/>
          <w:szCs w:val="21"/>
        </w:rPr>
      </w:pPr>
      <w:r>
        <w:rPr>
          <w:i/>
          <w:iCs/>
          <w:sz w:val="21"/>
          <w:szCs w:val="21"/>
        </w:rPr>
        <w:t># 将7类病变名称映射为0-6的数字标签</w:t>
      </w:r>
    </w:p>
    <w:p w14:paraId="77BF2946">
      <w:pPr>
        <w:ind w:firstLine="420" w:firstLineChars="0"/>
        <w:rPr>
          <w:i/>
          <w:iCs/>
          <w:sz w:val="21"/>
          <w:szCs w:val="21"/>
        </w:rPr>
      </w:pPr>
      <w:r>
        <w:rPr>
          <w:i/>
          <w:iCs/>
          <w:sz w:val="21"/>
          <w:szCs w:val="21"/>
        </w:rPr>
        <w:t># ========== 2. 定义数据预处理 ==========</w:t>
      </w:r>
    </w:p>
    <w:p w14:paraId="0418D098">
      <w:pPr>
        <w:ind w:firstLine="420" w:firstLineChars="0"/>
        <w:rPr>
          <w:i/>
          <w:iCs/>
          <w:sz w:val="21"/>
          <w:szCs w:val="21"/>
        </w:rPr>
      </w:pPr>
      <w:r>
        <w:rPr>
          <w:i/>
          <w:iCs/>
          <w:sz w:val="21"/>
          <w:szCs w:val="21"/>
        </w:rPr>
        <w:t>processor = ViTImageProcessor.from_pretrained('google/vit-base-patch16-224-in21k')</w:t>
      </w:r>
    </w:p>
    <w:p w14:paraId="6DB9E5F4">
      <w:pPr>
        <w:ind w:firstLine="420" w:firstLineChars="0"/>
        <w:rPr>
          <w:i/>
          <w:iCs/>
          <w:sz w:val="21"/>
          <w:szCs w:val="21"/>
        </w:rPr>
      </w:pPr>
      <w:r>
        <w:rPr>
          <w:i/>
          <w:iCs/>
          <w:sz w:val="21"/>
          <w:szCs w:val="21"/>
        </w:rPr>
        <w:t>train_transform = transforms.Compose([</w:t>
      </w:r>
    </w:p>
    <w:p w14:paraId="4FE91B56">
      <w:pPr>
        <w:ind w:firstLine="420" w:firstLineChars="0"/>
        <w:rPr>
          <w:i/>
          <w:iCs/>
          <w:sz w:val="21"/>
          <w:szCs w:val="21"/>
        </w:rPr>
      </w:pPr>
      <w:r>
        <w:rPr>
          <w:i/>
          <w:iCs/>
          <w:sz w:val="21"/>
          <w:szCs w:val="21"/>
        </w:rPr>
        <w:t>transforms.Resize((224, 224)),</w:t>
      </w:r>
    </w:p>
    <w:p w14:paraId="227E4FFB">
      <w:pPr>
        <w:ind w:firstLine="420" w:firstLineChars="0"/>
        <w:rPr>
          <w:i/>
          <w:iCs/>
          <w:sz w:val="21"/>
          <w:szCs w:val="21"/>
        </w:rPr>
      </w:pPr>
      <w:r>
        <w:rPr>
          <w:i/>
          <w:iCs/>
          <w:sz w:val="21"/>
          <w:szCs w:val="21"/>
        </w:rPr>
        <w:t>transforms.RandomHorizontalFlip(),</w:t>
      </w:r>
    </w:p>
    <w:p w14:paraId="08D7089C">
      <w:pPr>
        <w:ind w:firstLine="420" w:firstLineChars="0"/>
        <w:rPr>
          <w:i/>
          <w:iCs/>
          <w:sz w:val="21"/>
          <w:szCs w:val="21"/>
        </w:rPr>
      </w:pPr>
      <w:r>
        <w:rPr>
          <w:i/>
          <w:iCs/>
          <w:sz w:val="21"/>
          <w:szCs w:val="21"/>
        </w:rPr>
        <w:t>transforms.RandomRotation(15),</w:t>
      </w:r>
    </w:p>
    <w:p w14:paraId="38B19D12">
      <w:pPr>
        <w:ind w:firstLine="420" w:firstLineChars="0"/>
        <w:rPr>
          <w:i/>
          <w:iCs/>
          <w:sz w:val="21"/>
          <w:szCs w:val="21"/>
        </w:rPr>
      </w:pPr>
      <w:r>
        <w:rPr>
          <w:i/>
          <w:iCs/>
          <w:sz w:val="21"/>
          <w:szCs w:val="21"/>
        </w:rPr>
        <w:t>transforms.ColorJitter(brightness=0.2, contrast=0.2),</w:t>
      </w:r>
    </w:p>
    <w:p w14:paraId="789F0996">
      <w:pPr>
        <w:ind w:firstLine="420" w:firstLineChars="0"/>
        <w:rPr>
          <w:i/>
          <w:iCs/>
          <w:sz w:val="21"/>
          <w:szCs w:val="21"/>
        </w:rPr>
      </w:pPr>
      <w:r>
        <w:rPr>
          <w:i/>
          <w:iCs/>
          <w:sz w:val="21"/>
          <w:szCs w:val="21"/>
        </w:rPr>
        <w:t>transforms.ToTensor(),</w:t>
      </w:r>
    </w:p>
    <w:p w14:paraId="060C1671">
      <w:pPr>
        <w:ind w:firstLine="420" w:firstLineChars="0"/>
        <w:rPr>
          <w:i/>
          <w:iCs/>
          <w:sz w:val="21"/>
          <w:szCs w:val="21"/>
        </w:rPr>
      </w:pPr>
      <w:r>
        <w:rPr>
          <w:i/>
          <w:iCs/>
          <w:sz w:val="21"/>
          <w:szCs w:val="21"/>
        </w:rPr>
        <w:t>transforms.Normalize(mean=processor.image_mean, std=processor.image_std)</w:t>
      </w:r>
    </w:p>
    <w:p w14:paraId="67FB31C9">
      <w:pPr>
        <w:ind w:firstLine="420" w:firstLineChars="0"/>
        <w:rPr>
          <w:i/>
          <w:iCs/>
          <w:sz w:val="21"/>
          <w:szCs w:val="21"/>
        </w:rPr>
      </w:pPr>
      <w:r>
        <w:rPr>
          <w:i/>
          <w:iCs/>
          <w:sz w:val="21"/>
          <w:szCs w:val="21"/>
        </w:rPr>
        <w:t>])</w:t>
      </w:r>
    </w:p>
    <w:p w14:paraId="7233781B">
      <w:pPr>
        <w:ind w:firstLine="420" w:firstLineChars="0"/>
        <w:rPr>
          <w:i/>
          <w:iCs/>
          <w:sz w:val="21"/>
          <w:szCs w:val="21"/>
        </w:rPr>
      </w:pPr>
      <w:r>
        <w:rPr>
          <w:i/>
          <w:iCs/>
          <w:sz w:val="21"/>
          <w:szCs w:val="21"/>
        </w:rPr>
        <w:t># ========== 3. 加载预训练ViT模型 ==========</w:t>
      </w:r>
    </w:p>
    <w:p w14:paraId="0082E64D">
      <w:pPr>
        <w:ind w:firstLine="420" w:firstLineChars="0"/>
        <w:rPr>
          <w:i/>
          <w:iCs/>
          <w:sz w:val="21"/>
          <w:szCs w:val="21"/>
        </w:rPr>
      </w:pPr>
      <w:r>
        <w:rPr>
          <w:i/>
          <w:iCs/>
          <w:sz w:val="21"/>
          <w:szCs w:val="21"/>
        </w:rPr>
        <w:t>model = ViTForImageClassification.from_pretrained(</w:t>
      </w:r>
    </w:p>
    <w:p w14:paraId="0C19F8FE">
      <w:pPr>
        <w:ind w:firstLine="420" w:firstLineChars="0"/>
        <w:rPr>
          <w:i/>
          <w:iCs/>
          <w:sz w:val="21"/>
          <w:szCs w:val="21"/>
        </w:rPr>
      </w:pPr>
      <w:r>
        <w:rPr>
          <w:i/>
          <w:iCs/>
          <w:sz w:val="21"/>
          <w:szCs w:val="21"/>
        </w:rPr>
        <w:t>'google/vit-base-patch16-224-in21k',</w:t>
      </w:r>
    </w:p>
    <w:p w14:paraId="34D8244C">
      <w:pPr>
        <w:ind w:firstLine="420" w:firstLineChars="0"/>
        <w:rPr>
          <w:i/>
          <w:iCs/>
          <w:sz w:val="21"/>
          <w:szCs w:val="21"/>
        </w:rPr>
      </w:pPr>
      <w:r>
        <w:rPr>
          <w:i/>
          <w:iCs/>
          <w:sz w:val="21"/>
          <w:szCs w:val="21"/>
        </w:rPr>
        <w:t>num_labels=7, # 7分类</w:t>
      </w:r>
    </w:p>
    <w:p w14:paraId="0D9098E5">
      <w:pPr>
        <w:ind w:firstLine="420" w:firstLineChars="0"/>
        <w:rPr>
          <w:i/>
          <w:iCs/>
          <w:sz w:val="21"/>
          <w:szCs w:val="21"/>
        </w:rPr>
      </w:pPr>
      <w:r>
        <w:rPr>
          <w:i/>
          <w:iCs/>
          <w:sz w:val="21"/>
          <w:szCs w:val="21"/>
        </w:rPr>
        <w:t>ignore_mismatched_sizes=True # 允许分类头尺寸不匹配</w:t>
      </w:r>
    </w:p>
    <w:p w14:paraId="5FCFECF7">
      <w:pPr>
        <w:ind w:firstLine="420" w:firstLineChars="0"/>
        <w:rPr>
          <w:i/>
          <w:iCs/>
          <w:sz w:val="21"/>
          <w:szCs w:val="21"/>
        </w:rPr>
      </w:pPr>
      <w:r>
        <w:rPr>
          <w:i/>
          <w:iCs/>
          <w:sz w:val="21"/>
          <w:szCs w:val="21"/>
        </w:rPr>
        <w:t>)</w:t>
      </w:r>
    </w:p>
    <w:p w14:paraId="314D8DF7">
      <w:pPr>
        <w:ind w:firstLine="420" w:firstLineChars="0"/>
        <w:rPr>
          <w:i/>
          <w:iCs/>
          <w:sz w:val="21"/>
          <w:szCs w:val="21"/>
        </w:rPr>
      </w:pPr>
      <w:r>
        <w:rPr>
          <w:i/>
          <w:iCs/>
          <w:sz w:val="21"/>
          <w:szCs w:val="21"/>
        </w:rPr>
        <w:t># ========== 4. 计算类别权重 ==========</w:t>
      </w:r>
    </w:p>
    <w:p w14:paraId="31166B60">
      <w:pPr>
        <w:ind w:firstLine="420" w:firstLineChars="0"/>
        <w:rPr>
          <w:i/>
          <w:iCs/>
          <w:sz w:val="21"/>
          <w:szCs w:val="21"/>
        </w:rPr>
      </w:pPr>
      <w:r>
        <w:rPr>
          <w:i/>
          <w:iCs/>
          <w:sz w:val="21"/>
          <w:szCs w:val="21"/>
        </w:rPr>
        <w:t># 根据训练集中各类别的样本数量计算加权交叉熵的权重</w:t>
      </w:r>
    </w:p>
    <w:p w14:paraId="62E46163">
      <w:pPr>
        <w:ind w:firstLine="420" w:firstLineChars="0"/>
        <w:rPr>
          <w:i/>
          <w:iCs/>
          <w:sz w:val="21"/>
          <w:szCs w:val="21"/>
        </w:rPr>
      </w:pPr>
      <w:r>
        <w:rPr>
          <w:i/>
          <w:iCs/>
          <w:sz w:val="21"/>
          <w:szCs w:val="21"/>
        </w:rPr>
        <w:t># 样本数越少的类别权重越高</w:t>
      </w:r>
    </w:p>
    <w:p w14:paraId="46FE07A8">
      <w:pPr>
        <w:ind w:firstLine="420" w:firstLineChars="0"/>
        <w:rPr>
          <w:i/>
          <w:iCs/>
          <w:sz w:val="21"/>
          <w:szCs w:val="21"/>
        </w:rPr>
      </w:pPr>
      <w:r>
        <w:rPr>
          <w:i/>
          <w:iCs/>
          <w:sz w:val="21"/>
          <w:szCs w:val="21"/>
        </w:rPr>
        <w:t># ========== 5. 训练循环 ==========</w:t>
      </w:r>
    </w:p>
    <w:p w14:paraId="7943C9FA">
      <w:pPr>
        <w:ind w:firstLine="420" w:firstLineChars="0"/>
        <w:rPr>
          <w:i/>
          <w:iCs/>
          <w:sz w:val="21"/>
          <w:szCs w:val="21"/>
        </w:rPr>
      </w:pPr>
      <w:r>
        <w:rPr>
          <w:i/>
          <w:iCs/>
          <w:sz w:val="21"/>
          <w:szCs w:val="21"/>
        </w:rPr>
        <w:t># 使用AdamW优化器，学习率2e-5</w:t>
      </w:r>
    </w:p>
    <w:p w14:paraId="08CB3EC3">
      <w:pPr>
        <w:ind w:firstLine="420" w:firstLineChars="0"/>
        <w:rPr>
          <w:i/>
          <w:iCs/>
          <w:sz w:val="21"/>
          <w:szCs w:val="21"/>
        </w:rPr>
      </w:pPr>
      <w:r>
        <w:rPr>
          <w:i/>
          <w:iCs/>
          <w:sz w:val="21"/>
          <w:szCs w:val="21"/>
        </w:rPr>
        <w:t># 每个epoch后在验证集上评估准确率</w:t>
      </w:r>
    </w:p>
    <w:p w14:paraId="42D85B77">
      <w:pPr>
        <w:ind w:firstLine="420" w:firstLineChars="0"/>
        <w:rPr>
          <w:i/>
          <w:iCs/>
          <w:sz w:val="21"/>
          <w:szCs w:val="21"/>
        </w:rPr>
      </w:pPr>
      <w:r>
        <w:rPr>
          <w:i/>
          <w:iCs/>
          <w:sz w:val="21"/>
          <w:szCs w:val="21"/>
        </w:rPr>
        <w:t># 保存验证集上表现最好的模型</w:t>
      </w:r>
    </w:p>
    <w:p w14:paraId="5B057586">
      <w:pPr>
        <w:ind w:firstLine="420" w:firstLineChars="0"/>
        <w:rPr>
          <w:i/>
          <w:iCs/>
          <w:sz w:val="21"/>
          <w:szCs w:val="21"/>
        </w:rPr>
      </w:pPr>
      <w:r>
        <w:rPr>
          <w:i/>
          <w:iCs/>
          <w:sz w:val="21"/>
          <w:szCs w:val="21"/>
        </w:rPr>
        <w:t># ========== 6. 模型评估 ==========</w:t>
      </w:r>
    </w:p>
    <w:p w14:paraId="2610C1E4">
      <w:pPr>
        <w:ind w:firstLine="420" w:firstLineChars="0"/>
        <w:rPr>
          <w:i/>
          <w:iCs/>
          <w:sz w:val="21"/>
          <w:szCs w:val="21"/>
        </w:rPr>
      </w:pPr>
      <w:r>
        <w:rPr>
          <w:i/>
          <w:iCs/>
          <w:sz w:val="21"/>
          <w:szCs w:val="21"/>
        </w:rPr>
        <w:t># 在测试集上输出：</w:t>
      </w:r>
    </w:p>
    <w:p w14:paraId="02451E42">
      <w:pPr>
        <w:ind w:firstLine="420" w:firstLineChars="0"/>
        <w:rPr>
          <w:i/>
          <w:iCs/>
          <w:sz w:val="21"/>
          <w:szCs w:val="21"/>
        </w:rPr>
      </w:pPr>
      <w:r>
        <w:rPr>
          <w:i/>
          <w:iCs/>
          <w:sz w:val="21"/>
          <w:szCs w:val="21"/>
        </w:rPr>
        <w:t># - 总体准确率</w:t>
      </w:r>
    </w:p>
    <w:p w14:paraId="4D5BCF69">
      <w:pPr>
        <w:ind w:firstLine="420" w:firstLineChars="0"/>
        <w:rPr>
          <w:i/>
          <w:iCs/>
          <w:sz w:val="21"/>
          <w:szCs w:val="21"/>
        </w:rPr>
      </w:pPr>
      <w:r>
        <w:rPr>
          <w:i/>
          <w:iCs/>
          <w:sz w:val="21"/>
          <w:szCs w:val="21"/>
        </w:rPr>
        <w:t># - 各类别的Precision、Recall、F1-score</w:t>
      </w:r>
    </w:p>
    <w:p w14:paraId="40FC38A7">
      <w:pPr>
        <w:ind w:firstLine="420" w:firstLineChars="0"/>
        <w:rPr>
          <w:i/>
          <w:iCs/>
          <w:sz w:val="21"/>
          <w:szCs w:val="21"/>
        </w:rPr>
      </w:pPr>
      <w:r>
        <w:rPr>
          <w:i/>
          <w:iCs/>
          <w:sz w:val="21"/>
          <w:szCs w:val="21"/>
        </w:rPr>
        <w:t># - 混淆矩阵可视化</w:t>
      </w:r>
    </w:p>
    <w:p w14:paraId="6681F74E">
      <w:pPr>
        <w:ind w:firstLine="420" w:firstLineChars="0"/>
        <w:rPr>
          <w:i/>
          <w:iCs/>
          <w:sz w:val="21"/>
          <w:szCs w:val="21"/>
        </w:rPr>
      </w:pPr>
    </w:p>
    <w:p w14:paraId="71031218">
      <w:r>
        <w:t>完整的可运行代码可以参考Hugging Face官方文档的ViT微调示例，或Eran Feit的详细教程。</w:t>
      </w:r>
    </w:p>
    <w:p w14:paraId="23C81CA8">
      <w:pPr>
        <w:pStyle w:val="3"/>
      </w:pPr>
      <w:r>
        <w:t>六、参考文献</w:t>
      </w:r>
    </w:p>
    <w:p w14:paraId="0462B766">
      <w:pPr>
        <w:pStyle w:val="4"/>
      </w:pPr>
      <w:r>
        <w:t>6.1 核心必读文献</w:t>
      </w:r>
    </w:p>
    <w:p w14:paraId="43946899">
      <w:pPr>
        <w:numPr>
          <w:ilvl w:val="0"/>
          <w:numId w:val="3"/>
        </w:numPr>
        <w:spacing w:before="0" w:beforeAutospacing="1" w:after="0" w:afterAutospacing="1"/>
        <w:ind w:left="300" w:leftChars="0" w:firstLine="0"/>
      </w:pPr>
      <w:r>
        <w:rPr>
          <w:b/>
        </w:rPr>
        <w:t>Dosovitskiy A, Beyer L, Kolesnikov A, et al. An Image is Worth 16x16 Words: Transformers for Image Recognition at Scale.</w:t>
      </w:r>
      <w:r>
        <w:rPr>
          <w:rStyle w:val="21"/>
          <w:b/>
        </w:rPr>
        <w:t>ICLR</w:t>
      </w:r>
      <w:r>
        <w:rPr>
          <w:b/>
        </w:rPr>
        <w:t>, 2021.</w:t>
      </w:r>
    </w:p>
    <w:p w14:paraId="45D80B71">
      <w:pPr>
        <w:spacing w:before="0" w:beforeAutospacing="1" w:after="0" w:afterAutospacing="1"/>
        <w:ind w:left="720"/>
      </w:pPr>
      <w:r>
        <w:t>—— ViT原始论文，提出将Transformer架构用于图像分类的开创性工作。</w:t>
      </w:r>
    </w:p>
    <w:p w14:paraId="4B3BBA4C">
      <w:pPr>
        <w:numPr>
          <w:ilvl w:val="0"/>
          <w:numId w:val="3"/>
        </w:numPr>
        <w:spacing w:before="0" w:beforeAutospacing="1" w:after="0" w:afterAutospacing="1"/>
        <w:ind w:left="300" w:leftChars="0" w:firstLine="0"/>
      </w:pPr>
      <w:r>
        <w:rPr>
          <w:b/>
        </w:rPr>
        <w:t>Tschandl P, Rosendahl C, Kittler H. The HAM10000 Dataset: A Large Collection of Multi-Source Dermatoscopic Images of Common Pigmented Skin Lesions.</w:t>
      </w:r>
      <w:r>
        <w:rPr>
          <w:rStyle w:val="21"/>
          <w:b/>
        </w:rPr>
        <w:t>Scientific Data</w:t>
      </w:r>
      <w:r>
        <w:rPr>
          <w:b/>
        </w:rPr>
        <w:t>, 2018, 5: 180161.</w:t>
      </w:r>
    </w:p>
    <w:p w14:paraId="7776F7D6">
      <w:pPr>
        <w:spacing w:before="0" w:beforeAutospacing="1" w:after="0" w:afterAutospacing="1"/>
        <w:ind w:left="720"/>
      </w:pPr>
      <w:r>
        <w:t>—— HAM10000数据集的原始论文，详细介绍数据集的构建与标注过程。</w:t>
      </w:r>
    </w:p>
    <w:p w14:paraId="09AE2445">
      <w:pPr>
        <w:numPr>
          <w:ilvl w:val="0"/>
          <w:numId w:val="3"/>
        </w:numPr>
        <w:spacing w:before="0" w:beforeAutospacing="1" w:after="0" w:afterAutospacing="1"/>
        <w:ind w:left="300" w:leftChars="0" w:firstLine="0"/>
      </w:pPr>
      <w:r>
        <w:rPr>
          <w:b/>
        </w:rPr>
        <w:t>Aruk I, et al. A Comprehensive Comparison of Convolutional Neural Network and Visual Transformer Models on Skin Cancer Classification.</w:t>
      </w:r>
      <w:r>
        <w:rPr>
          <w:rStyle w:val="21"/>
          <w:b/>
        </w:rPr>
        <w:t>Computers in Biology and Chemistry</w:t>
      </w:r>
      <w:r>
        <w:rPr>
          <w:b/>
        </w:rPr>
        <w:t>, 2026, 120: 108713.</w:t>
      </w:r>
    </w:p>
    <w:p w14:paraId="6612854A">
      <w:pPr>
        <w:spacing w:before="0" w:beforeAutospacing="1" w:after="0" w:afterAutospacing="1"/>
        <w:ind w:left="720"/>
      </w:pPr>
      <w:r>
        <w:t>—— 最新的ViT与CNN全面对比研究，可作为实验对比的参考基准。</w:t>
      </w:r>
    </w:p>
    <w:p w14:paraId="6DD47FA1">
      <w:pPr>
        <w:pStyle w:val="4"/>
      </w:pPr>
      <w:r>
        <w:t>6.2 拓展阅读</w:t>
      </w:r>
    </w:p>
    <w:p w14:paraId="11A957AA">
      <w:pPr>
        <w:numPr>
          <w:ilvl w:val="0"/>
          <w:numId w:val="4"/>
        </w:numPr>
        <w:spacing w:before="0" w:beforeAutospacing="1" w:after="0" w:afterAutospacing="1"/>
        <w:ind w:left="300" w:leftChars="0" w:firstLine="0"/>
      </w:pPr>
      <w:r>
        <w:rPr>
          <w:b/>
        </w:rPr>
        <w:t>Himel GMS, et al. Skin Cancer Segmentation and Classification Using Vision Transformer for Automatic Analysis in Dermatoscopy-based Non-invasive Digital System.</w:t>
      </w:r>
      <w:r>
        <w:rPr>
          <w:rStyle w:val="21"/>
          <w:b/>
        </w:rPr>
        <w:t>arXiv preprint arXiv:2401.04746</w:t>
      </w:r>
      <w:r>
        <w:rPr>
          <w:b/>
        </w:rPr>
        <w:t>, 2024.</w:t>
      </w:r>
    </w:p>
    <w:p w14:paraId="16B2AF12">
      <w:pPr>
        <w:spacing w:before="0" w:beforeAutospacing="1" w:after="0" w:afterAutospacing="1"/>
        <w:ind w:left="720"/>
      </w:pPr>
      <w:r>
        <w:t>—— 专门针对HAM10000的ViT应用研究，包含详细的实验设计和结果。</w:t>
      </w:r>
    </w:p>
    <w:p w14:paraId="60AA0230">
      <w:pPr>
        <w:numPr>
          <w:ilvl w:val="0"/>
          <w:numId w:val="4"/>
        </w:numPr>
        <w:spacing w:before="0" w:beforeAutospacing="1" w:after="0" w:afterAutospacing="1"/>
        <w:ind w:left="300" w:leftChars="0" w:firstLine="0"/>
      </w:pPr>
      <w:r>
        <w:rPr>
          <w:b/>
        </w:rPr>
        <w:t>Zoravar M, et al. Domain Adaptive Skin Lesion Classification via Conformal Ensemble of Vision Transformers.</w:t>
      </w:r>
      <w:r>
        <w:rPr>
          <w:rStyle w:val="21"/>
          <w:b/>
        </w:rPr>
        <w:t>CCECE</w:t>
      </w:r>
      <w:r>
        <w:rPr>
          <w:b/>
        </w:rPr>
        <w:t>, 2025.</w:t>
      </w:r>
    </w:p>
    <w:p w14:paraId="1C82BFE9">
      <w:pPr>
        <w:spacing w:before="0" w:beforeAutospacing="1" w:after="0" w:afterAutospacing="1"/>
        <w:ind w:left="720"/>
      </w:pPr>
      <w:r>
        <w:t>—— 展示ViT在域适应场景中的能力，可作为进阶参考。</w:t>
      </w:r>
    </w:p>
    <w:p w14:paraId="113BE9C7">
      <w:pPr>
        <w:numPr>
          <w:ilvl w:val="0"/>
          <w:numId w:val="4"/>
        </w:numPr>
        <w:spacing w:before="0" w:beforeAutospacing="1" w:after="0" w:afterAutospacing="1"/>
        <w:ind w:left="300" w:leftChars="0" w:firstLine="0"/>
      </w:pPr>
      <w:r>
        <w:rPr>
          <w:b/>
        </w:rPr>
        <w:t>Najjar FH, et al. Transformer-aided Skin Cancer Classification Using VGG19-based Feature Encoding.</w:t>
      </w:r>
      <w:r>
        <w:rPr>
          <w:rStyle w:val="21"/>
          <w:b/>
        </w:rPr>
        <w:t>Scientific Reports</w:t>
      </w:r>
      <w:r>
        <w:rPr>
          <w:b/>
        </w:rPr>
        <w:t>, 2025, 15: 40204.</w:t>
      </w:r>
    </w:p>
    <w:p w14:paraId="549ABB86">
      <w:pPr>
        <w:spacing w:before="0" w:beforeAutospacing="1" w:after="0" w:afterAutospacing="1"/>
        <w:ind w:left="720"/>
      </w:pPr>
      <w:r>
        <w:t>—— ViT与传统CNN特征提取的混合方法研究，展示模型融合思路。</w:t>
      </w:r>
    </w:p>
    <w:p w14:paraId="58F46A78">
      <w:pPr>
        <w:pStyle w:val="4"/>
      </w:pPr>
      <w:r>
        <w:t>6.3 技术参考（复现用）</w:t>
      </w:r>
    </w:p>
    <w:p w14:paraId="5F5B3A32">
      <w:pPr>
        <w:numPr>
          <w:ilvl w:val="0"/>
          <w:numId w:val="5"/>
        </w:numPr>
        <w:spacing w:before="0" w:beforeAutospacing="1" w:after="0" w:afterAutospacing="1"/>
        <w:ind w:left="420" w:leftChars="0" w:hanging="420" w:firstLineChars="0"/>
      </w:pPr>
      <w:r>
        <w:t>Hugging Face官方ViT文档：</w:t>
      </w:r>
      <w:r>
        <w:fldChar w:fldCharType="begin"/>
      </w:r>
      <w:r>
        <w:instrText xml:space="preserve"> HYPERLINK "https://huggingface.co/docs/transformers/model_doc/vit" </w:instrText>
      </w:r>
      <w:r>
        <w:fldChar w:fldCharType="separate"/>
      </w:r>
      <w:r>
        <w:rPr>
          <w:rStyle w:val="23"/>
        </w:rPr>
        <w:t>huggingface.co/docs/transformers/model_doc/vit</w:t>
      </w:r>
      <w:r>
        <w:fldChar w:fldCharType="end"/>
      </w:r>
    </w:p>
    <w:p w14:paraId="63F0546A">
      <w:pPr>
        <w:numPr>
          <w:ilvl w:val="0"/>
          <w:numId w:val="5"/>
        </w:numPr>
        <w:spacing w:before="0" w:beforeAutospacing="1" w:after="0" w:afterAutospacing="1"/>
        <w:ind w:left="420" w:leftChars="0" w:hanging="420" w:firstLineChars="0"/>
      </w:pPr>
      <w:r>
        <w:t>HAM10000数据集获取：</w:t>
      </w:r>
      <w:r>
        <w:fldChar w:fldCharType="begin"/>
      </w:r>
      <w:r>
        <w:instrText xml:space="preserve"> HYPERLINK "https://www.isic-archive.com/" </w:instrText>
      </w:r>
      <w:r>
        <w:fldChar w:fldCharType="separate"/>
      </w:r>
      <w:r>
        <w:rPr>
          <w:rStyle w:val="23"/>
        </w:rPr>
        <w:t>ISIC Archive</w:t>
      </w:r>
      <w:r>
        <w:fldChar w:fldCharType="end"/>
      </w:r>
      <w:r>
        <w:t>或</w:t>
      </w:r>
      <w:r>
        <w:fldChar w:fldCharType="begin"/>
      </w:r>
      <w:r>
        <w:instrText xml:space="preserve"> HYPERLINK "https://www.kaggle.com/datasets/kmader/skin-cancer-mnist-ham10000" </w:instrText>
      </w:r>
      <w:r>
        <w:fldChar w:fldCharType="separate"/>
      </w:r>
      <w:r>
        <w:rPr>
          <w:rStyle w:val="23"/>
        </w:rPr>
        <w:t>Kaggle</w:t>
      </w:r>
      <w:r>
        <w:fldChar w:fldCharType="end"/>
      </w:r>
    </w:p>
    <w:p w14:paraId="1D6B7222">
      <w:pPr>
        <w:numPr>
          <w:ilvl w:val="0"/>
          <w:numId w:val="5"/>
        </w:numPr>
        <w:spacing w:before="0" w:beforeAutospacing="1" w:after="0" w:afterAutospacing="1"/>
        <w:ind w:left="420" w:leftChars="0" w:hanging="420" w:firstLineChars="0"/>
      </w:pPr>
      <w:r>
        <w:t>CSDN技术博客：《从零到一：基于HuggingFace和PyTorch的Vision Transformer微调全流程解析》</w:t>
      </w:r>
    </w:p>
    <w:p w14:paraId="2D7DB8C2">
      <w:pPr>
        <w:pStyle w:val="3"/>
      </w:pPr>
      <w:r>
        <w:t>七、本选题的意义与价值</w:t>
      </w:r>
    </w:p>
    <w:p w14:paraId="56CD9985">
      <w:pPr>
        <w:pStyle w:val="4"/>
      </w:pPr>
      <w:r>
        <w:t>7.1 技术层面的意义</w:t>
      </w:r>
    </w:p>
    <w:p w14:paraId="355957D5">
      <w:pPr>
        <w:numPr>
          <w:ilvl w:val="0"/>
          <w:numId w:val="5"/>
        </w:numPr>
        <w:spacing w:before="0" w:beforeAutospacing="1" w:after="0" w:afterAutospacing="1"/>
        <w:ind w:left="420" w:leftChars="0" w:hanging="420" w:firstLineChars="0"/>
      </w:pPr>
      <w:r>
        <w:rPr>
          <w:b/>
        </w:rPr>
        <w:t>前沿技术实践</w:t>
      </w:r>
      <w:r>
        <w:t>：Vision Transformer代表着当前计算机视觉领域的先进发展方向，掌握ViT的微调流程是接触并理解前沿技术的重要入门路径。</w:t>
      </w:r>
    </w:p>
    <w:p w14:paraId="6905AD45">
      <w:pPr>
        <w:numPr>
          <w:ilvl w:val="0"/>
          <w:numId w:val="5"/>
        </w:numPr>
        <w:spacing w:before="0" w:beforeAutospacing="1" w:after="0" w:afterAutospacing="1"/>
        <w:ind w:left="420" w:leftChars="0" w:hanging="420" w:firstLineChars="0"/>
      </w:pPr>
      <w:r>
        <w:rPr>
          <w:b/>
        </w:rPr>
        <w:t>预训练+微调的完整流程</w:t>
      </w:r>
      <w:r>
        <w:t>：本项目涵盖了从数据加载、预处理、模型加载、微调训练到评估可视化的完整深度学习项目流程，有助于系统掌握模型微调的工程技能。</w:t>
      </w:r>
    </w:p>
    <w:p w14:paraId="0E92312E">
      <w:pPr>
        <w:numPr>
          <w:ilvl w:val="0"/>
          <w:numId w:val="5"/>
        </w:numPr>
        <w:spacing w:before="0" w:beforeAutospacing="1" w:after="0" w:afterAutospacing="1"/>
        <w:ind w:left="420" w:leftChars="0" w:hanging="420" w:firstLineChars="0"/>
      </w:pPr>
      <w:r>
        <w:rPr>
          <w:b/>
        </w:rPr>
        <w:t>为后续研究打下基础</w:t>
      </w:r>
      <w:r>
        <w:t>：掌握了本项目的完整流程后，可以轻松迁移到其他医学图像分类任务（如肺结节、眼底病变等），为未来的研究或项目提供可复用的技术框架。</w:t>
      </w:r>
    </w:p>
    <w:p w14:paraId="7C0BC98A">
      <w:pPr>
        <w:pStyle w:val="4"/>
      </w:pPr>
      <w:r>
        <w:t>7.2 社会应用层面的意义</w:t>
      </w:r>
    </w:p>
    <w:p w14:paraId="1FC44547">
      <w:pPr>
        <w:numPr>
          <w:ilvl w:val="0"/>
          <w:numId w:val="5"/>
        </w:numPr>
        <w:spacing w:before="0" w:beforeAutospacing="1" w:after="0" w:afterAutospacing="1"/>
        <w:ind w:left="420" w:leftChars="0" w:hanging="420" w:firstLineChars="0"/>
      </w:pPr>
      <w:r>
        <w:rPr>
          <w:b/>
        </w:rPr>
        <w:t>辅助诊断的价值</w:t>
      </w:r>
      <w:r>
        <w:t>：皮肤癌的发病率在全球范围内持续上升，而皮肤科医生的数量远不能满足日益增长的筛查需求。AI辅助诊断系统可以作为"第二阅片者"，帮助医生更快速地筛查可疑病灶，减少漏诊。</w:t>
      </w:r>
    </w:p>
    <w:p w14:paraId="41E35E87">
      <w:pPr>
        <w:numPr>
          <w:ilvl w:val="0"/>
          <w:numId w:val="5"/>
        </w:numPr>
        <w:spacing w:before="0" w:beforeAutospacing="1" w:after="0" w:afterAutospacing="1"/>
        <w:ind w:left="420" w:leftChars="0" w:hanging="420" w:firstLineChars="0"/>
      </w:pPr>
      <w:r>
        <w:rPr>
          <w:b/>
        </w:rPr>
        <w:t>减轻医生负担</w:t>
      </w:r>
      <w:r>
        <w:t>：自动化的皮肤病变分类系统可以承担一部分初步筛查的工作，让医生将更多精力集中在高风险病例的深度分析上。</w:t>
      </w:r>
    </w:p>
    <w:p w14:paraId="267906BF">
      <w:pPr>
        <w:numPr>
          <w:ilvl w:val="0"/>
          <w:numId w:val="5"/>
        </w:numPr>
        <w:spacing w:before="0" w:beforeAutospacing="1" w:after="0" w:afterAutospacing="1"/>
        <w:ind w:left="420" w:leftChars="0" w:hanging="420" w:firstLineChars="0"/>
      </w:pPr>
      <w:r>
        <w:rPr>
          <w:b/>
        </w:rPr>
        <w:t>推动医疗资源下沉</w:t>
      </w:r>
      <w:r>
        <w:t>：基于ViT的移动端皮肤癌检测系统已在一些研究中得到验证，有潜力推广到医疗资源匮乏的地区，使更多人能够获得便捷的皮肤健康筛查服务。</w:t>
      </w:r>
    </w:p>
    <w:p w14:paraId="2069873B">
      <w:pPr>
        <w:pStyle w:val="4"/>
      </w:pPr>
      <w:r>
        <w:t>7.3 作为课程作业的优势</w:t>
      </w:r>
    </w:p>
    <w:p w14:paraId="572ED3A4">
      <w:pPr>
        <w:numPr>
          <w:ilvl w:val="0"/>
          <w:numId w:val="5"/>
        </w:numPr>
        <w:spacing w:before="0" w:beforeAutospacing="1" w:after="0" w:afterAutospacing="1"/>
        <w:ind w:left="420" w:leftChars="0" w:hanging="420" w:firstLineChars="0"/>
      </w:pPr>
      <w:r>
        <w:rPr>
          <w:b/>
        </w:rPr>
        <w:t>难度适中</w:t>
      </w:r>
      <w:r>
        <w:t>：使用预训练模型进行微调，无需从零搭建模型，代码量适中，适合在2-3周内完成。</w:t>
      </w:r>
    </w:p>
    <w:p w14:paraId="10841174">
      <w:pPr>
        <w:numPr>
          <w:ilvl w:val="0"/>
          <w:numId w:val="5"/>
        </w:numPr>
        <w:spacing w:before="0" w:beforeAutospacing="1" w:after="0" w:afterAutospacing="1"/>
        <w:ind w:left="420" w:leftChars="0" w:hanging="420" w:firstLineChars="0"/>
      </w:pPr>
      <w:r>
        <w:rPr>
          <w:b/>
        </w:rPr>
        <w:t>效果直观</w:t>
      </w:r>
      <w:r>
        <w:t>：准确率可以轻松达到85%-90%以上，实验效果明显，适合撰写课程报告。</w:t>
      </w:r>
    </w:p>
    <w:p w14:paraId="2E9217F1">
      <w:pPr>
        <w:numPr>
          <w:ilvl w:val="0"/>
          <w:numId w:val="5"/>
        </w:numPr>
        <w:spacing w:before="0" w:beforeAutospacing="1" w:after="0" w:afterAutospacing="1"/>
        <w:ind w:left="420" w:leftChars="0" w:hanging="420" w:firstLineChars="0"/>
      </w:pPr>
      <w:r>
        <w:rPr>
          <w:b/>
        </w:rPr>
        <w:t>可扩展性强</w:t>
      </w:r>
      <w:r>
        <w:t>：在此基础上可以轻松增加对比实验（不同预训练模型、不同数据增强策略、ViT vs CNN对比等），让报告内容更丰富。</w:t>
      </w:r>
    </w:p>
    <w:p w14:paraId="6ACE30CB">
      <w:pPr>
        <w:numPr>
          <w:ilvl w:val="0"/>
          <w:numId w:val="5"/>
        </w:numPr>
        <w:spacing w:before="0" w:beforeAutospacing="1" w:after="100" w:afterAutospacing="1"/>
        <w:ind w:left="420" w:leftChars="0" w:hanging="420" w:firstLineChars="0"/>
      </w:pPr>
      <w:r>
        <w:rPr>
          <w:b/>
        </w:rPr>
        <w:t>契合热点</w:t>
      </w:r>
      <w:r>
        <w:t>：医疗AI和Transformer架构都是当前研究的热点方向，这一选题能够体现对前沿技术的关注和理解。</w:t>
      </w:r>
    </w:p>
    <w:p w14:paraId="673CBA01">
      <w:pPr>
        <w:keepNext w:val="0"/>
        <w:keepLines w:val="0"/>
        <w:pageBreakBefore w:val="0"/>
        <w:widowControl w:val="0"/>
        <w:kinsoku/>
        <w:wordWrap/>
        <w:overflowPunct/>
        <w:topLinePunct w:val="0"/>
        <w:autoSpaceDE/>
        <w:autoSpaceDN/>
        <w:bidi w:val="0"/>
        <w:adjustRightInd/>
        <w:snapToGrid w:val="0"/>
        <w:spacing w:before="157" w:beforeLines="50" w:after="157" w:afterLines="50" w:line="240" w:lineRule="auto"/>
        <w:ind w:firstLine="420"/>
        <w:textAlignment w:val="auto"/>
        <w:rPr>
          <w:rFonts w:ascii="楷体" w:hAnsi="楷体" w:eastAsia="楷体" w:cs="Times New Roman"/>
        </w:rPr>
      </w:pPr>
    </w:p>
    <w:sectPr>
      <w:pgSz w:w="11906" w:h="16838"/>
      <w:pgMar w:top="1134" w:right="1134" w:bottom="1134" w:left="1134" w:header="851" w:footer="992" w:gutter="567"/>
      <w:pgNumType w:start="1"/>
      <w:cols w:space="0" w:num="1"/>
      <w:rtlGutter w:val="0"/>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Monaco">
    <w:panose1 w:val="00000000000000000000"/>
    <w:charset w:val="00"/>
    <w:family w:val="roman"/>
    <w:pitch w:val="default"/>
    <w:sig w:usb0="A00002FF" w:usb1="500039FB" w:usb2="00000000" w:usb3="00000000" w:csb0="20000197" w:csb1="4F000000"/>
  </w:font>
  <w:font w:name="Consolas">
    <w:altName w:val="苹方-简"/>
    <w:panose1 w:val="020B0609020204030204"/>
    <w:charset w:val="00"/>
    <w:family w:val="modern"/>
    <w:pitch w:val="default"/>
    <w:sig w:usb0="00000000" w:usb1="00000000" w:usb2="00000001" w:usb3="00000000" w:csb0="6000019F" w:csb1="DFD70000"/>
  </w:font>
  <w:font w:name="微软雅黑">
    <w:altName w:val="汉仪旗黑"/>
    <w:panose1 w:val="020B0503020204020204"/>
    <w:charset w:val="86"/>
    <w:family w:val="swiss"/>
    <w:pitch w:val="default"/>
    <w:sig w:usb0="00000000" w:usb1="00000000" w:usb2="00000016" w:usb3="00000000" w:csb0="0004001F" w:csb1="00000000"/>
  </w:font>
  <w:font w:name="华文新魏">
    <w:altName w:val="苹方-简"/>
    <w:panose1 w:val="02010800040101010101"/>
    <w:charset w:val="86"/>
    <w:family w:val="auto"/>
    <w:pitch w:val="default"/>
    <w:sig w:usb0="00000000" w:usb1="00000000" w:usb2="00000000" w:usb3="00000000" w:csb0="00040000" w:csb1="00000000"/>
  </w:font>
  <w:font w:name="华文中宋">
    <w:altName w:val="汉仪书宋二KW"/>
    <w:panose1 w:val="02010600040101010101"/>
    <w:charset w:val="86"/>
    <w:family w:val="auto"/>
    <w:pitch w:val="default"/>
    <w:sig w:usb0="00000000" w:usb1="00000000" w:usb2="00000000" w:usb3="00000000" w:csb0="0004009F" w:csb1="DFD70000"/>
  </w:font>
  <w:font w:name="楷体">
    <w:altName w:val="汉仪楷体KW"/>
    <w:panose1 w:val="02010609060101010101"/>
    <w:charset w:val="86"/>
    <w:family w:val="modern"/>
    <w:pitch w:val="default"/>
    <w:sig w:usb0="00000000" w:usb1="00000000" w:usb2="00000016" w:usb3="00000000" w:csb0="00040001" w:csb1="00000000"/>
  </w:font>
  <w:font w:name="Cambria">
    <w:altName w:val="苹方-简"/>
    <w:panose1 w:val="02040503050406030204"/>
    <w:charset w:val="00"/>
    <w:family w:val="roman"/>
    <w:pitch w:val="default"/>
    <w:sig w:usb0="00000000" w:usb1="00000000" w:usb2="02000000" w:usb3="00000000" w:csb0="2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旗黑">
    <w:panose1 w:val="00020600040101010101"/>
    <w:charset w:val="86"/>
    <w:family w:val="auto"/>
    <w:pitch w:val="default"/>
    <w:sig w:usb0="A00002BF" w:usb1="1ACF7CFA" w:usb2="00000016" w:usb3="00000000" w:csb0="0004009F" w:csb1="DFD70000"/>
  </w:font>
  <w:font w:name="苹方-简">
    <w:panose1 w:val="020B0400000000000000"/>
    <w:charset w:val="86"/>
    <w:family w:val="auto"/>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 w:name="汉仪楷体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汉仪中等线KW">
    <w:panose1 w:val="01010104010101010101"/>
    <w:charset w:val="86"/>
    <w:family w:val="auto"/>
    <w:pitch w:val="default"/>
    <w:sig w:usb0="800002BF" w:usb1="004F7CFA" w:usb2="00000000" w:usb3="00000000" w:csb0="00040001"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Symbol">
    <w:altName w:val="Kingsoft Sign"/>
    <w:panose1 w:val="00000000000000000000"/>
    <w:charset w:val="00"/>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SimSong">
    <w:panose1 w:val="02020300000000000000"/>
    <w:charset w:val="86"/>
    <w:family w:val="auto"/>
    <w:pitch w:val="default"/>
    <w:sig w:usb0="800002BF" w:usb1="38CF7CFA" w:usb2="00000016" w:usb3="00000000" w:csb0="0004000D"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ind w:firstLine="480"/>
      </w:pPr>
      <w:r>
        <w:separator/>
      </w:r>
    </w:p>
  </w:footnote>
  <w:footnote w:type="continuationSeparator" w:id="1">
    <w:p>
      <w:pPr>
        <w:spacing w:line="30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BFF8BBD"/>
    <w:multiLevelType w:val="singleLevel"/>
    <w:tmpl w:val="BBFF8BBD"/>
    <w:lvl w:ilvl="0" w:tentative="0">
      <w:start w:val="4"/>
      <w:numFmt w:val="decimal"/>
      <w:lvlText w:val="%1."/>
      <w:lvlJc w:val="left"/>
      <w:pPr>
        <w:tabs>
          <w:tab w:val="left" w:pos="-420"/>
        </w:tabs>
        <w:ind w:left="300" w:firstLine="0"/>
      </w:pPr>
      <w:rPr>
        <w:sz w:val="24"/>
      </w:rPr>
    </w:lvl>
  </w:abstractNum>
  <w:abstractNum w:abstractNumId="1">
    <w:nsid w:val="E7FFA105"/>
    <w:multiLevelType w:val="singleLevel"/>
    <w:tmpl w:val="E7FFA105"/>
    <w:lvl w:ilvl="0" w:tentative="0">
      <w:start w:val="1"/>
      <w:numFmt w:val="bullet"/>
      <w:lvlText w:val=""/>
      <w:lvlJc w:val="left"/>
      <w:pPr>
        <w:ind w:left="420" w:hanging="420"/>
      </w:pPr>
      <w:rPr>
        <w:rFonts w:hint="default" w:ascii="Wingdings" w:hAnsi="Wingdings"/>
      </w:rPr>
    </w:lvl>
  </w:abstractNum>
  <w:abstractNum w:abstractNumId="2">
    <w:nsid w:val="FABC6699"/>
    <w:multiLevelType w:val="singleLevel"/>
    <w:tmpl w:val="FABC6699"/>
    <w:lvl w:ilvl="0" w:tentative="0">
      <w:start w:val="1"/>
      <w:numFmt w:val="bullet"/>
      <w:lvlText w:val=""/>
      <w:lvlJc w:val="left"/>
      <w:pPr>
        <w:ind w:left="420" w:hanging="420"/>
      </w:pPr>
      <w:rPr>
        <w:rFonts w:hint="default" w:ascii="Wingdings" w:hAnsi="Wingdings"/>
      </w:rPr>
    </w:lvl>
  </w:abstractNum>
  <w:abstractNum w:abstractNumId="3">
    <w:nsid w:val="FDAFABBD"/>
    <w:multiLevelType w:val="singleLevel"/>
    <w:tmpl w:val="FDAFABBD"/>
    <w:lvl w:ilvl="0" w:tentative="0">
      <w:start w:val="1"/>
      <w:numFmt w:val="decimal"/>
      <w:lvlText w:val="%1."/>
      <w:lvlJc w:val="left"/>
      <w:pPr>
        <w:ind w:left="720" w:firstLine="0"/>
      </w:pPr>
      <w:rPr>
        <w:sz w:val="24"/>
      </w:rPr>
    </w:lvl>
  </w:abstractNum>
  <w:abstractNum w:abstractNumId="4">
    <w:nsid w:val="7F5E81B8"/>
    <w:multiLevelType w:val="singleLevel"/>
    <w:tmpl w:val="7F5E81B8"/>
    <w:lvl w:ilvl="0" w:tentative="0">
      <w:start w:val="1"/>
      <w:numFmt w:val="decimal"/>
      <w:lvlText w:val="%1."/>
      <w:lvlJc w:val="left"/>
      <w:pPr>
        <w:tabs>
          <w:tab w:val="left" w:pos="-420"/>
        </w:tabs>
        <w:ind w:left="300" w:firstLine="0"/>
      </w:pPr>
      <w:rPr>
        <w:sz w:val="24"/>
      </w:rPr>
    </w:lvl>
  </w:abstractNum>
  <w:num w:numId="1">
    <w:abstractNumId w:val="2"/>
  </w:num>
  <w:num w:numId="2">
    <w:abstractNumId w:val="3"/>
  </w:num>
  <w:num w:numId="3">
    <w:abstractNumId w:val="4"/>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E4OTUzZmFkMDc3N2IzYjgyNjc0ODViMTkzNjVkMzEifQ=="/>
    <w:docVar w:name="KSO_WPS_MARK_KEY" w:val="46fcdec6-1776-483e-b702-5f350f1cd26e"/>
  </w:docVars>
  <w:rsids>
    <w:rsidRoot w:val="002D774B"/>
    <w:rsid w:val="00074906"/>
    <w:rsid w:val="000C2F17"/>
    <w:rsid w:val="00142064"/>
    <w:rsid w:val="001529D8"/>
    <w:rsid w:val="00190DDD"/>
    <w:rsid w:val="00196AAA"/>
    <w:rsid w:val="001B2F68"/>
    <w:rsid w:val="001D5FA0"/>
    <w:rsid w:val="0028368C"/>
    <w:rsid w:val="002A58D9"/>
    <w:rsid w:val="002D774B"/>
    <w:rsid w:val="003864FB"/>
    <w:rsid w:val="00424336"/>
    <w:rsid w:val="004D5EFD"/>
    <w:rsid w:val="005813D6"/>
    <w:rsid w:val="005C632E"/>
    <w:rsid w:val="0061677C"/>
    <w:rsid w:val="006339B3"/>
    <w:rsid w:val="00674926"/>
    <w:rsid w:val="006C6C67"/>
    <w:rsid w:val="006E7AAB"/>
    <w:rsid w:val="007017C3"/>
    <w:rsid w:val="008659C6"/>
    <w:rsid w:val="00877651"/>
    <w:rsid w:val="00947194"/>
    <w:rsid w:val="00A10404"/>
    <w:rsid w:val="00A95ACA"/>
    <w:rsid w:val="00AD0C08"/>
    <w:rsid w:val="00B45349"/>
    <w:rsid w:val="00C107D0"/>
    <w:rsid w:val="00C10F69"/>
    <w:rsid w:val="00C502BC"/>
    <w:rsid w:val="00C75BE0"/>
    <w:rsid w:val="00CB0D4E"/>
    <w:rsid w:val="00D711BF"/>
    <w:rsid w:val="00E60089"/>
    <w:rsid w:val="00E652EF"/>
    <w:rsid w:val="00EC0B49"/>
    <w:rsid w:val="14401E29"/>
    <w:rsid w:val="274D56FB"/>
    <w:rsid w:val="2FEF4227"/>
    <w:rsid w:val="437A5C34"/>
    <w:rsid w:val="4FA45643"/>
    <w:rsid w:val="4FFA6ED2"/>
    <w:rsid w:val="577F2A5D"/>
    <w:rsid w:val="5DFA2DDE"/>
    <w:rsid w:val="61046A31"/>
    <w:rsid w:val="75BE5F76"/>
    <w:rsid w:val="7CBB3803"/>
    <w:rsid w:val="7D77D832"/>
    <w:rsid w:val="BFEEF081"/>
    <w:rsid w:val="D7FB746B"/>
    <w:rsid w:val="EEC8335A"/>
    <w:rsid w:val="F7EA551D"/>
    <w:rsid w:val="FDEF939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qFormat="1" w:unhideWhenUsed="0" w:uiPriority="0" w:semiHidden="0"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nhideWhenUsed="0" w:uiPriority="99" w:semiHidden="0"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nhideWhenUsed="0" w:uiPriority="99"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0"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napToGrid w:val="0"/>
      <w:spacing w:line="300" w:lineRule="auto"/>
      <w:ind w:firstLine="641" w:firstLineChars="200"/>
      <w:jc w:val="both"/>
    </w:pPr>
    <w:rPr>
      <w:rFonts w:ascii="Calibri" w:hAnsi="Calibri" w:eastAsia="SimSong" w:cs="宋体"/>
      <w:kern w:val="2"/>
      <w:sz w:val="24"/>
      <w:szCs w:val="24"/>
      <w:lang w:val="en-US" w:eastAsia="zh-CN" w:bidi="ar-SA"/>
    </w:rPr>
  </w:style>
  <w:style w:type="paragraph" w:styleId="2">
    <w:name w:val="heading 1"/>
    <w:basedOn w:val="1"/>
    <w:next w:val="1"/>
    <w:link w:val="56"/>
    <w:qFormat/>
    <w:uiPriority w:val="9"/>
    <w:pPr>
      <w:keepNext/>
      <w:keepLines/>
      <w:spacing w:before="240" w:after="240" w:line="240" w:lineRule="auto"/>
      <w:jc w:val="center"/>
      <w:outlineLvl w:val="0"/>
    </w:pPr>
    <w:rPr>
      <w:b/>
      <w:bCs/>
      <w:kern w:val="44"/>
      <w:sz w:val="30"/>
      <w:szCs w:val="30"/>
    </w:rPr>
  </w:style>
  <w:style w:type="paragraph" w:styleId="3">
    <w:name w:val="heading 2"/>
    <w:basedOn w:val="1"/>
    <w:next w:val="1"/>
    <w:link w:val="57"/>
    <w:unhideWhenUsed/>
    <w:qFormat/>
    <w:uiPriority w:val="9"/>
    <w:pPr>
      <w:keepNext/>
      <w:keepLines/>
      <w:spacing w:before="260" w:after="260" w:line="416" w:lineRule="auto"/>
      <w:outlineLvl w:val="1"/>
    </w:pPr>
    <w:rPr>
      <w:rFonts w:ascii="Arial" w:hAnsi="Arial" w:eastAsia="黑体"/>
      <w:b/>
      <w:bCs/>
      <w:sz w:val="32"/>
      <w:szCs w:val="32"/>
    </w:rPr>
  </w:style>
  <w:style w:type="paragraph" w:styleId="4">
    <w:name w:val="heading 3"/>
    <w:basedOn w:val="1"/>
    <w:next w:val="1"/>
    <w:link w:val="58"/>
    <w:semiHidden/>
    <w:unhideWhenUsed/>
    <w:qFormat/>
    <w:uiPriority w:val="9"/>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9"/>
    <w:pPr>
      <w:keepNext/>
      <w:keepLines/>
      <w:spacing w:line="408" w:lineRule="auto"/>
      <w:outlineLvl w:val="3"/>
    </w:pPr>
    <w:rPr>
      <w:b/>
      <w:bCs/>
      <w:color w:val="1A1A1A"/>
    </w:rPr>
  </w:style>
  <w:style w:type="paragraph" w:styleId="6">
    <w:name w:val="heading 5"/>
    <w:basedOn w:val="1"/>
    <w:next w:val="1"/>
    <w:semiHidden/>
    <w:unhideWhenUsed/>
    <w:qFormat/>
    <w:uiPriority w:val="9"/>
    <w:pPr>
      <w:keepNext/>
      <w:keepLines/>
      <w:spacing w:line="408" w:lineRule="auto"/>
      <w:outlineLvl w:val="4"/>
    </w:pPr>
    <w:rPr>
      <w:b/>
      <w:bCs/>
      <w:color w:val="1A1A1A"/>
      <w:sz w:val="22"/>
      <w:szCs w:val="22"/>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7">
    <w:name w:val="Document Map"/>
    <w:basedOn w:val="1"/>
    <w:qFormat/>
    <w:uiPriority w:val="0"/>
    <w:pPr>
      <w:shd w:val="clear" w:color="auto" w:fill="000080"/>
    </w:pPr>
  </w:style>
  <w:style w:type="paragraph" w:styleId="8">
    <w:name w:val="toc 3"/>
    <w:basedOn w:val="1"/>
    <w:next w:val="1"/>
    <w:qFormat/>
    <w:uiPriority w:val="39"/>
    <w:pPr>
      <w:ind w:left="840" w:leftChars="400"/>
    </w:pPr>
  </w:style>
  <w:style w:type="paragraph" w:styleId="9">
    <w:name w:val="Balloon Text"/>
    <w:basedOn w:val="1"/>
    <w:link w:val="26"/>
    <w:qFormat/>
    <w:uiPriority w:val="0"/>
    <w:pPr>
      <w:spacing w:line="240" w:lineRule="auto"/>
    </w:pPr>
    <w:rPr>
      <w:sz w:val="18"/>
      <w:szCs w:val="18"/>
    </w:rPr>
  </w:style>
  <w:style w:type="paragraph" w:styleId="10">
    <w:name w:val="footer"/>
    <w:basedOn w:val="1"/>
    <w:link w:val="34"/>
    <w:qFormat/>
    <w:uiPriority w:val="0"/>
    <w:pPr>
      <w:tabs>
        <w:tab w:val="center" w:pos="4153"/>
        <w:tab w:val="right" w:pos="8306"/>
      </w:tabs>
      <w:spacing w:line="240" w:lineRule="auto"/>
      <w:jc w:val="left"/>
    </w:pPr>
    <w:rPr>
      <w:sz w:val="18"/>
      <w:szCs w:val="18"/>
    </w:rPr>
  </w:style>
  <w:style w:type="paragraph" w:styleId="11">
    <w:name w:val="header"/>
    <w:basedOn w:val="1"/>
    <w:link w:val="28"/>
    <w:qFormat/>
    <w:uiPriority w:val="0"/>
    <w:pPr>
      <w:pBdr>
        <w:bottom w:val="single" w:color="auto" w:sz="6" w:space="1"/>
      </w:pBdr>
      <w:tabs>
        <w:tab w:val="center" w:pos="4153"/>
        <w:tab w:val="right" w:pos="8306"/>
      </w:tabs>
      <w:spacing w:line="240" w:lineRule="auto"/>
      <w:jc w:val="center"/>
    </w:pPr>
    <w:rPr>
      <w:sz w:val="18"/>
      <w:szCs w:val="18"/>
    </w:rPr>
  </w:style>
  <w:style w:type="paragraph" w:styleId="12">
    <w:name w:val="toc 1"/>
    <w:basedOn w:val="1"/>
    <w:next w:val="1"/>
    <w:qFormat/>
    <w:uiPriority w:val="39"/>
    <w:pPr>
      <w:tabs>
        <w:tab w:val="right" w:leader="dot" w:pos="9180"/>
        <w:tab w:val="right" w:leader="middleDot" w:pos="9240"/>
      </w:tabs>
      <w:snapToGrid/>
      <w:spacing w:line="360" w:lineRule="auto"/>
    </w:pPr>
  </w:style>
  <w:style w:type="paragraph" w:styleId="13">
    <w:name w:val="toc 2"/>
    <w:basedOn w:val="1"/>
    <w:next w:val="1"/>
    <w:qFormat/>
    <w:uiPriority w:val="39"/>
    <w:pPr>
      <w:ind w:left="420" w:leftChars="200"/>
    </w:pPr>
  </w:style>
  <w:style w:type="paragraph" w:styleId="14">
    <w:name w:val="HTML Preformatted"/>
    <w:basedOn w:val="1"/>
    <w:link w:val="38"/>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pPr>
    <w:rPr>
      <w:rFonts w:ascii="宋体" w:hAnsi="宋体" w:eastAsia="宋体"/>
      <w:kern w:val="0"/>
    </w:rPr>
  </w:style>
  <w:style w:type="paragraph" w:styleId="15">
    <w:name w:val="Normal (Web)"/>
    <w:basedOn w:val="1"/>
    <w:qFormat/>
    <w:uiPriority w:val="99"/>
    <w:pPr>
      <w:widowControl/>
      <w:snapToGrid/>
      <w:spacing w:before="100" w:beforeAutospacing="1" w:after="100" w:afterAutospacing="1" w:line="240" w:lineRule="auto"/>
      <w:jc w:val="left"/>
    </w:pPr>
    <w:rPr>
      <w:rFonts w:ascii="宋体" w:hAnsi="宋体" w:eastAsia="宋体"/>
      <w:kern w:val="0"/>
    </w:rPr>
  </w:style>
  <w:style w:type="table" w:styleId="17">
    <w:name w:val="Table Grid"/>
    <w:basedOn w:val="16"/>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qFormat/>
    <w:uiPriority w:val="22"/>
    <w:rPr>
      <w:b/>
      <w:bCs/>
    </w:rPr>
  </w:style>
  <w:style w:type="character" w:styleId="20">
    <w:name w:val="FollowedHyperlink"/>
    <w:basedOn w:val="18"/>
    <w:qFormat/>
    <w:uiPriority w:val="99"/>
    <w:rPr>
      <w:color w:val="800080"/>
      <w:u w:val="single"/>
    </w:rPr>
  </w:style>
  <w:style w:type="character" w:styleId="21">
    <w:name w:val="Emphasis"/>
    <w:basedOn w:val="18"/>
    <w:qFormat/>
    <w:uiPriority w:val="20"/>
    <w:rPr>
      <w:i/>
      <w:iCs/>
    </w:rPr>
  </w:style>
  <w:style w:type="character" w:styleId="22">
    <w:name w:val="line number"/>
    <w:basedOn w:val="18"/>
    <w:qFormat/>
    <w:uiPriority w:val="0"/>
  </w:style>
  <w:style w:type="character" w:styleId="23">
    <w:name w:val="Hyperlink"/>
    <w:basedOn w:val="18"/>
    <w:qFormat/>
    <w:uiPriority w:val="99"/>
    <w:rPr>
      <w:color w:val="0000FF"/>
      <w:u w:val="single"/>
    </w:rPr>
  </w:style>
  <w:style w:type="paragraph" w:customStyle="1" w:styleId="24">
    <w:name w:val="paragraph"/>
    <w:basedOn w:val="1"/>
    <w:qFormat/>
    <w:uiPriority w:val="0"/>
    <w:pPr>
      <w:widowControl/>
      <w:snapToGrid/>
      <w:spacing w:before="100" w:beforeAutospacing="1" w:after="100" w:afterAutospacing="1" w:line="240" w:lineRule="auto"/>
      <w:jc w:val="left"/>
    </w:pPr>
    <w:rPr>
      <w:rFonts w:ascii="等线" w:hAnsi="等线"/>
    </w:rPr>
  </w:style>
  <w:style w:type="paragraph" w:styleId="25">
    <w:name w:val="No Spacing"/>
    <w:link w:val="30"/>
    <w:qFormat/>
    <w:uiPriority w:val="1"/>
    <w:rPr>
      <w:rFonts w:ascii="Calibri" w:hAnsi="Calibri" w:eastAsia="等线" w:cs="宋体"/>
      <w:kern w:val="2"/>
      <w:sz w:val="22"/>
      <w:szCs w:val="22"/>
      <w:lang w:val="en-US" w:eastAsia="zh-CN" w:bidi="ar-SA"/>
    </w:rPr>
  </w:style>
  <w:style w:type="character" w:customStyle="1" w:styleId="26">
    <w:name w:val="批注框文本 字符"/>
    <w:basedOn w:val="18"/>
    <w:link w:val="9"/>
    <w:qFormat/>
    <w:uiPriority w:val="0"/>
    <w:rPr>
      <w:sz w:val="18"/>
      <w:szCs w:val="18"/>
    </w:rPr>
  </w:style>
  <w:style w:type="paragraph" w:styleId="27">
    <w:name w:val="List Paragraph"/>
    <w:basedOn w:val="1"/>
    <w:qFormat/>
    <w:uiPriority w:val="34"/>
    <w:pPr>
      <w:ind w:firstLine="420" w:firstLineChars="200"/>
    </w:pPr>
  </w:style>
  <w:style w:type="character" w:customStyle="1" w:styleId="28">
    <w:name w:val="页眉 字符"/>
    <w:basedOn w:val="18"/>
    <w:link w:val="11"/>
    <w:qFormat/>
    <w:uiPriority w:val="0"/>
    <w:rPr>
      <w:sz w:val="18"/>
      <w:szCs w:val="18"/>
    </w:rPr>
  </w:style>
  <w:style w:type="character" w:customStyle="1" w:styleId="29">
    <w:name w:val="melo-codeblock-Base-theme-char"/>
    <w:qFormat/>
    <w:uiPriority w:val="0"/>
    <w:rPr>
      <w:rFonts w:ascii="Monaco" w:hAnsi="Monaco" w:eastAsia="Monaco" w:cs="Monaco"/>
      <w:color w:val="000000"/>
      <w:sz w:val="21"/>
    </w:rPr>
  </w:style>
  <w:style w:type="character" w:customStyle="1" w:styleId="30">
    <w:name w:val="无间隔 字符"/>
    <w:basedOn w:val="18"/>
    <w:link w:val="25"/>
    <w:qFormat/>
    <w:uiPriority w:val="1"/>
    <w:rPr>
      <w:rFonts w:ascii="Calibri" w:hAnsi="Calibri"/>
      <w:sz w:val="22"/>
      <w:szCs w:val="22"/>
    </w:rPr>
  </w:style>
  <w:style w:type="paragraph" w:customStyle="1" w:styleId="31">
    <w:name w:val="Default"/>
    <w:qFormat/>
    <w:uiPriority w:val="0"/>
    <w:pPr>
      <w:widowControl w:val="0"/>
      <w:autoSpaceDE w:val="0"/>
      <w:autoSpaceDN w:val="0"/>
      <w:adjustRightInd w:val="0"/>
    </w:pPr>
    <w:rPr>
      <w:rFonts w:ascii="宋体" w:hAnsi="Calibri" w:eastAsia="等线" w:cs="宋体"/>
      <w:color w:val="000000"/>
      <w:kern w:val="2"/>
      <w:sz w:val="24"/>
      <w:szCs w:val="24"/>
      <w:lang w:val="en-US" w:eastAsia="zh-CN" w:bidi="ar-SA"/>
    </w:rPr>
  </w:style>
  <w:style w:type="character" w:customStyle="1" w:styleId="32">
    <w:name w:val="search_content1"/>
    <w:basedOn w:val="18"/>
    <w:qFormat/>
    <w:uiPriority w:val="0"/>
    <w:rPr>
      <w:sz w:val="20"/>
      <w:szCs w:val="20"/>
    </w:rPr>
  </w:style>
  <w:style w:type="paragraph" w:customStyle="1" w:styleId="33">
    <w:name w:val="melo-codeblock-Base-theme-para"/>
    <w:basedOn w:val="1"/>
    <w:qFormat/>
    <w:uiPriority w:val="0"/>
    <w:pPr>
      <w:spacing w:line="360" w:lineRule="auto"/>
    </w:pPr>
    <w:rPr>
      <w:rFonts w:ascii="Monaco" w:hAnsi="Monaco" w:eastAsia="Monaco" w:cs="Monaco"/>
      <w:color w:val="000000"/>
      <w:sz w:val="21"/>
    </w:rPr>
  </w:style>
  <w:style w:type="character" w:customStyle="1" w:styleId="34">
    <w:name w:val="页脚 字符"/>
    <w:basedOn w:val="18"/>
    <w:link w:val="10"/>
    <w:qFormat/>
    <w:uiPriority w:val="0"/>
    <w:rPr>
      <w:sz w:val="18"/>
      <w:szCs w:val="18"/>
    </w:rPr>
  </w:style>
  <w:style w:type="character" w:customStyle="1" w:styleId="35">
    <w:name w:val="未处理的提及1"/>
    <w:basedOn w:val="18"/>
    <w:qFormat/>
    <w:uiPriority w:val="99"/>
    <w:rPr>
      <w:color w:val="605E5C"/>
      <w:shd w:val="clear" w:color="auto" w:fill="E1DFDD"/>
    </w:rPr>
  </w:style>
  <w:style w:type="character" w:customStyle="1" w:styleId="36">
    <w:name w:val="image-wrapper"/>
    <w:basedOn w:val="18"/>
    <w:qFormat/>
    <w:uiPriority w:val="0"/>
  </w:style>
  <w:style w:type="paragraph" w:customStyle="1" w:styleId="37">
    <w:name w:val="msonormal"/>
    <w:basedOn w:val="1"/>
    <w:qFormat/>
    <w:uiPriority w:val="0"/>
    <w:pPr>
      <w:widowControl/>
      <w:snapToGrid/>
      <w:spacing w:before="100" w:beforeAutospacing="1" w:after="100" w:afterAutospacing="1" w:line="240" w:lineRule="auto"/>
      <w:jc w:val="left"/>
    </w:pPr>
    <w:rPr>
      <w:rFonts w:ascii="宋体" w:hAnsi="宋体" w:eastAsia="宋体"/>
      <w:kern w:val="0"/>
    </w:rPr>
  </w:style>
  <w:style w:type="character" w:customStyle="1" w:styleId="38">
    <w:name w:val="HTML 预设格式 字符"/>
    <w:basedOn w:val="18"/>
    <w:link w:val="14"/>
    <w:qFormat/>
    <w:uiPriority w:val="99"/>
    <w:rPr>
      <w:rFonts w:ascii="宋体" w:hAnsi="宋体" w:eastAsia="宋体" w:cs="宋体"/>
      <w:kern w:val="0"/>
      <w:sz w:val="24"/>
    </w:rPr>
  </w:style>
  <w:style w:type="character" w:customStyle="1" w:styleId="39">
    <w:name w:val="kn"/>
    <w:basedOn w:val="18"/>
    <w:qFormat/>
    <w:uiPriority w:val="0"/>
  </w:style>
  <w:style w:type="character" w:customStyle="1" w:styleId="40">
    <w:name w:val="nn"/>
    <w:basedOn w:val="18"/>
    <w:qFormat/>
    <w:uiPriority w:val="0"/>
  </w:style>
  <w:style w:type="character" w:customStyle="1" w:styleId="41">
    <w:name w:val="k"/>
    <w:basedOn w:val="18"/>
    <w:qFormat/>
    <w:uiPriority w:val="0"/>
  </w:style>
  <w:style w:type="character" w:customStyle="1" w:styleId="42">
    <w:name w:val="nc"/>
    <w:basedOn w:val="18"/>
    <w:qFormat/>
    <w:uiPriority w:val="0"/>
  </w:style>
  <w:style w:type="character" w:customStyle="1" w:styleId="43">
    <w:name w:val="p"/>
    <w:basedOn w:val="18"/>
    <w:qFormat/>
    <w:uiPriority w:val="0"/>
  </w:style>
  <w:style w:type="character" w:customStyle="1" w:styleId="44">
    <w:name w:val="nb"/>
    <w:basedOn w:val="18"/>
    <w:qFormat/>
    <w:uiPriority w:val="0"/>
  </w:style>
  <w:style w:type="character" w:customStyle="1" w:styleId="45">
    <w:name w:val="nf"/>
    <w:basedOn w:val="18"/>
    <w:qFormat/>
    <w:uiPriority w:val="0"/>
  </w:style>
  <w:style w:type="character" w:customStyle="1" w:styleId="46">
    <w:name w:val="bp"/>
    <w:basedOn w:val="18"/>
    <w:qFormat/>
    <w:uiPriority w:val="0"/>
  </w:style>
  <w:style w:type="character" w:customStyle="1" w:styleId="47">
    <w:name w:val="n"/>
    <w:basedOn w:val="18"/>
    <w:qFormat/>
    <w:uiPriority w:val="0"/>
  </w:style>
  <w:style w:type="character" w:customStyle="1" w:styleId="48">
    <w:name w:val="o"/>
    <w:basedOn w:val="18"/>
    <w:qFormat/>
    <w:uiPriority w:val="0"/>
  </w:style>
  <w:style w:type="character" w:customStyle="1" w:styleId="49">
    <w:name w:val="s"/>
    <w:basedOn w:val="18"/>
    <w:qFormat/>
    <w:uiPriority w:val="0"/>
  </w:style>
  <w:style w:type="character" w:customStyle="1" w:styleId="50">
    <w:name w:val="sa"/>
    <w:basedOn w:val="18"/>
    <w:qFormat/>
    <w:uiPriority w:val="0"/>
  </w:style>
  <w:style w:type="character" w:customStyle="1" w:styleId="51">
    <w:name w:val="c1"/>
    <w:basedOn w:val="18"/>
    <w:qFormat/>
    <w:uiPriority w:val="0"/>
  </w:style>
  <w:style w:type="character" w:customStyle="1" w:styleId="52">
    <w:name w:val="ow"/>
    <w:basedOn w:val="18"/>
    <w:qFormat/>
    <w:uiPriority w:val="0"/>
  </w:style>
  <w:style w:type="character" w:customStyle="1" w:styleId="53">
    <w:name w:val="mi"/>
    <w:basedOn w:val="18"/>
    <w:qFormat/>
    <w:uiPriority w:val="0"/>
  </w:style>
  <w:style w:type="paragraph" w:customStyle="1" w:styleId="54">
    <w:name w:val="code"/>
    <w:next w:val="1"/>
    <w:qFormat/>
    <w:uiPriority w:val="0"/>
    <w:pPr>
      <w:pBdr>
        <w:top w:val="none" w:color="auto" w:sz="0" w:space="1"/>
        <w:left w:val="single" w:color="95B3D7" w:sz="24" w:space="4"/>
        <w:bottom w:val="none" w:color="auto" w:sz="0" w:space="1"/>
        <w:right w:val="none" w:color="auto" w:sz="0" w:space="4"/>
      </w:pBdr>
      <w:shd w:val="clear" w:color="auto" w:fill="F2F2F2"/>
      <w:spacing w:before="50" w:beforeLines="50" w:after="50" w:afterLines="50" w:line="240" w:lineRule="atLeast"/>
      <w:ind w:left="120" w:leftChars="50" w:right="120" w:rightChars="50"/>
    </w:pPr>
    <w:rPr>
      <w:rFonts w:ascii="Consolas" w:hAnsi="Consolas" w:eastAsia="Consolas" w:cs="Times New Roman"/>
      <w:kern w:val="0"/>
      <w:sz w:val="21"/>
      <w:szCs w:val="12"/>
      <w:shd w:val="clear" w:color="auto" w:fill="FFFFFF"/>
      <w:lang w:val="en-US" w:eastAsia="zh-CN" w:bidi="ar-SA"/>
    </w:rPr>
  </w:style>
  <w:style w:type="paragraph" w:customStyle="1" w:styleId="55">
    <w:name w:val="TOC Heading"/>
    <w:basedOn w:val="2"/>
    <w:next w:val="1"/>
    <w:qFormat/>
    <w:uiPriority w:val="39"/>
    <w:pPr>
      <w:spacing w:before="340" w:after="330" w:line="578" w:lineRule="auto"/>
      <w:jc w:val="both"/>
      <w:outlineLvl w:val="9"/>
    </w:pPr>
    <w:rPr>
      <w:sz w:val="44"/>
      <w:szCs w:val="44"/>
    </w:rPr>
  </w:style>
  <w:style w:type="character" w:customStyle="1" w:styleId="56">
    <w:name w:val="标题 1 字符"/>
    <w:basedOn w:val="18"/>
    <w:link w:val="2"/>
    <w:qFormat/>
    <w:uiPriority w:val="9"/>
    <w:rPr>
      <w:b/>
      <w:bCs/>
      <w:kern w:val="44"/>
      <w:sz w:val="30"/>
      <w:szCs w:val="30"/>
    </w:rPr>
  </w:style>
  <w:style w:type="character" w:customStyle="1" w:styleId="57">
    <w:name w:val="标题 2 字符"/>
    <w:basedOn w:val="18"/>
    <w:link w:val="3"/>
    <w:qFormat/>
    <w:uiPriority w:val="9"/>
    <w:rPr>
      <w:rFonts w:ascii="Arial" w:hAnsi="Arial" w:eastAsia="黑体"/>
      <w:b/>
      <w:bCs/>
      <w:sz w:val="32"/>
      <w:szCs w:val="32"/>
    </w:rPr>
  </w:style>
  <w:style w:type="character" w:customStyle="1" w:styleId="58">
    <w:name w:val="标题 3 字符"/>
    <w:basedOn w:val="18"/>
    <w:link w:val="4"/>
    <w:qFormat/>
    <w:uiPriority w:val="9"/>
    <w:rPr>
      <w:b/>
      <w:bCs/>
      <w:sz w:val="32"/>
      <w:szCs w:val="32"/>
    </w:rPr>
  </w:style>
  <w:style w:type="table" w:customStyle="1" w:styleId="59">
    <w:name w:val="无格式表格 11"/>
    <w:basedOn w:val="16"/>
    <w:qFormat/>
    <w:uiPriority w:val="41"/>
    <w:tblP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
    <w:tblStylePr w:type="firstRow">
      <w:rPr>
        <w:b/>
        <w:bCs/>
      </w:rPr>
    </w:tblStylePr>
    <w:tblStylePr w:type="lastRow">
      <w:rPr>
        <w:b/>
        <w:bCs/>
      </w:rPr>
      <w:tcPr>
        <w:tcBorders>
          <w:top w:val="double" w:color="BFBFBF" w:sz="4" w:space="0"/>
        </w:tcBorders>
      </w:tcPr>
    </w:tblStylePr>
    <w:tblStylePr w:type="firstCol">
      <w:rPr>
        <w:b/>
        <w:bCs/>
      </w:rPr>
    </w:tblStylePr>
    <w:tblStylePr w:type="lastCol">
      <w:rPr>
        <w:b/>
        <w:bCs/>
      </w:rPr>
    </w:tblStylePr>
    <w:tblStylePr w:type="band1Vert">
      <w:tcPr>
        <w:shd w:val="clear" w:color="auto" w:fill="F2F2F2"/>
      </w:tcPr>
    </w:tblStylePr>
    <w:tblStylePr w:type="band1Horz">
      <w:tcPr>
        <w:shd w:val="clear" w:color="auto" w:fill="F2F2F2"/>
      </w:tcPr>
    </w:tblStyle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Version="6" SelectedStyle="\APASixthEditionOfficeOnline.xsl"/>
</file>

<file path=customXml/itemProps1.xml><?xml version="1.0" encoding="utf-8"?>
<ds:datastoreItem xmlns:ds="http://schemas.openxmlformats.org/officeDocument/2006/customXml" ds:itemID="{FED21009-00C6-4AE9-8752-8731F1ED1B40}">
  <ds:schemaRefs/>
</ds:datastoreItem>
</file>

<file path=docProps/app.xml><?xml version="1.0" encoding="utf-8"?>
<Properties xmlns="http://schemas.openxmlformats.org/officeDocument/2006/extended-properties" xmlns:vt="http://schemas.openxmlformats.org/officeDocument/2006/docPropsVTypes">
  <Pages>9</Pages>
  <Words>1454</Words>
  <Characters>1717</Characters>
  <Lines>15</Lines>
  <Paragraphs>4</Paragraphs>
  <TotalTime>6</TotalTime>
  <ScaleCrop>false</ScaleCrop>
  <LinksUpToDate>false</LinksUpToDate>
  <CharactersWithSpaces>1773</CharactersWithSpaces>
  <Application>WPS Office_12.1.23135.23135_F1E327BC-269C-435d-A152-05C5408002CA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2024-04-15T01:51:00Z</dcterms:created>
  <dc:creator>WPS Office</dc:creator>
  <cp:lastModifiedBy>青春微凉</cp:lastModifiedBy>
  <dcterms:modified xsi:type="dcterms:W3CDTF">2026-04-13T18:26:44Z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37B95CFB648A066E2464F86713D9F4A3_43</vt:lpwstr>
  </property>
  <property fmtid="{D5CDD505-2E9C-101B-9397-08002B2CF9AE}" pid="3" name="KSOProductBuildVer">
    <vt:lpwstr>2052-12.1.23135.23135</vt:lpwstr>
  </property>
</Properties>
</file>