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上海热线统一认证系统项目管理案例分析——作业一</w:t>
      </w:r>
    </w:p>
    <w:p>
      <w:pPr>
        <w:pStyle w:val="Heading2"/>
      </w:pPr>
      <w:r>
        <w:rPr>
          <w:rFonts w:ascii="黑体" w:hAnsi="黑体" w:eastAsia="黑体"/>
        </w:rPr>
        <w:t>问题一：项目需求不明确时如何与甲方确定需求？如何管理项目范围？</w:t>
      </w:r>
    </w:p>
    <w:p>
      <w:pPr>
        <w:spacing w:line="360" w:lineRule="auto"/>
        <w:ind w:firstLine="420"/>
      </w:pPr>
      <w:r>
        <w:rPr>
          <w:rFonts w:ascii="宋体" w:hAnsi="宋体" w:eastAsia="宋体"/>
          <w:sz w:val="24"/>
        </w:rPr>
        <w:t>本项目用户需求仅有初步产品概念，具体需求需项目团队自行明确，这属于典型的"范围模糊"项目。结合PMBOK范围管理知识，应采取以下措施：</w:t>
      </w:r>
    </w:p>
    <w:p>
      <w:pPr>
        <w:spacing w:line="360" w:lineRule="auto"/>
        <w:ind w:firstLine="420"/>
      </w:pPr>
      <w:r>
        <w:rPr>
          <w:rFonts w:ascii="宋体" w:hAnsi="宋体" w:eastAsia="宋体"/>
          <w:sz w:val="24"/>
        </w:rPr>
        <w:t>一、需求获取与确认。采用"渐进明细"（Progressive Elaboration）策略，运用原型法（Prototyping）快速构建系统界面原型和关键流程Demo，与甲方进行面对面需求访谈和焦点小组讨论（Focus Group），将模糊的产品概念转化为可视化的功能展示。同时，采用引导式研讨会（Facilitated Workshop）邀请甲方业务人员、上海电信认证部门、ICP代表等关键干系人共同参与需求定义，确保多方需求被充分挖掘。</w:t>
      </w:r>
    </w:p>
    <w:p>
      <w:pPr>
        <w:spacing w:line="360" w:lineRule="auto"/>
        <w:ind w:firstLine="420"/>
      </w:pPr>
      <w:r>
        <w:rPr>
          <w:rFonts w:ascii="宋体" w:hAnsi="宋体" w:eastAsia="宋体"/>
          <w:sz w:val="24"/>
        </w:rPr>
        <w:t>二、需求文件化。对获取的需求进行结构化整理，编制《需求规格说明书》（SRS），建立需求跟踪矩阵（Requirements Traceability Matrix, RTM），将每项需求追溯到业务目标，确保需求可验证、可追踪。需求文档须由甲方签字确认作为基准。</w:t>
      </w:r>
    </w:p>
    <w:p>
      <w:pPr>
        <w:spacing w:line="360" w:lineRule="auto"/>
        <w:ind w:firstLine="420"/>
      </w:pPr>
      <w:r>
        <w:rPr>
          <w:rFonts w:ascii="宋体" w:hAnsi="宋体" w:eastAsia="宋体"/>
          <w:sz w:val="24"/>
        </w:rPr>
        <w:t>三、范围基准管理。基于确认的需求创建详细的工作分解结构（WBS），将项目分解至工作包层级（建议控制在8-80小时粒度），WBS词典明确每个工作包的交付物、验收标准和责任人。范围基准（Scope Baseline）由范围说明书、WBS和WBS词典三者构成，提交甲方审核签字后冻结。</w:t>
      </w:r>
    </w:p>
    <w:p>
      <w:pPr>
        <w:spacing w:line="360" w:lineRule="auto"/>
        <w:ind w:firstLine="420"/>
      </w:pPr>
      <w:r>
        <w:rPr>
          <w:rFonts w:ascii="宋体" w:hAnsi="宋体" w:eastAsia="宋体"/>
          <w:sz w:val="24"/>
        </w:rPr>
        <w:t>四、范围变更控制。建立正式的变更控制流程（Change Control Process），成立变更控制委员会（CCB），明确"提交变更申请→影响评估→CCB审批→实施变更→更新基准"的完整流程。特别强调：任何范围变更必须评估对进度（11月20日死线）、成本（YY万合同额）和质量的影响，杜绝"范围蔓延"（Scope Creep）和"镀金"（Gold Plating）。由于合同含违约金条款，范围控制对项目盈亏至关重要。</w:t>
      </w:r>
    </w:p>
    <w:p>
      <w:pPr>
        <w:pStyle w:val="Heading2"/>
      </w:pPr>
      <w:r>
        <w:rPr>
          <w:rFonts w:ascii="黑体" w:hAnsi="黑体" w:eastAsia="黑体"/>
        </w:rPr>
        <w:t>问题二：如何管理项目实施进度？编制项目计划时考虑哪些因素？</w:t>
      </w:r>
    </w:p>
    <w:p>
      <w:pPr>
        <w:spacing w:line="360" w:lineRule="auto"/>
        <w:ind w:firstLine="420"/>
      </w:pPr>
      <w:r>
        <w:rPr>
          <w:rFonts w:ascii="宋体" w:hAnsi="宋体" w:eastAsia="宋体"/>
          <w:sz w:val="24"/>
        </w:rPr>
        <w:t>本项目面临严格的交付节点（2004/11/20 ICP正式上线），且存在需求模糊、组织调整、多单位协调等不确定因素，进度管理需多措并举：</w:t>
      </w:r>
    </w:p>
    <w:p>
      <w:pPr>
        <w:spacing w:line="360" w:lineRule="auto"/>
        <w:ind w:firstLine="420"/>
      </w:pPr>
      <w:r>
        <w:rPr>
          <w:rFonts w:ascii="宋体" w:hAnsi="宋体" w:eastAsia="宋体"/>
          <w:sz w:val="24"/>
        </w:rPr>
        <w:t>一、进度管理方法。（1）活动定义与排序：基于WBS识别所有项目活动，采用紧前关系绘图法（PDM）确定活动间的依赖关系（完成-开始、开始-开始等），特别注意系统管理、ICP管理、用户自服务、计费结算四大模块之间的接口依赖。对于加密算法等核心技术活动，标记为高风险活动并前置。（2）资源估算与工期估算：采用三点估算法（PERT）为每个活动估算乐观、最可能和悲观工期，计算公式：期望工期=(tO+4tM+tP)/6，并预留管理储备应对"已知-未知"风险。（3）进度计划编制：运用关键路径法（CPM）识别关键路径，使用甘特图（Gantt Chart）可视化呈现进度，设置里程碑节点（如需求确认、设计评审、系统联调、UAT测试、上线部署），采用滚动式规划（Rolling Wave Planning）对近期工作详细规划、远期工作粗略规划。</w:t>
      </w:r>
    </w:p>
    <w:p>
      <w:pPr>
        <w:spacing w:line="360" w:lineRule="auto"/>
        <w:ind w:firstLine="420"/>
      </w:pPr>
      <w:r>
        <w:rPr>
          <w:rFonts w:ascii="宋体" w:hAnsi="宋体" w:eastAsia="宋体"/>
          <w:sz w:val="24"/>
        </w:rPr>
        <w:t>二、编制计划需重点考虑的因素。（1）合同硬约束：11月20日为不可变交付日期，需反向排程确定各活动最晚开始时间。（2）组织调整风险：公司R&amp;D部门从职能型向矩阵型转变，人员角色和权责不明，计划中需预留缓冲时间（Buffer）应对可能的停摆。（3）甲方人员因素：甲方指派的两名应届毕业生缺乏项目经验，需增加培训和带教时间预算。（4）多方协调复杂度：需协调上海热线、上海电信、多个ICP等外部干系人，其反馈和审批时间不可控，须在计划中明确标识外部依赖并主动跟进。（5）同类项目参考：类似电信项目计划频繁变更，应吸取经验教训，建立进度基准变更的严格审批机制，从源头上减少不必要的变更。</w:t>
      </w:r>
    </w:p>
    <w:p>
      <w:pPr>
        <w:pStyle w:val="Heading2"/>
      </w:pPr>
      <w:r>
        <w:rPr>
          <w:rFonts w:ascii="黑体" w:hAnsi="黑体" w:eastAsia="黑体"/>
        </w:rPr>
        <w:t>问题三：作为项目经理，CPI指标如何控制？</w:t>
      </w:r>
    </w:p>
    <w:p>
      <w:pPr>
        <w:spacing w:line="360" w:lineRule="auto"/>
        <w:ind w:firstLine="420"/>
      </w:pPr>
      <w:r>
        <w:rPr>
          <w:rFonts w:ascii="宋体" w:hAnsi="宋体" w:eastAsia="宋体"/>
          <w:sz w:val="24"/>
        </w:rPr>
        <w:t>CPI（Cost Performance Index，成本绩效指数）是挣值管理（EVM）的核心指标，计算公式为CPI=EV/AC。CPI&gt;1表示成本节支，CPI&lt;1表示成本超支。本项目合同金额固定（YY万元），且含违约金条款，CPI控制是实现项目利润的关键。</w:t>
      </w:r>
    </w:p>
    <w:p>
      <w:pPr>
        <w:spacing w:line="360" w:lineRule="auto"/>
        <w:ind w:firstLine="420"/>
      </w:pPr>
      <w:r>
        <w:rPr>
          <w:rFonts w:ascii="宋体" w:hAnsi="宋体" w:eastAsia="宋体"/>
          <w:sz w:val="24"/>
        </w:rPr>
        <w:t>一、建立成本基准。在WBS工作包层级进行自下而上的成本估算（Bottom-Up Estimating），汇总形成成本基准（Cost Baseline），按时间阶段分配形成S曲线（S-Curve），作为EVM度量的参照。成本基准须经公司管理层审批确认。</w:t>
      </w:r>
    </w:p>
    <w:p>
      <w:pPr>
        <w:spacing w:line="360" w:lineRule="auto"/>
        <w:ind w:firstLine="420"/>
      </w:pPr>
      <w:r>
        <w:rPr>
          <w:rFonts w:ascii="宋体" w:hAnsi="宋体" w:eastAsia="宋体"/>
          <w:sz w:val="24"/>
        </w:rPr>
        <w:t>二、实施挣值管理。按周或双周为周期采集三个核心数据：计划价值（PV）、挣值（EV）和实际成本（AC）。计算CPI、SPI（进度绩效指数）、TCPI（完工尚需绩效指数）。若CPI&lt;1，立即进行偏差分析，使用因果图（鱼骨图）定位成本超支根因。TCPI=(BAC-EV)/(BAC-AC)，评估剩余工作在预算内完成的难度。</w:t>
      </w:r>
    </w:p>
    <w:p>
      <w:pPr>
        <w:spacing w:line="360" w:lineRule="auto"/>
        <w:ind w:firstLine="420"/>
      </w:pPr>
      <w:r>
        <w:rPr>
          <w:rFonts w:ascii="宋体" w:hAnsi="宋体" w:eastAsia="宋体"/>
          <w:sz w:val="24"/>
        </w:rPr>
        <w:t>三、成本控制措施。（1）人力资源成本：架构调整期间人员动荡，优先安排内部有经验人员，避免高价外聘；对甲方分配的新人，明确其成本归属（建议由甲方承担）。（2）采购成本：对硬件设备、第三方软件等采购采用多方比价，签订固定总价合同控制采购支出。（3）变更成本控制：所有变更申请须附带成本影响分析，CCB审批时严格权衡成本收益。（4）风险储备管理：在成本基准中预留应急储备（Contingency Reserve）应对"已知-未知"风险，管理储备（Management Reserve）由管理层掌控应对"未知-未知"风险。（5）成本预测：定期计算完工估算EAC=AC+(BAC-EV)/CPI，若EAC超出合同额，及时触发预警并采取资源优化或范围裁剪等纠偏措施。</w:t>
      </w:r>
    </w:p>
    <w:p>
      <w:pPr>
        <w:spacing w:line="360" w:lineRule="auto"/>
        <w:ind w:firstLine="420"/>
      </w:pPr>
      <w:r>
        <w:rPr>
          <w:rFonts w:ascii="宋体" w:hAnsi="宋体" w:eastAsia="宋体"/>
          <w:sz w:val="24"/>
        </w:rPr>
        <w:t>四、现金流管理。制定与项目进度挂钩的资金使用计划，确保公司现金流健康。同时密切关注合同回款节点，配合收款工作保障项目现金流入与企业资金周转。</w:t>
      </w:r>
    </w:p>
    <w:p>
      <w:pPr>
        <w:pStyle w:val="Heading2"/>
      </w:pPr>
      <w:r>
        <w:rPr>
          <w:rFonts w:ascii="黑体" w:hAnsi="黑体" w:eastAsia="黑体"/>
        </w:rPr>
        <w:t>问题四：如何利用甲方人员和原技术负责人确保项目成功？</w:t>
      </w:r>
    </w:p>
    <w:p>
      <w:pPr>
        <w:spacing w:line="360" w:lineRule="auto"/>
        <w:ind w:firstLine="420"/>
      </w:pPr>
      <w:r>
        <w:rPr>
          <w:rFonts w:ascii="宋体" w:hAnsi="宋体" w:eastAsia="宋体"/>
          <w:sz w:val="24"/>
        </w:rPr>
        <w:t>甲方指派的两名应届毕业生（缺乏项目经验）和原项目技术负责人（转为技术监督）是项目可利用的重要资源，合理配置可实现多方共赢：</w:t>
      </w:r>
    </w:p>
    <w:p>
      <w:pPr>
        <w:spacing w:line="360" w:lineRule="auto"/>
        <w:ind w:firstLine="420"/>
      </w:pPr>
      <w:r>
        <w:rPr>
          <w:rFonts w:ascii="宋体" w:hAnsi="宋体" w:eastAsia="宋体"/>
          <w:sz w:val="24"/>
        </w:rPr>
        <w:t>一、责任分配矩阵。编制RACI矩阵明确角色：项目经理（你本人）为项目整体负责（Accountable）；原技术负责人担任技术架构师/技术顾问（Responsible for技术决策）；两名甲方新人作为初级开发/测试人员（Responsible for执行任务）；甲方业务部门提供需求确认（Consulted）；公司管理层获取进度信息（Informed）。</w:t>
      </w:r>
    </w:p>
    <w:p>
      <w:pPr>
        <w:spacing w:line="360" w:lineRule="auto"/>
        <w:ind w:firstLine="420"/>
      </w:pPr>
      <w:r>
        <w:rPr>
          <w:rFonts w:ascii="宋体" w:hAnsi="宋体" w:eastAsia="宋体"/>
          <w:sz w:val="24"/>
        </w:rPr>
        <w:t>二、发挥原技术负责人的价值。他前期参与了市场调研和可行性研究，对项目背景、技术路线和甲方沟通渠道最为熟悉。应让其负责：（1）技术方案评审和架构设计把关；（2）核心加密算法的技术攻关指导；（3）对外系统接口的技术协调，特别是与上海电信认证部门的对接；（4）协助PM进行技术风险评估。同时，赋予其技术决策权，但明确不介入项目管理决策（防止双头领导），形成"PM管项目、技术负责人管技术"的清晰协作格局。</w:t>
      </w:r>
    </w:p>
    <w:p>
      <w:pPr>
        <w:spacing w:line="360" w:lineRule="auto"/>
        <w:ind w:firstLine="420"/>
      </w:pPr>
      <w:r>
        <w:rPr>
          <w:rFonts w:ascii="宋体" w:hAnsi="宋体" w:eastAsia="宋体"/>
          <w:sz w:val="24"/>
        </w:rPr>
        <w:t>三、甲方新人的培养与使用。采用"传帮带"模式：（1）任务分配：将文档编写、单元测试、界面开发等相对独立且难度适中的任务分配给新人，降低项目风险；（2）导师制：安排资深开发人员一对一指导，制定成长计划并定期检视；（3）培训先行：项目启动阶段集中进行技术栈、开发规范、业务流程培训，帮助新人快速进入角色。甲方新人派驻项目团队的天然优势是可充当甲方需求沟通的桥梁，降低跨组织信息传递的损耗和误解。同时，甲方人员参与交付过程可增强甲方对项目的认同感和后期运维承接能力。</w:t>
      </w:r>
    </w:p>
    <w:p>
      <w:pPr>
        <w:spacing w:line="360" w:lineRule="auto"/>
        <w:ind w:firstLine="420"/>
      </w:pPr>
      <w:r>
        <w:rPr>
          <w:rFonts w:ascii="宋体" w:hAnsi="宋体" w:eastAsia="宋体"/>
          <w:sz w:val="24"/>
        </w:rPr>
        <w:t>四、明确管理边界。与甲方签订人员管理备忘录，明确甲方人员的项目工作时间、请假流程、绩效评价方式等，避免"甲方随时抽调"造成资源风险。</w:t>
      </w:r>
    </w:p>
    <w:p>
      <w:pPr>
        <w:pStyle w:val="Heading2"/>
      </w:pPr>
      <w:r>
        <w:rPr>
          <w:rFonts w:ascii="黑体" w:hAnsi="黑体" w:eastAsia="黑体"/>
        </w:rPr>
        <w:t>问题五：如何保证项目的质量？</w:t>
      </w:r>
    </w:p>
    <w:p>
      <w:pPr>
        <w:spacing w:line="360" w:lineRule="auto"/>
        <w:ind w:firstLine="420"/>
      </w:pPr>
      <w:r>
        <w:rPr>
          <w:rFonts w:ascii="宋体" w:hAnsi="宋体" w:eastAsia="宋体"/>
          <w:sz w:val="24"/>
        </w:rPr>
        <w:t>项目质量不能仅靠最终测试来"检查"出来，而应通过全过程质量管理来"构建"进去。结合PMBOK质量管理三大过程（规划质量→实施质量保证→实施质量控制），本项目质量管理框架如下：</w:t>
      </w:r>
    </w:p>
    <w:p>
      <w:pPr>
        <w:spacing w:line="360" w:lineRule="auto"/>
        <w:ind w:firstLine="420"/>
      </w:pPr>
      <w:r>
        <w:rPr>
          <w:rFonts w:ascii="宋体" w:hAnsi="宋体" w:eastAsia="宋体"/>
          <w:sz w:val="24"/>
        </w:rPr>
        <w:t>一、质量规划。制定《质量管理计划》，明确质量标准和度量指标。参考ISO 9126软件质量模型，从功能性、可靠性、易用性、效率、可维护性、可移植性六个维度设定质量目标。具体指标包括：认证接口响应时间低于2秒、系统可用性大于99.9%、并发用户数支持500以上、缺陷密度低于5个/KLOC等。同时建立质量核对单（Checklist）和质量度量指标（Quality Metrics），使质量可衡量、可对比。</w:t>
      </w:r>
    </w:p>
    <w:p>
      <w:pPr>
        <w:spacing w:line="360" w:lineRule="auto"/>
        <w:ind w:firstLine="420"/>
      </w:pPr>
      <w:r>
        <w:rPr>
          <w:rFonts w:ascii="宋体" w:hAnsi="宋体" w:eastAsia="宋体"/>
          <w:sz w:val="24"/>
        </w:rPr>
        <w:t>二、质量保证（QA）。QA关注过程合规性，确保团队按定义好的过程执行。（1）建立开发规范：统一编码规范、版本管理规范、文档编写规范；（2）过程审计：定期检查各项活动是否按质量管理计划和公司质量体系执行；（3）阶段评审：在需求、设计、编码、测试各阶段结束时进行里程碑评审（Milestone Review），评审通过方可进入下一阶段；（4）持续改进：通过质量审计发现过程缺陷，运用PDCA循环制定纠正和预防措施（CAPA），实现质量能力的螺旋式上升。</w:t>
      </w:r>
    </w:p>
    <w:p>
      <w:pPr>
        <w:spacing w:line="360" w:lineRule="auto"/>
        <w:ind w:firstLine="420"/>
      </w:pPr>
      <w:r>
        <w:rPr>
          <w:rFonts w:ascii="宋体" w:hAnsi="宋体" w:eastAsia="宋体"/>
          <w:sz w:val="24"/>
        </w:rPr>
        <w:t>三、质量控制（QC）。QC聚焦交付物是否满足质量要求。（1）多层测试体系：单元测试（开发人员自测）→集成测试（测试人员）→系统测试→用户验收测试（UAT）。特别关注与多个外部系统接口的联调测试和数据加密解密的正确性验证。（2）技术评审：核心加密算法须组织同行评审和外部专家评审，确保安全性和性能达标。（3）缺陷管理：使用缺陷跟踪系统，按严重程度分级管理，设定缺陷修复SLA。（4）统计工具：使用帕累托图分析缺陷分布规律，集中力量解决产生80%缺陷的20%根本原因，实现质量投资的最高回报。</w:t>
      </w:r>
    </w:p>
    <w:p>
      <w:pPr>
        <w:pStyle w:val="Heading2"/>
      </w:pPr>
      <w:r>
        <w:rPr>
          <w:rFonts w:ascii="黑体" w:hAnsi="黑体" w:eastAsia="黑体"/>
        </w:rPr>
        <w:t>问题六：公司架构调整下如何规划项目团队？如何激发士气？</w:t>
      </w:r>
    </w:p>
    <w:p>
      <w:pPr>
        <w:spacing w:line="360" w:lineRule="auto"/>
        <w:ind w:firstLine="420"/>
      </w:pPr>
      <w:r>
        <w:rPr>
          <w:rFonts w:ascii="宋体" w:hAnsi="宋体" w:eastAsia="宋体"/>
          <w:sz w:val="24"/>
        </w:rPr>
        <w:t>公司R&amp;D部门正从职能型向矩阵型转变，人员角色和权责不明，这是典型的组织级风险。作为PM，需在此过渡期构建稳定高效的项目团队：</w:t>
      </w:r>
    </w:p>
    <w:p>
      <w:pPr>
        <w:spacing w:line="360" w:lineRule="auto"/>
        <w:ind w:firstLine="420"/>
      </w:pPr>
      <w:r>
        <w:rPr>
          <w:rFonts w:ascii="宋体" w:hAnsi="宋体" w:eastAsia="宋体"/>
          <w:sz w:val="24"/>
        </w:rPr>
        <w:t>一、团队规划。（1）争取强矩阵模式：在当前架构调整过渡期，争取公司支持将本项目团队设为相对独立的项目型团队，减少职能经理对项目成员的工作干扰。（2）按需配置人员：根据WBS工作包分析所需技能，编制人员配置管理计划（Staffing Management Plan）。关键角色包括：项目经理、技术架构师（原项目负责人）、2至3名高级开发工程师（含1名安全/加密方向）、1至2名测试工程师、1名配置管理员。甲方新人作为辅助开发/测试人员纳入团队。（3）虚拟团队：对于稀缺的加密算法专家，可采用虚拟团队模式，通过远程协作参与关键技术阶段。</w:t>
      </w:r>
    </w:p>
    <w:p>
      <w:pPr>
        <w:spacing w:line="360" w:lineRule="auto"/>
        <w:ind w:firstLine="420"/>
      </w:pPr>
      <w:r>
        <w:rPr>
          <w:rFonts w:ascii="宋体" w:hAnsi="宋体" w:eastAsia="宋体"/>
          <w:sz w:val="24"/>
        </w:rPr>
        <w:t>二、明确角色与权责。鉴于架构调整期间"职位和权责不明"的现实，PM须主动为每位团队成员编制《角色与职责说明书》，使用RACI矩阵明确每项活动谁来执行、谁负总责、咨询谁、告知谁。在项目启动会上正式发布，获得团队成员及其所在职能部门经理的双重确认，确保人人清楚"做什么、向谁汇报"。</w:t>
      </w:r>
    </w:p>
    <w:p>
      <w:pPr>
        <w:spacing w:line="360" w:lineRule="auto"/>
        <w:ind w:firstLine="420"/>
      </w:pPr>
      <w:r>
        <w:rPr>
          <w:rFonts w:ascii="宋体" w:hAnsi="宋体" w:eastAsia="宋体"/>
          <w:sz w:val="24"/>
        </w:rPr>
        <w:t>三、激发团队士气。（1）项目启动会（Kick-off Meeting）：明确项目愿景——"打造上海热线统一认证标杆项目"，让团队理解项目对公司战略转型的意义。（2）运用激励理论：结合马斯洛需求层次理论关注成员不同阶段的需求；借鉴赫兹伯格双因素理论，保健因素（薪酬、工作环境）确保不产生不满，激励因素（成就感、认可、成长机会）驱动高绩效表现。（3）按塔克曼模型引导团队发展：团队将经历形成-震荡-规范-成熟四个阶段，架构调整可能加剧震荡期的冲突，PM应主动介入、促进沟通、化解矛盾并加速团队走向规范和成熟。（4）创造快速胜利（Quick Win）：设置早期可实现的小目标（如原型Demo获得甲方认可），通过成功体验增强团队信心和凝聚力。（5）及时认可与奖励：公开表扬优秀表现，向公司争取项目奖金与交付里程碑挂钩，让团队看到"干好能获得什么"的现实激励。</w:t>
      </w:r>
    </w:p>
    <w:p>
      <w:pPr>
        <w:pStyle w:val="Heading2"/>
      </w:pPr>
      <w:r>
        <w:rPr>
          <w:rFonts w:ascii="黑体" w:hAnsi="黑体" w:eastAsia="黑体"/>
        </w:rPr>
        <w:t>问题七：十大关键风险及应对计划</w:t>
      </w:r>
    </w:p>
    <w:p>
      <w:pPr>
        <w:spacing w:line="360" w:lineRule="auto"/>
        <w:ind w:firstLine="420"/>
      </w:pPr>
      <w:r>
        <w:rPr>
          <w:rFonts w:ascii="宋体" w:hAnsi="宋体" w:eastAsia="宋体"/>
          <w:sz w:val="24"/>
        </w:rPr>
        <w:t>基于PMBOK风险管理框架（识别→定性/定量分析→规划应对→监控），对本项目十大关键风险及应对策略分析如下：</w:t>
      </w:r>
    </w:p>
    <w:p>
      <w:pPr>
        <w:spacing w:line="360" w:lineRule="auto"/>
        <w:ind w:firstLine="420"/>
      </w:pPr>
      <w:r>
        <w:rPr>
          <w:rFonts w:ascii="宋体" w:hAnsi="宋体" w:eastAsia="宋体"/>
          <w:b/>
          <w:sz w:val="24"/>
        </w:rPr>
        <w:t>1. 需求不明确导致频繁返工</w:t>
        <w:br/>
      </w:r>
      <w:r>
        <w:rPr>
          <w:rFonts w:ascii="宋体" w:hAnsi="宋体" w:eastAsia="宋体"/>
          <w:sz w:val="24"/>
        </w:rPr>
        <w:t>风险等级：概率高/影响高　|　应对策略：采用原型法渐进明细，需求分批确认并获甲方签字后冻结；建立严格的变更控制流程（CCB审批），变更须评估对进度和成本的影响。</w:t>
      </w:r>
    </w:p>
    <w:p>
      <w:pPr>
        <w:spacing w:line="360" w:lineRule="auto"/>
        <w:ind w:firstLine="420"/>
      </w:pPr>
      <w:r>
        <w:rPr>
          <w:rFonts w:ascii="宋体" w:hAnsi="宋体" w:eastAsia="宋体"/>
          <w:b/>
          <w:sz w:val="24"/>
        </w:rPr>
        <w:t>2. 工期紧张——11月20日死线不可延期</w:t>
        <w:br/>
      </w:r>
      <w:r>
        <w:rPr>
          <w:rFonts w:ascii="宋体" w:hAnsi="宋体" w:eastAsia="宋体"/>
          <w:sz w:val="24"/>
        </w:rPr>
        <w:t>风险等级：概率高/影响高　|　应对策略：采用关键路径法优化进度，必要时使用"赶工"（Crashing，增加关键路径资源）或"快速跟进"（Fast Tracking，串行改并行），预留进度缓冲，反向排程确保关键路径每个节点可控。</w:t>
      </w:r>
    </w:p>
    <w:p>
      <w:pPr>
        <w:spacing w:line="360" w:lineRule="auto"/>
        <w:ind w:firstLine="420"/>
      </w:pPr>
      <w:r>
        <w:rPr>
          <w:rFonts w:ascii="宋体" w:hAnsi="宋体" w:eastAsia="宋体"/>
          <w:b/>
          <w:sz w:val="24"/>
        </w:rPr>
        <w:t>3. 甲方新人缺乏经验影响交付质量</w:t>
        <w:br/>
      </w:r>
      <w:r>
        <w:rPr>
          <w:rFonts w:ascii="宋体" w:hAnsi="宋体" w:eastAsia="宋体"/>
          <w:sz w:val="24"/>
        </w:rPr>
        <w:t>风险等级：概率高/影响中　|　应对策略：入职培训+导师带教模式，分配低风险任务（文档编写、单元测试），建立代码审查（Code Review）机制，明确导师为所带新人代码质量的第一责任人。</w:t>
      </w:r>
    </w:p>
    <w:p>
      <w:pPr>
        <w:spacing w:line="360" w:lineRule="auto"/>
        <w:ind w:firstLine="420"/>
      </w:pPr>
      <w:r>
        <w:rPr>
          <w:rFonts w:ascii="宋体" w:hAnsi="宋体" w:eastAsia="宋体"/>
          <w:b/>
          <w:sz w:val="24"/>
        </w:rPr>
        <w:t>4. 公司架构调整导致人员动荡和流失</w:t>
        <w:br/>
      </w:r>
      <w:r>
        <w:rPr>
          <w:rFonts w:ascii="宋体" w:hAnsi="宋体" w:eastAsia="宋体"/>
          <w:sz w:val="24"/>
        </w:rPr>
        <w:t>风险等级：概率高/影响高　|　应对策略：争取核心成员全职投入并签订项目承诺书，与职能经理建立定期沟通机制确保成员不被随意抽调，建立关键人员后备计划（Backup Plan），关键知识和决策必须文档化防止人员离职造成信息断裂。</w:t>
      </w:r>
    </w:p>
    <w:p>
      <w:pPr>
        <w:spacing w:line="360" w:lineRule="auto"/>
        <w:ind w:firstLine="420"/>
      </w:pPr>
      <w:r>
        <w:rPr>
          <w:rFonts w:ascii="宋体" w:hAnsi="宋体" w:eastAsia="宋体"/>
          <w:b/>
          <w:sz w:val="24"/>
        </w:rPr>
        <w:t>5. 核心加密算法技术攻关失败</w:t>
        <w:br/>
      </w:r>
      <w:r>
        <w:rPr>
          <w:rFonts w:ascii="宋体" w:hAnsi="宋体" w:eastAsia="宋体"/>
          <w:sz w:val="24"/>
        </w:rPr>
        <w:t>风险等级：概率中/影响高　|　应对策略：提前进行技术预研和概念验证（PoC），引入外部加密专家评审方案，制定备选算法方案作为应急响应策略，在进度计划中预留算法集成的技术攻关缓冲时间。</w:t>
      </w:r>
    </w:p>
    <w:p>
      <w:pPr>
        <w:spacing w:line="360" w:lineRule="auto"/>
        <w:ind w:firstLine="420"/>
      </w:pPr>
      <w:r>
        <w:rPr>
          <w:rFonts w:ascii="宋体" w:hAnsi="宋体" w:eastAsia="宋体"/>
          <w:b/>
          <w:sz w:val="24"/>
        </w:rPr>
        <w:t>6. 多方干系人（甲方/电信/ICP）协调困难</w:t>
        <w:br/>
      </w:r>
      <w:r>
        <w:rPr>
          <w:rFonts w:ascii="宋体" w:hAnsi="宋体" w:eastAsia="宋体"/>
          <w:sz w:val="24"/>
        </w:rPr>
        <w:t>风险等级：概率高/影响中　|　应对策略：建立干系人登记册和干系人管理计划，明确各方联络人和沟通频次，每月召开干系人联席会议，对上海电信等关键干系人采用"管理亲密"策略（定期拜访、主动同步信息、提前预警问题）。</w:t>
      </w:r>
    </w:p>
    <w:p>
      <w:pPr>
        <w:spacing w:line="360" w:lineRule="auto"/>
        <w:ind w:firstLine="420"/>
      </w:pPr>
      <w:r>
        <w:rPr>
          <w:rFonts w:ascii="宋体" w:hAnsi="宋体" w:eastAsia="宋体"/>
          <w:b/>
          <w:sz w:val="24"/>
        </w:rPr>
        <w:t>7. 外部系统接口对接延迟</w:t>
        <w:br/>
      </w:r>
      <w:r>
        <w:rPr>
          <w:rFonts w:ascii="宋体" w:hAnsi="宋体" w:eastAsia="宋体"/>
          <w:sz w:val="24"/>
        </w:rPr>
        <w:t>风险等级：概率中/影响高　|　应对策略：尽早获取接口规范文档并启动联调，与外部方签订接口交付时间SLA（服务水平协议），制定接口Mock/桩方案确保我方开发和测试不依赖外部实际进度。</w:t>
      </w:r>
    </w:p>
    <w:p>
      <w:pPr>
        <w:spacing w:line="360" w:lineRule="auto"/>
        <w:ind w:firstLine="420"/>
      </w:pPr>
      <w:r>
        <w:rPr>
          <w:rFonts w:ascii="宋体" w:hAnsi="宋体" w:eastAsia="宋体"/>
          <w:b/>
          <w:sz w:val="24"/>
        </w:rPr>
        <w:t>8. 合同违约金条款触发财务损失</w:t>
        <w:br/>
      </w:r>
      <w:r>
        <w:rPr>
          <w:rFonts w:ascii="宋体" w:hAnsi="宋体" w:eastAsia="宋体"/>
          <w:sz w:val="24"/>
        </w:rPr>
        <w:t>风险等级：概率中/影响高　|　应对策略：将合同交付节点分解为内部更早的里程碑（如11月15日完成UAT），预留5天缓冲应对突发状况；每周监控进度偏差（SPI），当SPI&lt;0.9时立即启动赶工/快速跟进纠偏措施；进度风险列入每次周例会的固定议题。</w:t>
      </w:r>
    </w:p>
    <w:p>
      <w:pPr>
        <w:spacing w:line="360" w:lineRule="auto"/>
        <w:ind w:firstLine="420"/>
      </w:pPr>
      <w:r>
        <w:rPr>
          <w:rFonts w:ascii="宋体" w:hAnsi="宋体" w:eastAsia="宋体"/>
          <w:b/>
          <w:sz w:val="24"/>
        </w:rPr>
        <w:t>9. 同类项目"计划频繁变更"的惯性传染</w:t>
        <w:br/>
      </w:r>
      <w:r>
        <w:rPr>
          <w:rFonts w:ascii="宋体" w:hAnsi="宋体" w:eastAsia="宋体"/>
          <w:sz w:val="24"/>
        </w:rPr>
        <w:t>风险等级：概率中/影响中　|　应对策略：建立严格的变更控制流程和变更审批阈值（如影响超3天或超5%成本须CCB审批），每次变更同步更新相关计划并全员传达，在团队内树立"变更严肃性"的文化，避免"习惯性变更"侵蚀项目稳定性。</w:t>
      </w:r>
    </w:p>
    <w:p>
      <w:pPr>
        <w:spacing w:line="360" w:lineRule="auto"/>
        <w:ind w:firstLine="420"/>
      </w:pPr>
      <w:r>
        <w:rPr>
          <w:rFonts w:ascii="宋体" w:hAnsi="宋体" w:eastAsia="宋体"/>
          <w:b/>
          <w:sz w:val="24"/>
        </w:rPr>
        <w:t>10. 项目上线后运维移交不畅</w:t>
        <w:br/>
      </w:r>
      <w:r>
        <w:rPr>
          <w:rFonts w:ascii="宋体" w:hAnsi="宋体" w:eastAsia="宋体"/>
          <w:sz w:val="24"/>
        </w:rPr>
        <w:t>风险等级：概率中/影响中　|　应对策略：在合同中明确运维移交标准和验收准则，提前让上海热线运维团队参与后期测试和上线过程，编制完整的运维手册和培训材料，安排正式的知识转移（Knowledge Transfer）会议并留存书面确认记录。</w:t>
      </w:r>
    </w:p>
    <w:p>
      <w:pPr>
        <w:spacing w:line="360" w:lineRule="auto"/>
        <w:ind w:firstLine="420"/>
      </w:pPr>
      <w:r>
        <w:rPr>
          <w:rFonts w:ascii="宋体" w:hAnsi="宋体" w:eastAsia="宋体"/>
          <w:sz w:val="24"/>
        </w:rPr>
        <w:t>以上十项风险应纳入风险登记册（Risk Register），每项风险指定风险负责人（Risk Owner），按周进行风险审查（Risk Review），跟踪应对措施的有效性。对新出现的风险（"次生风险"和"未知-未知"风险）及时补充登记并制定应对方案，确保风险始终处于持续监控和动态管理之下。</w:t>
      </w:r>
    </w:p>
    <w:p>
      <w:pPr>
        <w:pStyle w:val="Heading2"/>
      </w:pPr>
      <w:r>
        <w:rPr>
          <w:rFonts w:ascii="黑体" w:hAnsi="黑体" w:eastAsia="黑体"/>
        </w:rPr>
        <w:t>问题八：如何建立有效的沟通计划？</w:t>
      </w:r>
    </w:p>
    <w:p>
      <w:pPr>
        <w:spacing w:line="360" w:lineRule="auto"/>
        <w:ind w:firstLine="420"/>
      </w:pPr>
      <w:r>
        <w:rPr>
          <w:rFonts w:ascii="宋体" w:hAnsi="宋体" w:eastAsia="宋体"/>
          <w:sz w:val="24"/>
        </w:rPr>
        <w:t>本项目干系人构成复杂（甲方上海热线、上海电信认证部门、多家ICP、公司管理层、项目团队、甲方新人等），根据PMBOK沟通管理，沟通渠道数=n(n-1)/2，随着干系人增多沟通复杂度指数级上升。有效的沟通计划应覆盖以下维度：</w:t>
      </w:r>
    </w:p>
    <w:p>
      <w:pPr>
        <w:spacing w:line="360" w:lineRule="auto"/>
        <w:ind w:firstLine="420"/>
      </w:pPr>
      <w:r>
        <w:rPr>
          <w:rFonts w:ascii="宋体" w:hAnsi="宋体" w:eastAsia="宋体"/>
          <w:sz w:val="24"/>
        </w:rPr>
        <w:t>一、干系人沟通需求分析。识别所有干系人及其信息需求：甲方领导关注里程碑进度和风险（推荐频率：双周或月报）；上海电信技术部门关注接口规范和技术方案（频率：按需沟通，联调阶段加密）；各ICP关注对接方案和时间窗口（频率：按里程碑节点）；公司管理层关注项目利润和资源使用（频率：月报）；项目团队内部关注每日任务分配和技术决策（频率：每日站会及周例会）。</w:t>
      </w:r>
    </w:p>
    <w:p>
      <w:pPr>
        <w:spacing w:line="360" w:lineRule="auto"/>
        <w:ind w:firstLine="420"/>
      </w:pPr>
      <w:r>
        <w:rPr>
          <w:rFonts w:ascii="宋体" w:hAnsi="宋体" w:eastAsia="宋体"/>
          <w:sz w:val="24"/>
        </w:rPr>
        <w:t>二、沟通矩阵。制定沟通计划表，明确覆盖五个W一个H：沟通什么（What）、为什么沟通（Why）、沟通对象是谁（Who）、沟通方式（How）、沟通频率（When）、由谁发起（Who负责）。关键沟通活动包括：（1）每日站会（Daily Stand-up，15分钟，全员参加）：同步昨日进展、今日计划、当前阻塞；（2）周例会（Weekly Status Meeting）：详细进度汇报、问题讨论、下周计划安排；（3）月度干系人报告（书面形式）：向甲方和公司管理层汇报进度、成本（CPI/SPI）、风险状态、变更记录；（4）里程碑评审会：阶段交付物验收及下一阶段启动审批；（5）风险升级沟通：一旦CPI低于0.95或SPI低于0.9，立即启动升级沟通渠道（Escalation Path）。</w:t>
      </w:r>
    </w:p>
    <w:p>
      <w:pPr>
        <w:spacing w:line="360" w:lineRule="auto"/>
        <w:ind w:firstLine="420"/>
      </w:pPr>
      <w:r>
        <w:rPr>
          <w:rFonts w:ascii="宋体" w:hAnsi="宋体" w:eastAsia="宋体"/>
          <w:sz w:val="24"/>
        </w:rPr>
        <w:t>三、沟通方式选择。根据信息类型灵活选择沟通方式：正式书面（合同变更、需求确认签字）→消除歧义、留下审计证据；交互式沟通（面对面会议、电话）→处理复杂问题，实现实时反馈；推式沟通（邮件、周报分发）→向大量干系人单向同步信息；拉式沟通（项目门户/共享文档库）→团队成员自助获取最新信息。</w:t>
      </w:r>
    </w:p>
    <w:p>
      <w:pPr>
        <w:spacing w:line="360" w:lineRule="auto"/>
        <w:ind w:firstLine="420"/>
      </w:pPr>
      <w:r>
        <w:rPr>
          <w:rFonts w:ascii="宋体" w:hAnsi="宋体" w:eastAsia="宋体"/>
          <w:sz w:val="24"/>
        </w:rPr>
        <w:t>四、信息管理系统。建立项目统一信息门户（如SharePoint或共享文件夹），所有计划、报告、会议纪要、变更记录集中管理，确保团队成员获取的信息一致、版本唯一，从制度上消除信息孤岛和失真传达。</w:t>
      </w:r>
    </w:p>
    <w:p>
      <w:pPr>
        <w:pStyle w:val="Heading2"/>
      </w:pPr>
      <w:r>
        <w:rPr>
          <w:rFonts w:ascii="黑体" w:hAnsi="黑体" w:eastAsia="黑体"/>
        </w:rPr>
        <w:t>问题九：项目收尾及合同回款，PM应做什么？</w:t>
      </w:r>
    </w:p>
    <w:p>
      <w:pPr>
        <w:spacing w:line="360" w:lineRule="auto"/>
        <w:ind w:firstLine="420"/>
      </w:pPr>
      <w:r>
        <w:rPr>
          <w:rFonts w:ascii="宋体" w:hAnsi="宋体" w:eastAsia="宋体"/>
          <w:sz w:val="24"/>
        </w:rPr>
        <w:t>根据PMBOK，项目收尾分为行政收尾（Administrative Closure）和合同收尾（Contract Closure）两部分，合同回款是合同收尾中的关键环节。作为PM，应系统性地完成以下工作：</w:t>
      </w:r>
    </w:p>
    <w:p>
      <w:pPr>
        <w:spacing w:line="360" w:lineRule="auto"/>
        <w:ind w:firstLine="420"/>
      </w:pPr>
      <w:r>
        <w:rPr>
          <w:rFonts w:ascii="宋体" w:hAnsi="宋体" w:eastAsia="宋体"/>
          <w:sz w:val="24"/>
        </w:rPr>
        <w:t>一、交付物验收。对照范围基准，逐项确认所有合同交付物已完成并符合验收标准。组织正式的验收测试（UAT）和验收评审会，取得甲方书面的《验收报告》签字盖章——这是回款的核心法定依据。特别注意合同约定"ICP成功上线后交由上海热线运维部门"，运维移交的完成确认书和运维部门的签字须一并取得，缺一不可。</w:t>
      </w:r>
    </w:p>
    <w:p>
      <w:pPr>
        <w:spacing w:line="360" w:lineRule="auto"/>
        <w:ind w:firstLine="420"/>
      </w:pPr>
      <w:r>
        <w:rPr>
          <w:rFonts w:ascii="宋体" w:hAnsi="宋体" w:eastAsia="宋体"/>
          <w:sz w:val="24"/>
        </w:rPr>
        <w:t>二、合同收尾与回款推进。（1）核对合同条款：逐条梳理合同约定的付款节点、付款条件和付款比例（预付款/里程碑款/验收款/质保金），确保我方已满足所有付款前置条件。（2）提前准备票据：按合同要求开具发票，确保发票信息（抬头、税号、金额）与合同完全一致，避免因票据问题延误回款。（3）建立回款跟踪表：记录每次付款申请的日期、金额、甲方接收人、审批进度和预计到账日期，实现回款过程的可视化管理。（4）主动跟进推动：每周与甲方财务/采购对接人沟通回款进度，预判可能的拖延原因并提前化解；对即将到期的款项提前两周发送《付款提醒函》。（5）善用干系人关系：维护好与甲方项目负责人、采购经理、财务人员的良好关系，必要时请甲方项目负责人从业务层面推动内部审批流程，加速回款到账。</w:t>
      </w:r>
    </w:p>
    <w:p>
      <w:pPr>
        <w:spacing w:line="360" w:lineRule="auto"/>
        <w:ind w:firstLine="420"/>
      </w:pPr>
      <w:r>
        <w:rPr>
          <w:rFonts w:ascii="宋体" w:hAnsi="宋体" w:eastAsia="宋体"/>
          <w:sz w:val="24"/>
        </w:rPr>
        <w:t>三、经验教训总结（Lessons Learned）。组织项目团队和关键干系人召开项目复盘会（Post-Mortem），从范围、进度、成本、质量、沟通、风险等知识领域系统总结：哪些做得好（What Went Well）、哪些需改进（What Could Be Better）、下次如何做（What to Do Next Time）。形成《项目总结报告》归档至组织过程资产（OPA），为未来同类电信/ICP项目提供宝贵参考。</w:t>
      </w:r>
    </w:p>
    <w:p>
      <w:pPr>
        <w:spacing w:line="360" w:lineRule="auto"/>
        <w:ind w:firstLine="420"/>
      </w:pPr>
      <w:r>
        <w:rPr>
          <w:rFonts w:ascii="宋体" w:hAnsi="宋体" w:eastAsia="宋体"/>
          <w:sz w:val="24"/>
        </w:rPr>
        <w:t>四、资源释放。制定人员释放计划，确保团队成员有序撤离项目、回归职能部门或转入新项目。对表现优秀的成员给予正式的书面好评，纳入其个人绩效档案，为员工职业发展提供支持。</w:t>
      </w:r>
    </w:p>
    <w:p>
      <w:pPr>
        <w:spacing w:line="360" w:lineRule="auto"/>
        <w:ind w:firstLine="420"/>
      </w:pPr>
      <w:r>
        <w:rPr>
          <w:rFonts w:ascii="宋体" w:hAnsi="宋体" w:eastAsia="宋体"/>
          <w:sz w:val="24"/>
        </w:rPr>
        <w:t>五、质保期管理。合同中通常约定质保期（如上线后6个月），明确质保期内的响应SLA、缺陷修复流程和升级机制，委派专人负责质保期维护，确保平稳过渡的同时不影响尾款回收。</w:t>
      </w:r>
    </w:p>
    <w:p>
      <w:pPr>
        <w:pStyle w:val="Heading2"/>
      </w:pPr>
      <w:r>
        <w:rPr>
          <w:rFonts w:ascii="黑体" w:hAnsi="黑体" w:eastAsia="黑体"/>
        </w:rPr>
        <w:t>问题十：如何做好本项目的配置管理？</w:t>
      </w:r>
    </w:p>
    <w:p>
      <w:pPr>
        <w:spacing w:line="360" w:lineRule="auto"/>
        <w:ind w:firstLine="420"/>
      </w:pPr>
      <w:r>
        <w:rPr>
          <w:rFonts w:ascii="宋体" w:hAnsi="宋体" w:eastAsia="宋体"/>
          <w:sz w:val="24"/>
        </w:rPr>
        <w:t>配置管理（Configuration Management）确保项目产品的完整性、一致性和可追溯性。本项目涉及四个子模块、多方系统接口和核心加密算法，配置管理尤为重要：</w:t>
      </w:r>
    </w:p>
    <w:p>
      <w:pPr>
        <w:spacing w:line="360" w:lineRule="auto"/>
        <w:ind w:firstLine="420"/>
      </w:pPr>
      <w:r>
        <w:rPr>
          <w:rFonts w:ascii="宋体" w:hAnsi="宋体" w:eastAsia="宋体"/>
          <w:sz w:val="24"/>
        </w:rPr>
        <w:t>一、配置管理规划。编制《配置管理计划》，明确六大要素：配置管理范围（代码、文档、环境配置、数据库脚本、接口规范、加密算法文档等）、配置项标识规则、版本号命名规则（推荐V&lt;主版本&gt;.&lt;次版本&gt;.&lt;修订号&gt;，如V1.2.3）、配置库结构（开发库→受控库→产品库的三库分离模型）、角色与职责（任命专职配置管理员CMO并书面授权）、基线定义与发布计划。</w:t>
      </w:r>
    </w:p>
    <w:p>
      <w:pPr>
        <w:spacing w:line="360" w:lineRule="auto"/>
        <w:ind w:firstLine="420"/>
      </w:pPr>
      <w:r>
        <w:rPr>
          <w:rFonts w:ascii="宋体" w:hAnsi="宋体" w:eastAsia="宋体"/>
          <w:sz w:val="24"/>
        </w:rPr>
        <w:t>二、配置项识别。识别并登记所有配置项（CI），建立《配置项清单》。至少应覆盖：（1）代码类：各模块源码、SQL脚本、构建脚本；（2）文档类：需求规格说明书、设计文档、测试用例、用户手册、运维手册；（3）环境类：开发/测试/生产环境的服务器配置、中间件配置、加密密钥/证书；（4）接口类：与上海电信及各ICP的接口规范文档和接口配置文件。每个配置项分配唯一标识ID，实现精确追踪。</w:t>
      </w:r>
    </w:p>
    <w:p>
      <w:pPr>
        <w:spacing w:line="360" w:lineRule="auto"/>
        <w:ind w:firstLine="420"/>
      </w:pPr>
      <w:r>
        <w:rPr>
          <w:rFonts w:ascii="宋体" w:hAnsi="宋体" w:eastAsia="宋体"/>
          <w:sz w:val="24"/>
        </w:rPr>
        <w:t>三、配置状态记录。使用配置管理工具（考虑到项目时间为2004年，推荐SVN或VSS）对每个配置项的变更历史进行全程记录，包括：变更内容、变更人、变更时间、关联的变更请求编号（CR ID），确保任何时间点的版本状态可追溯、可回滚、可审计。</w:t>
      </w:r>
    </w:p>
    <w:p>
      <w:pPr>
        <w:spacing w:line="360" w:lineRule="auto"/>
        <w:ind w:firstLine="420"/>
      </w:pPr>
      <w:r>
        <w:rPr>
          <w:rFonts w:ascii="宋体" w:hAnsi="宋体" w:eastAsia="宋体"/>
          <w:sz w:val="24"/>
        </w:rPr>
        <w:t>四、配置审计。在需求确认、设计完成、编码完成、测试完成、上线部署等里程碑节点进行配置审计：（1）功能配置审计：验证配置项的功能完整性是否达到既定要求；（2）物理配置审计：验证配置项的物理存在性和版本正确性。审计结果形成书面报告并归档备查。</w:t>
      </w:r>
    </w:p>
    <w:p>
      <w:pPr>
        <w:spacing w:line="360" w:lineRule="auto"/>
        <w:ind w:firstLine="420"/>
      </w:pPr>
      <w:r>
        <w:rPr>
          <w:rFonts w:ascii="宋体" w:hAnsi="宋体" w:eastAsia="宋体"/>
          <w:sz w:val="24"/>
        </w:rPr>
        <w:t>五、配置控制。与变更管理流程紧密集成。任何对配置项的修改必须遵循完整流程：提交变更申请（CR）→CCB审批→从受控库检出（Check-out）→实施修改→同行评审→检入（Check-in）并更新版本号→发布新基线。特别强调：核心加密算法的任何改动（算法逻辑、密钥管理方式）须经技术负责人和外部专家双重评审后方可实施；生产环境配置与测试环境严格物理隔离，生产环境任何配置变更须获得PM和技术负责人的双重书面审批。</w:t>
      </w:r>
    </w:p>
    <w:p>
      <w:pPr>
        <w:spacing w:line="360" w:lineRule="auto"/>
        <w:ind w:firstLine="420"/>
      </w:pPr>
      <w:r>
        <w:rPr>
          <w:rFonts w:ascii="宋体" w:hAnsi="宋体" w:eastAsia="宋体"/>
          <w:sz w:val="24"/>
        </w:rPr>
        <w:t>六、基线管理。在需求确认、设计完成、编码完成、系统测试通过、上线部署等关键节点建立配置基线。基线是后续所有变更的法定参照点，基线一旦建立，其变更必须通过CCB正式审批，从根本上杜绝非受控变更对项目稳定性的冲击。</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