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네트워크 보안 설정 및 통신 검증 보고서</w:t>
      </w:r>
    </w:p>
    <w:p>
      <w:r>
        <w:t>작성자  김소윤     대상  교육용 가상 네트워크     기록  2026년 실습 화면</w:t>
      </w:r>
    </w:p>
    <w:p>
      <w:pPr>
        <w:pStyle w:val="Heading1"/>
      </w:pPr>
      <w:r>
        <w:t>요약</w:t>
      </w:r>
    </w:p>
    <w:p>
      <w:r>
        <w:t>실습망에서 포트 스캔에 대한 패킷 응답, ARP 항목의 변화, DNS 변조용 규칙과 브라우저 표시 결과를 확인했다. pfSense 방화벽 및 Suricata·Snort의 규칙 화면도 검토했다. 각 사례는 화면이 직접 보여 주는 결과까지만 판단했으며, 로그가 없는 항목은 차단 또는 탐지 성공으로 확정하지 않았다.</w:t>
      </w:r>
    </w:p>
    <w:p>
      <w:pPr>
        <w:pStyle w:val="Heading1"/>
      </w:pPr>
      <w:r>
        <w:t>진단 범위와 판단 기준</w:t>
      </w:r>
    </w:p>
    <w:tbl>
      <w:tblPr>
        <w:tblW w:type="auto" w:w="0"/>
        <w:jc w:val="center"/>
        <w:tblLook w:firstColumn="1" w:firstRow="1" w:lastColumn="0" w:lastRow="0" w:noHBand="0" w:noVBand="1" w:val="04A0"/>
      </w:tblPr>
      <w:tblGrid>
        <w:gridCol w:w="1800"/>
        <w:gridCol w:w="3528"/>
        <w:gridCol w:w="4320"/>
      </w:tblGrid>
      <w:tr>
        <w:tc>
          <w:tcPr>
            <w:tcW w:type="dxa" w:w="1800"/>
            <w:vAlign w:val="center"/>
            <w:shd w:fill="DCE8F1"/>
            <w:tcBorders>
              <w:top w:val="single" w:sz="4" w:color="D9D9D9"/>
              <w:left w:val="single" w:sz="4" w:color="D9D9D9"/>
              <w:bottom w:val="single" w:sz="4" w:color="D9D9D9"/>
              <w:right w:val="single" w:sz="4" w:color="D9D9D9"/>
            </w:tcBorders>
          </w:tcPr>
          <w:p>
            <w:pPr>
              <w:spacing w:after="20"/>
            </w:pPr>
            <w:r>
              <w:rPr>
                <w:b/>
                <w:sz w:val="18"/>
              </w:rPr>
              <w:t>항목</w:t>
            </w:r>
          </w:p>
        </w:tc>
        <w:tc>
          <w:tcPr>
            <w:tcW w:type="dxa" w:w="3528"/>
            <w:vAlign w:val="center"/>
            <w:shd w:fill="DCE8F1"/>
            <w:tcBorders>
              <w:top w:val="single" w:sz="4" w:color="D9D9D9"/>
              <w:left w:val="single" w:sz="4" w:color="D9D9D9"/>
              <w:bottom w:val="single" w:sz="4" w:color="D9D9D9"/>
              <w:right w:val="single" w:sz="4" w:color="D9D9D9"/>
            </w:tcBorders>
          </w:tcPr>
          <w:p>
            <w:pPr>
              <w:spacing w:after="20"/>
            </w:pPr>
            <w:r>
              <w:rPr>
                <w:b/>
                <w:sz w:val="18"/>
              </w:rPr>
              <w:t>대상과 확인 수단</w:t>
            </w:r>
          </w:p>
        </w:tc>
        <w:tc>
          <w:tcPr>
            <w:tcW w:type="dxa" w:w="4320"/>
            <w:vAlign w:val="center"/>
            <w:shd w:fill="DCE8F1"/>
            <w:tcBorders>
              <w:top w:val="single" w:sz="4" w:color="D9D9D9"/>
              <w:left w:val="single" w:sz="4" w:color="D9D9D9"/>
              <w:bottom w:val="single" w:sz="4" w:color="D9D9D9"/>
              <w:right w:val="single" w:sz="4" w:color="D9D9D9"/>
            </w:tcBorders>
          </w:tcPr>
          <w:p>
            <w:pPr>
              <w:spacing w:after="20"/>
            </w:pPr>
            <w:r>
              <w:rPr>
                <w:b/>
                <w:sz w:val="18"/>
              </w:rPr>
              <w:t>판단 범위</w:t>
            </w:r>
          </w:p>
        </w:tc>
      </w:tr>
      <w:tr>
        <w:tc>
          <w:tcPr>
            <w:tcW w:type="dxa" w:w="1800"/>
            <w:vAlign w:val="center"/>
            <w:shd w:fill="FFFFFF"/>
            <w:tcBorders>
              <w:top w:val="single" w:sz="4" w:color="D9D9D9"/>
              <w:left w:val="single" w:sz="4" w:color="D9D9D9"/>
              <w:bottom w:val="single" w:sz="4" w:color="D9D9D9"/>
              <w:right w:val="single" w:sz="4" w:color="D9D9D9"/>
            </w:tcBorders>
          </w:tcPr>
          <w:p>
            <w:pPr>
              <w:spacing w:after="20"/>
            </w:pPr>
            <w:r>
              <w:rPr>
                <w:b w:val="0"/>
                <w:sz w:val="18"/>
              </w:rPr>
              <w:t>통신과 포트</w:t>
            </w:r>
          </w:p>
        </w:tc>
        <w:tc>
          <w:tcPr>
            <w:tcW w:type="dxa" w:w="3528"/>
            <w:vAlign w:val="center"/>
            <w:shd w:fill="FFFFFF"/>
            <w:tcBorders>
              <w:top w:val="single" w:sz="4" w:color="D9D9D9"/>
              <w:left w:val="single" w:sz="4" w:color="D9D9D9"/>
              <w:bottom w:val="single" w:sz="4" w:color="D9D9D9"/>
              <w:right w:val="single" w:sz="4" w:color="D9D9D9"/>
            </w:tcBorders>
          </w:tcPr>
          <w:p>
            <w:pPr>
              <w:spacing w:after="20"/>
            </w:pPr>
            <w:r>
              <w:rPr>
                <w:b w:val="0"/>
                <w:sz w:val="18"/>
              </w:rPr>
              <w:t>10.10.10.4와 10.10.10.3, Nmap·Wireshark</w:t>
            </w:r>
          </w:p>
        </w:tc>
        <w:tc>
          <w:tcPr>
            <w:tcW w:type="dxa" w:w="4320"/>
            <w:vAlign w:val="center"/>
            <w:shd w:fill="FFFFFF"/>
            <w:tcBorders>
              <w:top w:val="single" w:sz="4" w:color="D9D9D9"/>
              <w:left w:val="single" w:sz="4" w:color="D9D9D9"/>
              <w:bottom w:val="single" w:sz="4" w:color="D9D9D9"/>
              <w:right w:val="single" w:sz="4" w:color="D9D9D9"/>
            </w:tcBorders>
          </w:tcPr>
          <w:p>
            <w:pPr>
              <w:spacing w:after="20"/>
            </w:pPr>
            <w:r>
              <w:rPr>
                <w:b w:val="0"/>
                <w:sz w:val="18"/>
              </w:rPr>
              <w:t>TCP·ICMP 응답 형태</w:t>
            </w:r>
          </w:p>
        </w:tc>
      </w:tr>
      <w:tr>
        <w:tc>
          <w:tcPr>
            <w:tcW w:type="dxa" w:w="1800"/>
            <w:vAlign w:val="center"/>
            <w:shd w:fill="F6F9FB"/>
            <w:tcBorders>
              <w:top w:val="single" w:sz="4" w:color="D9D9D9"/>
              <w:left w:val="single" w:sz="4" w:color="D9D9D9"/>
              <w:bottom w:val="single" w:sz="4" w:color="D9D9D9"/>
              <w:right w:val="single" w:sz="4" w:color="D9D9D9"/>
            </w:tcBorders>
          </w:tcPr>
          <w:p>
            <w:pPr>
              <w:spacing w:after="20"/>
            </w:pPr>
            <w:r>
              <w:rPr>
                <w:b w:val="0"/>
                <w:sz w:val="18"/>
              </w:rPr>
              <w:t>주소 해석</w:t>
            </w:r>
          </w:p>
        </w:tc>
        <w:tc>
          <w:tcPr>
            <w:tcW w:type="dxa" w:w="3528"/>
            <w:vAlign w:val="center"/>
            <w:shd w:fill="F6F9FB"/>
            <w:tcBorders>
              <w:top w:val="single" w:sz="4" w:color="D9D9D9"/>
              <w:left w:val="single" w:sz="4" w:color="D9D9D9"/>
              <w:bottom w:val="single" w:sz="4" w:color="D9D9D9"/>
              <w:right w:val="single" w:sz="4" w:color="D9D9D9"/>
            </w:tcBorders>
          </w:tcPr>
          <w:p>
            <w:pPr>
              <w:spacing w:after="20"/>
            </w:pPr>
            <w:r>
              <w:rPr>
                <w:b w:val="0"/>
                <w:sz w:val="18"/>
              </w:rPr>
              <w:t>Windows ARP 테이블, DNS 설정 및 브라우저</w:t>
            </w:r>
          </w:p>
        </w:tc>
        <w:tc>
          <w:tcPr>
            <w:tcW w:type="dxa" w:w="4320"/>
            <w:vAlign w:val="center"/>
            <w:shd w:fill="F6F9FB"/>
            <w:tcBorders>
              <w:top w:val="single" w:sz="4" w:color="D9D9D9"/>
              <w:left w:val="single" w:sz="4" w:color="D9D9D9"/>
              <w:bottom w:val="single" w:sz="4" w:color="D9D9D9"/>
              <w:right w:val="single" w:sz="4" w:color="D9D9D9"/>
            </w:tcBorders>
          </w:tcPr>
          <w:p>
            <w:pPr>
              <w:spacing w:after="20"/>
            </w:pPr>
            <w:r>
              <w:rPr>
                <w:b w:val="0"/>
                <w:sz w:val="18"/>
              </w:rPr>
              <w:t>주소 매핑과 화면 표시의 변화</w:t>
            </w:r>
          </w:p>
        </w:tc>
      </w:tr>
      <w:tr>
        <w:tc>
          <w:tcPr>
            <w:tcW w:type="dxa" w:w="1800"/>
            <w:vAlign w:val="center"/>
            <w:shd w:fill="FFFFFF"/>
            <w:tcBorders>
              <w:top w:val="single" w:sz="4" w:color="D9D9D9"/>
              <w:left w:val="single" w:sz="4" w:color="D9D9D9"/>
              <w:bottom w:val="single" w:sz="4" w:color="D9D9D9"/>
              <w:right w:val="single" w:sz="4" w:color="D9D9D9"/>
            </w:tcBorders>
          </w:tcPr>
          <w:p>
            <w:pPr>
              <w:spacing w:after="20"/>
            </w:pPr>
            <w:r>
              <w:rPr>
                <w:b w:val="0"/>
                <w:sz w:val="18"/>
              </w:rPr>
              <w:t>접근 제어</w:t>
            </w:r>
          </w:p>
        </w:tc>
        <w:tc>
          <w:tcPr>
            <w:tcW w:type="dxa" w:w="3528"/>
            <w:vAlign w:val="center"/>
            <w:shd w:fill="FFFFFF"/>
            <w:tcBorders>
              <w:top w:val="single" w:sz="4" w:color="D9D9D9"/>
              <w:left w:val="single" w:sz="4" w:color="D9D9D9"/>
              <w:bottom w:val="single" w:sz="4" w:color="D9D9D9"/>
              <w:right w:val="single" w:sz="4" w:color="D9D9D9"/>
            </w:tcBorders>
          </w:tcPr>
          <w:p>
            <w:pPr>
              <w:spacing w:after="20"/>
            </w:pPr>
            <w:r>
              <w:rPr>
                <w:b w:val="0"/>
                <w:sz w:val="18"/>
              </w:rPr>
              <w:t>pfSense OPT1·LAN 규칙, Suricata·Snort</w:t>
            </w:r>
          </w:p>
        </w:tc>
        <w:tc>
          <w:tcPr>
            <w:tcW w:type="dxa" w:w="4320"/>
            <w:vAlign w:val="center"/>
            <w:shd w:fill="FFFFFF"/>
            <w:tcBorders>
              <w:top w:val="single" w:sz="4" w:color="D9D9D9"/>
              <w:left w:val="single" w:sz="4" w:color="D9D9D9"/>
              <w:bottom w:val="single" w:sz="4" w:color="D9D9D9"/>
              <w:right w:val="single" w:sz="4" w:color="D9D9D9"/>
            </w:tcBorders>
          </w:tcPr>
          <w:p>
            <w:pPr>
              <w:spacing w:after="20"/>
            </w:pPr>
            <w:r>
              <w:rPr>
                <w:b w:val="0"/>
                <w:sz w:val="18"/>
              </w:rPr>
              <w:t>설정 화면 및 별도 ping 결과</w:t>
            </w:r>
          </w:p>
        </w:tc>
      </w:tr>
    </w:tbl>
    <w:p>
      <w:pPr>
        <w:pStyle w:val="Heading1"/>
      </w:pPr>
      <w:r>
        <w:t>증거 수준</w:t>
      </w:r>
    </w:p>
    <w:p>
      <w:r>
        <w:t>이 문서는 모의 실습 화면을 분석한 보고서다. 화면의 IP와 MAC은 해당 실습 환경에서만 식별자로 사용한다. 공격 성공, 운영망 영향, 취약점의 재현 가능성은 별도 캡처나 로그 없이는 단정하지 않는다.</w:t>
      </w:r>
    </w:p>
    <w:p>
      <w:r>
        <w:br w:type="page"/>
      </w:r>
    </w:p>
    <w:p>
      <w:pPr>
        <w:pStyle w:val="Heading1"/>
      </w:pPr>
      <w:r>
        <w:t>1 포트 스캔과 응답 패킷</w:t>
      </w:r>
    </w:p>
    <w:p>
      <w:r>
        <w:t>Wireshark 화면에서 10.10.10.4가 10.10.10.3의 80, 23, 25, 22번 TCP 포트로 SYN을 보낸 뒤 TCP SYN/ACK, RST 및 ICMP Destination Unreachable 응답이 기록됐다. 포트별 응답의 차이는 스캔 결과의 상태 표기를 해석하는 근거가 된다.</w:t>
      </w:r>
    </w:p>
    <w:p>
      <w:pPr>
        <w:spacing w:after="60"/>
        <w:jc w:val="center"/>
      </w:pPr>
      <w:r>
        <w:drawing>
          <wp:inline xmlns:a="http://schemas.openxmlformats.org/drawingml/2006/main" xmlns:pic="http://schemas.openxmlformats.org/drawingml/2006/picture">
            <wp:extent cx="6108192" cy="2859238"/>
            <wp:docPr id="1" name="Picture 1"/>
            <wp:cNvGraphicFramePr>
              <a:graphicFrameLocks noChangeAspect="1"/>
            </wp:cNvGraphicFramePr>
            <a:graphic>
              <a:graphicData uri="http://schemas.openxmlformats.org/drawingml/2006/picture">
                <pic:pic>
                  <pic:nvPicPr>
                    <pic:cNvPr id="0" name="02-1000000513.png"/>
                    <pic:cNvPicPr/>
                  </pic:nvPicPr>
                  <pic:blipFill>
                    <a:blip r:embed="rId9"/>
                    <a:stretch>
                      <a:fillRect/>
                    </a:stretch>
                  </pic:blipFill>
                  <pic:spPr>
                    <a:xfrm>
                      <a:off x="0" y="0"/>
                      <a:ext cx="6108192" cy="2859238"/>
                    </a:xfrm>
                    <a:prstGeom prst="rect"/>
                  </pic:spPr>
                </pic:pic>
              </a:graphicData>
            </a:graphic>
          </wp:inline>
        </w:drawing>
      </w:r>
    </w:p>
    <w:p>
      <w:pPr>
        <w:spacing w:after="180"/>
        <w:jc w:val="center"/>
      </w:pPr>
      <w:r>
        <w:rPr>
          <w:color w:val="535F69"/>
          <w:sz w:val="16"/>
        </w:rPr>
        <w:t>그림  Wireshark에서 확인한 SYN·RST·ICMP 응답</w:t>
      </w:r>
    </w:p>
    <w:p>
      <w:pPr>
        <w:pStyle w:val="Heading1"/>
      </w:pPr>
      <w:r>
        <w:t>분석</w:t>
      </w:r>
    </w:p>
    <w:p>
      <w:r>
        <w:t>SYN/ACK가 보이는 대상 포트에서는 TCP 연결 수립 응답을 관찰할 수 있다. ICMP 도달 불가 응답과 무응답은 네트워크 경로 또는 접근제어의 영향을 받을 수 있으므로, 한 화면만으로 어느 장비의 어떤 규칙이 원인인지 특정할 수 없다.</w:t>
      </w:r>
    </w:p>
    <w:p>
      <w:pPr>
        <w:pStyle w:val="Heading1"/>
      </w:pPr>
      <w:r>
        <w:t>개선 및 후속 확인</w:t>
      </w:r>
    </w:p>
    <w:p>
      <w:r>
        <w:t>포트별 Nmap 상태와 패킷 번호를 같은 시각으로 대조하고, pfSense 규칙·로그를 함께 확보한다. 운영 환경이라면 불필요한 서비스의 노출 여부와 관리 포트의 허용 출발지를 점검한다.</w:t>
      </w:r>
    </w:p>
    <w:p>
      <w:r>
        <w:br w:type="page"/>
      </w:r>
    </w:p>
    <w:p>
      <w:pPr>
        <w:pStyle w:val="Heading1"/>
      </w:pPr>
      <w:r>
        <w:t>2 ARP 매핑 변화와 DNS 변조 실습</w:t>
      </w:r>
    </w:p>
    <w:p>
      <w:r>
        <w:t>Windows ARP 테이블에서 10.10.10.3의 MAC은 처음 08:00:27:29:39:ce로 표시됐다. 다음 화면에는 같은 IP와 10.10.10.4가 모두 08:00:27:da:fa:7f로 표시된다. 이는 실습 중 주소 매핑이 달라졌다는 직접적인 근거다.</w:t>
      </w:r>
    </w:p>
    <w:p>
      <w:pPr>
        <w:spacing w:after="60"/>
        <w:jc w:val="center"/>
      </w:pPr>
      <w:r>
        <w:drawing>
          <wp:inline xmlns:a="http://schemas.openxmlformats.org/drawingml/2006/main" xmlns:pic="http://schemas.openxmlformats.org/drawingml/2006/picture">
            <wp:extent cx="5989320" cy="4125456"/>
            <wp:docPr id="2" name="Picture 2"/>
            <wp:cNvGraphicFramePr>
              <a:graphicFrameLocks noChangeAspect="1"/>
            </wp:cNvGraphicFramePr>
            <a:graphic>
              <a:graphicData uri="http://schemas.openxmlformats.org/drawingml/2006/picture">
                <pic:pic>
                  <pic:nvPicPr>
                    <pic:cNvPr id="0" name="10-1000000531.png"/>
                    <pic:cNvPicPr/>
                  </pic:nvPicPr>
                  <pic:blipFill>
                    <a:blip r:embed="rId10"/>
                    <a:stretch>
                      <a:fillRect/>
                    </a:stretch>
                  </pic:blipFill>
                  <pic:spPr>
                    <a:xfrm>
                      <a:off x="0" y="0"/>
                      <a:ext cx="5989320" cy="4125456"/>
                    </a:xfrm>
                    <a:prstGeom prst="rect"/>
                  </pic:spPr>
                </pic:pic>
              </a:graphicData>
            </a:graphic>
          </wp:inline>
        </w:drawing>
      </w:r>
    </w:p>
    <w:p>
      <w:pPr>
        <w:spacing w:after="180"/>
        <w:jc w:val="center"/>
      </w:pPr>
      <w:r>
        <w:rPr>
          <w:color w:val="535F69"/>
          <w:sz w:val="16"/>
        </w:rPr>
        <w:t>그림  Windows의 ARP 항목 전후 비교</w:t>
      </w:r>
    </w:p>
    <w:p>
      <w:r>
        <w:br w:type="page"/>
      </w:r>
    </w:p>
    <w:p>
      <w:pPr>
        <w:pStyle w:val="Heading1"/>
      </w:pPr>
      <w:r>
        <w:t>DNS 변조용 규칙과 브라우저 결과</w:t>
      </w:r>
    </w:p>
    <w:p>
      <w:r>
        <w:t>별도의 etter.dns 화면에는 google.co.kr 및 google.com 계열의 A 레코드를 10.10.10.4로 지정한 규칙이 있다. 이후 브라우저 주소창에 google.co.kr이 보이면서 Apache2 Debian 기본 페이지가 표시된다. 두 화면은 의도한 DNS 변조 실습 흐름과 부합하지만, 브라우저 화면만으로 실제 DNS 응답 레코드의 값을 확인할 수는 없다. 후속 검증에는 변경 전후의 DNS·ARP 응답 패킷을 같은 시간대로 수집해야 한다.</w:t>
      </w:r>
    </w:p>
    <w:p>
      <w:pPr>
        <w:spacing w:after="60"/>
        <w:jc w:val="center"/>
      </w:pPr>
      <w:r>
        <w:drawing>
          <wp:inline xmlns:a="http://schemas.openxmlformats.org/drawingml/2006/main" xmlns:pic="http://schemas.openxmlformats.org/drawingml/2006/picture">
            <wp:extent cx="5212080" cy="2351544"/>
            <wp:docPr id="3" name="Picture 3"/>
            <wp:cNvGraphicFramePr>
              <a:graphicFrameLocks noChangeAspect="1"/>
            </wp:cNvGraphicFramePr>
            <a:graphic>
              <a:graphicData uri="http://schemas.openxmlformats.org/drawingml/2006/picture">
                <pic:pic>
                  <pic:nvPicPr>
                    <pic:cNvPr id="0" name="03-1000000534.png"/>
                    <pic:cNvPicPr/>
                  </pic:nvPicPr>
                  <pic:blipFill>
                    <a:blip r:embed="rId11"/>
                    <a:stretch>
                      <a:fillRect/>
                    </a:stretch>
                  </pic:blipFill>
                  <pic:spPr>
                    <a:xfrm>
                      <a:off x="0" y="0"/>
                      <a:ext cx="5212080" cy="2351544"/>
                    </a:xfrm>
                    <a:prstGeom prst="rect"/>
                  </pic:spPr>
                </pic:pic>
              </a:graphicData>
            </a:graphic>
          </wp:inline>
        </w:drawing>
      </w:r>
    </w:p>
    <w:p>
      <w:pPr>
        <w:spacing w:after="180"/>
        <w:jc w:val="center"/>
      </w:pPr>
      <w:r>
        <w:rPr>
          <w:color w:val="535F69"/>
          <w:sz w:val="16"/>
        </w:rPr>
        <w:t>그림  etter.dns에 기재된 A 레코드 규칙</w:t>
      </w:r>
    </w:p>
    <w:p>
      <w:pPr>
        <w:spacing w:after="60"/>
        <w:jc w:val="center"/>
      </w:pPr>
      <w:r>
        <w:drawing>
          <wp:inline xmlns:a="http://schemas.openxmlformats.org/drawingml/2006/main" xmlns:pic="http://schemas.openxmlformats.org/drawingml/2006/picture">
            <wp:extent cx="4800600" cy="3500438"/>
            <wp:docPr id="4" name="Picture 4"/>
            <wp:cNvGraphicFramePr>
              <a:graphicFrameLocks noChangeAspect="1"/>
            </wp:cNvGraphicFramePr>
            <a:graphic>
              <a:graphicData uri="http://schemas.openxmlformats.org/drawingml/2006/picture">
                <pic:pic>
                  <pic:nvPicPr>
                    <pic:cNvPr id="0" name="08-1000000539.png"/>
                    <pic:cNvPicPr/>
                  </pic:nvPicPr>
                  <pic:blipFill>
                    <a:blip r:embed="rId12"/>
                    <a:stretch>
                      <a:fillRect/>
                    </a:stretch>
                  </pic:blipFill>
                  <pic:spPr>
                    <a:xfrm>
                      <a:off x="0" y="0"/>
                      <a:ext cx="4800600" cy="3500438"/>
                    </a:xfrm>
                    <a:prstGeom prst="rect"/>
                  </pic:spPr>
                </pic:pic>
              </a:graphicData>
            </a:graphic>
          </wp:inline>
        </w:drawing>
      </w:r>
    </w:p>
    <w:p>
      <w:pPr>
        <w:spacing w:after="180"/>
        <w:jc w:val="center"/>
      </w:pPr>
      <w:r>
        <w:rPr>
          <w:color w:val="535F69"/>
          <w:sz w:val="16"/>
        </w:rPr>
        <w:t>그림  google.co.kr 주소에서 표시된 Apache 기본 페이지</w:t>
      </w:r>
    </w:p>
    <w:p>
      <w:r>
        <w:br w:type="page"/>
      </w:r>
    </w:p>
    <w:p>
      <w:pPr>
        <w:pStyle w:val="Heading1"/>
      </w:pPr>
      <w:r>
        <w:t>3 pfSense 방화벽 규칙 검토</w:t>
      </w:r>
    </w:p>
    <w:p>
      <w:r>
        <w:t>pfSense 콘솔에서 WAN 192.168.16.2/24, LAN 192.168.1.1/24, OPT1 10.10.10.1/24 구성이 보인다. 규칙 목록에서는 OPT1의 Kali 대상 HTTP 80 허용 항목과 차단 항목의 순서, LAN의 Rocky(192.168.1.10)에서 Kali(10.10.10.4)로 향하는 SSH 22 및 HTTP 80 허용 항목을 확인했다.</w:t>
      </w:r>
    </w:p>
    <w:p>
      <w:pPr>
        <w:spacing w:after="60"/>
        <w:jc w:val="center"/>
      </w:pPr>
      <w:r>
        <w:drawing>
          <wp:inline xmlns:a="http://schemas.openxmlformats.org/drawingml/2006/main" xmlns:pic="http://schemas.openxmlformats.org/drawingml/2006/picture">
            <wp:extent cx="6080760" cy="823436"/>
            <wp:docPr id="5" name="Picture 5"/>
            <wp:cNvGraphicFramePr>
              <a:graphicFrameLocks noChangeAspect="1"/>
            </wp:cNvGraphicFramePr>
            <a:graphic>
              <a:graphicData uri="http://schemas.openxmlformats.org/drawingml/2006/picture">
                <pic:pic>
                  <pic:nvPicPr>
                    <pic:cNvPr id="0" name="09-1000000576.png"/>
                    <pic:cNvPicPr/>
                  </pic:nvPicPr>
                  <pic:blipFill>
                    <a:blip r:embed="rId13"/>
                    <a:stretch>
                      <a:fillRect/>
                    </a:stretch>
                  </pic:blipFill>
                  <pic:spPr>
                    <a:xfrm>
                      <a:off x="0" y="0"/>
                      <a:ext cx="6080760" cy="823436"/>
                    </a:xfrm>
                    <a:prstGeom prst="rect"/>
                  </pic:spPr>
                </pic:pic>
              </a:graphicData>
            </a:graphic>
          </wp:inline>
        </w:drawing>
      </w:r>
    </w:p>
    <w:p>
      <w:pPr>
        <w:spacing w:after="180"/>
        <w:jc w:val="center"/>
      </w:pPr>
      <w:r>
        <w:rPr>
          <w:color w:val="535F69"/>
          <w:sz w:val="16"/>
        </w:rPr>
        <w:t>그림  LAN 인터페이스의 SSH·HTTP 허용 규칙</w:t>
      </w:r>
    </w:p>
    <w:p>
      <w:pPr>
        <w:pStyle w:val="Heading1"/>
      </w:pPr>
      <w:r>
        <w:t>평가</w:t>
      </w:r>
    </w:p>
    <w:p>
      <w:r>
        <w:t>출발지, 목적지, 서비스 포트와 규칙 순서를 함께 보아야 의도한 통신만 허용되는지 판단할 수 있다. 해당 화면은 규칙 목록을 입증하지만, 실제 정책 적용 상태와 연결 성공은 별도의 상태 테이블, 로그 또는 양방향 통신 시험으로 검증해야 한다.</w:t>
      </w:r>
    </w:p>
    <w:p>
      <w:pPr>
        <w:pStyle w:val="Heading1"/>
      </w:pPr>
      <w:r>
        <w:t>권고</w:t>
      </w:r>
    </w:p>
    <w:p>
      <w:r>
        <w:t>관리용 SSH의 출발지 범위를 필요한 호스트로 제한하고, 사용하지 않는 규칙과 기본 계정 상태를 점검한다. pfSense 화면에는 기본 비밀번호 사용 경고도 나타나므로 교육용 환경 밖에서 동일한 상태를 유지해서는 안 된다.</w:t>
      </w:r>
    </w:p>
    <w:p>
      <w:r>
        <w:br w:type="page"/>
      </w:r>
    </w:p>
    <w:p>
      <w:pPr>
        <w:pStyle w:val="Heading1"/>
      </w:pPr>
      <w:r>
        <w:t>4 Suricata와 Snort 탐지 규칙</w:t>
      </w:r>
    </w:p>
    <w:p>
      <w:r>
        <w:t>Suricata 사용자 정의 규칙에는 192.168.1.10에서 10.10.10.4로 향하는 ICMP에 drop 동작을 지정한 항목이 있다. 별도 ping 결과는 10회 전송, 0회 수신을 보여 준다. 두 결과를 연관 지어 볼 수 있으나 같은 시각의 alert·drop 로그가 없어 차단 원인을 확정하지 않았다.</w:t>
      </w:r>
    </w:p>
    <w:p>
      <w:pPr>
        <w:spacing w:after="60"/>
        <w:jc w:val="center"/>
      </w:pPr>
      <w:r>
        <w:drawing>
          <wp:inline xmlns:a="http://schemas.openxmlformats.org/drawingml/2006/main" xmlns:pic="http://schemas.openxmlformats.org/drawingml/2006/picture">
            <wp:extent cx="5989320" cy="1095702"/>
            <wp:docPr id="6" name="Picture 6"/>
            <wp:cNvGraphicFramePr>
              <a:graphicFrameLocks noChangeAspect="1"/>
            </wp:cNvGraphicFramePr>
            <a:graphic>
              <a:graphicData uri="http://schemas.openxmlformats.org/drawingml/2006/picture">
                <pic:pic>
                  <pic:nvPicPr>
                    <pic:cNvPr id="0" name="10-1000000577.png"/>
                    <pic:cNvPicPr/>
                  </pic:nvPicPr>
                  <pic:blipFill>
                    <a:blip r:embed="rId14"/>
                    <a:stretch>
                      <a:fillRect/>
                    </a:stretch>
                  </pic:blipFill>
                  <pic:spPr>
                    <a:xfrm>
                      <a:off x="0" y="0"/>
                      <a:ext cx="5989320" cy="1095702"/>
                    </a:xfrm>
                    <a:prstGeom prst="rect"/>
                  </pic:spPr>
                </pic:pic>
              </a:graphicData>
            </a:graphic>
          </wp:inline>
        </w:drawing>
      </w:r>
    </w:p>
    <w:p>
      <w:pPr>
        <w:spacing w:after="180"/>
        <w:jc w:val="center"/>
      </w:pPr>
      <w:r>
        <w:rPr>
          <w:color w:val="535F69"/>
          <w:sz w:val="16"/>
        </w:rPr>
        <w:t>그림  Suricata custom.rules의 ICMP drop 규칙</w:t>
      </w:r>
    </w:p>
    <w:p>
      <w:pPr>
        <w:spacing w:after="60"/>
        <w:jc w:val="center"/>
      </w:pPr>
      <w:r>
        <w:drawing>
          <wp:inline xmlns:a="http://schemas.openxmlformats.org/drawingml/2006/main" xmlns:pic="http://schemas.openxmlformats.org/drawingml/2006/picture">
            <wp:extent cx="5669280" cy="1007626"/>
            <wp:docPr id="7" name="Picture 7"/>
            <wp:cNvGraphicFramePr>
              <a:graphicFrameLocks noChangeAspect="1"/>
            </wp:cNvGraphicFramePr>
            <a:graphic>
              <a:graphicData uri="http://schemas.openxmlformats.org/drawingml/2006/picture">
                <pic:pic>
                  <pic:nvPicPr>
                    <pic:cNvPr id="0" name="01-1000000578.png"/>
                    <pic:cNvPicPr/>
                  </pic:nvPicPr>
                  <pic:blipFill>
                    <a:blip r:embed="rId15"/>
                    <a:stretch>
                      <a:fillRect/>
                    </a:stretch>
                  </pic:blipFill>
                  <pic:spPr>
                    <a:xfrm>
                      <a:off x="0" y="0"/>
                      <a:ext cx="5669280" cy="1007626"/>
                    </a:xfrm>
                    <a:prstGeom prst="rect"/>
                  </pic:spPr>
                </pic:pic>
              </a:graphicData>
            </a:graphic>
          </wp:inline>
        </w:drawing>
      </w:r>
    </w:p>
    <w:p>
      <w:pPr>
        <w:spacing w:after="180"/>
        <w:jc w:val="center"/>
      </w:pPr>
      <w:r>
        <w:rPr>
          <w:color w:val="535F69"/>
          <w:sz w:val="16"/>
        </w:rPr>
        <w:t>그림  Rocky에서 Kali로 보낸 ping 결과</w:t>
      </w:r>
    </w:p>
    <w:p>
      <w:r>
        <w:t>Snort local.rules 화면에는 10.10.10.4에서 10.10.10.11로 향하는 ICMP를 대상으로 threshold 조건을 둔 alert 규칙이 보인다. 이 화면은 작성 사실의 증거이며 탐지 경보가 발생했다는 증거는 아니다.</w:t>
      </w:r>
    </w:p>
    <w:p>
      <w:pPr>
        <w:pStyle w:val="Heading1"/>
      </w:pPr>
      <w:r>
        <w:t>추가 검증</w:t>
      </w:r>
    </w:p>
    <w:p>
      <w:r>
        <w:t>Suricata의 SID 1000100과 Snort의 SID 1000009를 각각 실행 로그와 연결해 발생 시각, 방향, 동작을 확인한다. 규칙의 적용 전후에 동일한 트래픽을 재전송하면 정책 효과를 더 명확히 설명할 수 있다.</w:t>
      </w:r>
    </w:p>
    <w:p>
      <w:r>
        <w:br w:type="page"/>
      </w:r>
    </w:p>
    <w:p>
      <w:pPr>
        <w:pStyle w:val="Heading1"/>
      </w:pPr>
      <w:r>
        <w:t>결론과 증거 목록</w:t>
      </w:r>
    </w:p>
    <w:p>
      <w:r>
        <w:t>이번 실습에서 패킷 응답을 읽고 주소 매핑의 변화를 추적했으며, 방화벽과 침입 탐지 규칙의 설정 내용을 확인했다. 확인 가능한 범위와 추가 로그가 필요한 범위를 구분해 기록했다.</w:t>
      </w:r>
    </w:p>
    <w:tbl>
      <w:tblPr>
        <w:tblW w:type="auto" w:w="0"/>
        <w:jc w:val="center"/>
        <w:tblLook w:firstColumn="1" w:firstRow="1" w:lastColumn="0" w:lastRow="0" w:noHBand="0" w:noVBand="1" w:val="04A0"/>
      </w:tblPr>
      <w:tblGrid>
        <w:gridCol w:w="2088"/>
        <w:gridCol w:w="3744"/>
        <w:gridCol w:w="3816"/>
      </w:tblGrid>
      <w:tr>
        <w:tc>
          <w:tcPr>
            <w:tcW w:type="dxa" w:w="2088"/>
            <w:vAlign w:val="center"/>
            <w:shd w:fill="DCE8F1"/>
            <w:tcBorders>
              <w:top w:val="single" w:sz="4" w:color="D9D9D9"/>
              <w:left w:val="single" w:sz="4" w:color="D9D9D9"/>
              <w:bottom w:val="single" w:sz="4" w:color="D9D9D9"/>
              <w:right w:val="single" w:sz="4" w:color="D9D9D9"/>
            </w:tcBorders>
          </w:tcPr>
          <w:p>
            <w:pPr>
              <w:spacing w:after="20"/>
            </w:pPr>
            <w:r>
              <w:rPr>
                <w:b/>
                <w:sz w:val="18"/>
              </w:rPr>
              <w:t>주제</w:t>
            </w:r>
          </w:p>
        </w:tc>
        <w:tc>
          <w:tcPr>
            <w:tcW w:type="dxa" w:w="3744"/>
            <w:vAlign w:val="center"/>
            <w:shd w:fill="DCE8F1"/>
            <w:tcBorders>
              <w:top w:val="single" w:sz="4" w:color="D9D9D9"/>
              <w:left w:val="single" w:sz="4" w:color="D9D9D9"/>
              <w:bottom w:val="single" w:sz="4" w:color="D9D9D9"/>
              <w:right w:val="single" w:sz="4" w:color="D9D9D9"/>
            </w:tcBorders>
          </w:tcPr>
          <w:p>
            <w:pPr>
              <w:spacing w:after="20"/>
            </w:pPr>
            <w:r>
              <w:rPr>
                <w:b/>
                <w:sz w:val="18"/>
              </w:rPr>
              <w:t>핵심 화면</w:t>
            </w:r>
          </w:p>
        </w:tc>
        <w:tc>
          <w:tcPr>
            <w:tcW w:type="dxa" w:w="3816"/>
            <w:vAlign w:val="center"/>
            <w:shd w:fill="DCE8F1"/>
            <w:tcBorders>
              <w:top w:val="single" w:sz="4" w:color="D9D9D9"/>
              <w:left w:val="single" w:sz="4" w:color="D9D9D9"/>
              <w:bottom w:val="single" w:sz="4" w:color="D9D9D9"/>
              <w:right w:val="single" w:sz="4" w:color="D9D9D9"/>
            </w:tcBorders>
          </w:tcPr>
          <w:p>
            <w:pPr>
              <w:spacing w:after="20"/>
            </w:pPr>
            <w:r>
              <w:rPr>
                <w:b/>
                <w:sz w:val="18"/>
              </w:rPr>
              <w:t>현재 판단</w:t>
            </w:r>
          </w:p>
        </w:tc>
      </w:tr>
      <w:tr>
        <w:tc>
          <w:tcPr>
            <w:tcW w:type="dxa" w:w="2088"/>
            <w:vAlign w:val="center"/>
            <w:shd w:fill="FFFFFF"/>
            <w:tcBorders>
              <w:top w:val="single" w:sz="4" w:color="D9D9D9"/>
              <w:left w:val="single" w:sz="4" w:color="D9D9D9"/>
              <w:bottom w:val="single" w:sz="4" w:color="D9D9D9"/>
              <w:right w:val="single" w:sz="4" w:color="D9D9D9"/>
            </w:tcBorders>
          </w:tcPr>
          <w:p>
            <w:pPr>
              <w:spacing w:after="20"/>
            </w:pPr>
            <w:r>
              <w:rPr>
                <w:b w:val="0"/>
                <w:sz w:val="18"/>
              </w:rPr>
              <w:t>포트 스캔</w:t>
            </w:r>
          </w:p>
        </w:tc>
        <w:tc>
          <w:tcPr>
            <w:tcW w:type="dxa" w:w="3744"/>
            <w:vAlign w:val="center"/>
            <w:shd w:fill="FFFFFF"/>
            <w:tcBorders>
              <w:top w:val="single" w:sz="4" w:color="D9D9D9"/>
              <w:left w:val="single" w:sz="4" w:color="D9D9D9"/>
              <w:bottom w:val="single" w:sz="4" w:color="D9D9D9"/>
              <w:right w:val="single" w:sz="4" w:color="D9D9D9"/>
            </w:tcBorders>
          </w:tcPr>
          <w:p>
            <w:pPr>
              <w:spacing w:after="20"/>
            </w:pPr>
            <w:r>
              <w:rPr>
                <w:b w:val="0"/>
                <w:sz w:val="18"/>
              </w:rPr>
              <w:t>1000000513</w:t>
            </w:r>
          </w:p>
        </w:tc>
        <w:tc>
          <w:tcPr>
            <w:tcW w:type="dxa" w:w="3816"/>
            <w:vAlign w:val="center"/>
            <w:shd w:fill="FFFFFF"/>
            <w:tcBorders>
              <w:top w:val="single" w:sz="4" w:color="D9D9D9"/>
              <w:left w:val="single" w:sz="4" w:color="D9D9D9"/>
              <w:bottom w:val="single" w:sz="4" w:color="D9D9D9"/>
              <w:right w:val="single" w:sz="4" w:color="D9D9D9"/>
            </w:tcBorders>
          </w:tcPr>
          <w:p>
            <w:pPr>
              <w:spacing w:after="20"/>
            </w:pPr>
            <w:r>
              <w:rPr>
                <w:b w:val="0"/>
                <w:sz w:val="18"/>
              </w:rPr>
              <w:t>TCP·ICMP 응답 관찰</w:t>
            </w:r>
          </w:p>
        </w:tc>
      </w:tr>
      <w:tr>
        <w:tc>
          <w:tcPr>
            <w:tcW w:type="dxa" w:w="2088"/>
            <w:vAlign w:val="center"/>
            <w:shd w:fill="F6F9FB"/>
            <w:tcBorders>
              <w:top w:val="single" w:sz="4" w:color="D9D9D9"/>
              <w:left w:val="single" w:sz="4" w:color="D9D9D9"/>
              <w:bottom w:val="single" w:sz="4" w:color="D9D9D9"/>
              <w:right w:val="single" w:sz="4" w:color="D9D9D9"/>
            </w:tcBorders>
          </w:tcPr>
          <w:p>
            <w:pPr>
              <w:spacing w:after="20"/>
            </w:pPr>
            <w:r>
              <w:rPr>
                <w:b w:val="0"/>
                <w:sz w:val="18"/>
              </w:rPr>
              <w:t>ARP·DNS</w:t>
            </w:r>
          </w:p>
        </w:tc>
        <w:tc>
          <w:tcPr>
            <w:tcW w:type="dxa" w:w="3744"/>
            <w:vAlign w:val="center"/>
            <w:shd w:fill="F6F9FB"/>
            <w:tcBorders>
              <w:top w:val="single" w:sz="4" w:color="D9D9D9"/>
              <w:left w:val="single" w:sz="4" w:color="D9D9D9"/>
              <w:bottom w:val="single" w:sz="4" w:color="D9D9D9"/>
              <w:right w:val="single" w:sz="4" w:color="D9D9D9"/>
            </w:tcBorders>
          </w:tcPr>
          <w:p>
            <w:pPr>
              <w:spacing w:after="20"/>
            </w:pPr>
            <w:r>
              <w:rPr>
                <w:b w:val="0"/>
                <w:sz w:val="18"/>
              </w:rPr>
              <w:t>1000000531, 1000000534, 1000000539</w:t>
            </w:r>
          </w:p>
        </w:tc>
        <w:tc>
          <w:tcPr>
            <w:tcW w:type="dxa" w:w="3816"/>
            <w:vAlign w:val="center"/>
            <w:shd w:fill="F6F9FB"/>
            <w:tcBorders>
              <w:top w:val="single" w:sz="4" w:color="D9D9D9"/>
              <w:left w:val="single" w:sz="4" w:color="D9D9D9"/>
              <w:bottom w:val="single" w:sz="4" w:color="D9D9D9"/>
              <w:right w:val="single" w:sz="4" w:color="D9D9D9"/>
            </w:tcBorders>
          </w:tcPr>
          <w:p>
            <w:pPr>
              <w:spacing w:after="20"/>
            </w:pPr>
            <w:r>
              <w:rPr>
                <w:b w:val="0"/>
                <w:sz w:val="18"/>
              </w:rPr>
              <w:t>ARP 변경 및 브라우저 표시 변화</w:t>
            </w:r>
          </w:p>
        </w:tc>
      </w:tr>
      <w:tr>
        <w:tc>
          <w:tcPr>
            <w:tcW w:type="dxa" w:w="2088"/>
            <w:vAlign w:val="center"/>
            <w:shd w:fill="FFFFFF"/>
            <w:tcBorders>
              <w:top w:val="single" w:sz="4" w:color="D9D9D9"/>
              <w:left w:val="single" w:sz="4" w:color="D9D9D9"/>
              <w:bottom w:val="single" w:sz="4" w:color="D9D9D9"/>
              <w:right w:val="single" w:sz="4" w:color="D9D9D9"/>
            </w:tcBorders>
          </w:tcPr>
          <w:p>
            <w:pPr>
              <w:spacing w:after="20"/>
            </w:pPr>
            <w:r>
              <w:rPr>
                <w:b w:val="0"/>
                <w:sz w:val="18"/>
              </w:rPr>
              <w:t>pfSense</w:t>
            </w:r>
          </w:p>
        </w:tc>
        <w:tc>
          <w:tcPr>
            <w:tcW w:type="dxa" w:w="3744"/>
            <w:vAlign w:val="center"/>
            <w:shd w:fill="FFFFFF"/>
            <w:tcBorders>
              <w:top w:val="single" w:sz="4" w:color="D9D9D9"/>
              <w:left w:val="single" w:sz="4" w:color="D9D9D9"/>
              <w:bottom w:val="single" w:sz="4" w:color="D9D9D9"/>
              <w:right w:val="single" w:sz="4" w:color="D9D9D9"/>
            </w:tcBorders>
          </w:tcPr>
          <w:p>
            <w:pPr>
              <w:spacing w:after="20"/>
            </w:pPr>
            <w:r>
              <w:rPr>
                <w:b w:val="0"/>
                <w:sz w:val="18"/>
              </w:rPr>
              <w:t>1000000558, 1000000575, 1000000576</w:t>
            </w:r>
          </w:p>
        </w:tc>
        <w:tc>
          <w:tcPr>
            <w:tcW w:type="dxa" w:w="3816"/>
            <w:vAlign w:val="center"/>
            <w:shd w:fill="FFFFFF"/>
            <w:tcBorders>
              <w:top w:val="single" w:sz="4" w:color="D9D9D9"/>
              <w:left w:val="single" w:sz="4" w:color="D9D9D9"/>
              <w:bottom w:val="single" w:sz="4" w:color="D9D9D9"/>
              <w:right w:val="single" w:sz="4" w:color="D9D9D9"/>
            </w:tcBorders>
          </w:tcPr>
          <w:p>
            <w:pPr>
              <w:spacing w:after="20"/>
            </w:pPr>
            <w:r>
              <w:rPr>
                <w:b w:val="0"/>
                <w:sz w:val="18"/>
              </w:rPr>
              <w:t>인터페이스·규칙 확인</w:t>
            </w:r>
          </w:p>
        </w:tc>
      </w:tr>
      <w:tr>
        <w:tc>
          <w:tcPr>
            <w:tcW w:type="dxa" w:w="2088"/>
            <w:vAlign w:val="center"/>
            <w:shd w:fill="F6F9FB"/>
            <w:tcBorders>
              <w:top w:val="single" w:sz="4" w:color="D9D9D9"/>
              <w:left w:val="single" w:sz="4" w:color="D9D9D9"/>
              <w:bottom w:val="single" w:sz="4" w:color="D9D9D9"/>
              <w:right w:val="single" w:sz="4" w:color="D9D9D9"/>
            </w:tcBorders>
          </w:tcPr>
          <w:p>
            <w:pPr>
              <w:spacing w:after="20"/>
            </w:pPr>
            <w:r>
              <w:rPr>
                <w:b w:val="0"/>
                <w:sz w:val="18"/>
              </w:rPr>
              <w:t>Suricata·Snort</w:t>
            </w:r>
          </w:p>
        </w:tc>
        <w:tc>
          <w:tcPr>
            <w:tcW w:type="dxa" w:w="3744"/>
            <w:vAlign w:val="center"/>
            <w:shd w:fill="F6F9FB"/>
            <w:tcBorders>
              <w:top w:val="single" w:sz="4" w:color="D9D9D9"/>
              <w:left w:val="single" w:sz="4" w:color="D9D9D9"/>
              <w:bottom w:val="single" w:sz="4" w:color="D9D9D9"/>
              <w:right w:val="single" w:sz="4" w:color="D9D9D9"/>
            </w:tcBorders>
          </w:tcPr>
          <w:p>
            <w:pPr>
              <w:spacing w:after="20"/>
            </w:pPr>
            <w:r>
              <w:rPr>
                <w:b w:val="0"/>
                <w:sz w:val="18"/>
              </w:rPr>
              <w:t>1000000557, 1000000577, 1000000578</w:t>
            </w:r>
          </w:p>
        </w:tc>
        <w:tc>
          <w:tcPr>
            <w:tcW w:type="dxa" w:w="3816"/>
            <w:vAlign w:val="center"/>
            <w:shd w:fill="F6F9FB"/>
            <w:tcBorders>
              <w:top w:val="single" w:sz="4" w:color="D9D9D9"/>
              <w:left w:val="single" w:sz="4" w:color="D9D9D9"/>
              <w:bottom w:val="single" w:sz="4" w:color="D9D9D9"/>
              <w:right w:val="single" w:sz="4" w:color="D9D9D9"/>
            </w:tcBorders>
          </w:tcPr>
          <w:p>
            <w:pPr>
              <w:spacing w:after="20"/>
            </w:pPr>
            <w:r>
              <w:rPr>
                <w:b w:val="0"/>
                <w:sz w:val="18"/>
              </w:rPr>
              <w:t>규칙 작성 및 ping 실패 관찰</w:t>
            </w:r>
          </w:p>
        </w:tc>
      </w:tr>
    </w:tbl>
    <w:p>
      <w:pPr>
        <w:pStyle w:val="Heading1"/>
      </w:pPr>
      <w:r>
        <w:t>검증 우선순위</w:t>
      </w:r>
    </w:p>
    <w:p>
      <w:r>
        <w:t>첫째, pfSense와 Suricata의 규칙 적용 로그를 확보한다. 둘째, DNS 질의 응답과 ARP 패킷을 전후 시점으로 묶는다. 셋째, Snort alert 로그에서 SID 1000009의 실제 발생 여부를 확인한다. 이러한 자료가 확보되면 관찰 결과를 원인 분석과 개선 조치로 연결할 수 있다.</w:t>
      </w:r>
    </w:p>
    <w:p>
      <w:r>
        <w:t>자료 출처  작성자가 제공한 교육용 실습 캡처. 화면 번호는 원본 파일명 끝자리와 일치한다.</w:t>
      </w:r>
    </w:p>
    <w:sectPr w:rsidR="00FC693F" w:rsidRPr="0006063C" w:rsidSect="00034616">
      <w:pgSz w:w="12240" w:h="15840"/>
      <w:pgMar w:top="1152"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KR" w:hAnsi="Noto Sans KR" w:eastAsia="Noto Sans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