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생성형 AI의 피싱 이메일 탐지 성능 분석 연구</w:t>
      </w:r>
    </w:p>
    <w:p>
      <w:pPr>
        <w:spacing w:after="40"/>
      </w:pPr>
      <w:r>
        <w:rPr>
          <w:color w:val="595959"/>
          <w:sz w:val="22"/>
          <w:szCs w:val="22"/>
        </w:rPr>
        <w:t xml:space="preserve">— 긴급성, 정보 요구 및 링크 접속 유도 특성을 중심으로 —</w:t>
      </w:r>
    </w:p>
    <w:p>
      <w:pPr>
        <w:spacing w:after="240"/>
      </w:pPr>
      <w:r>
        <w:rPr>
          <w:color w:val="595959"/>
          <w:sz w:val="20"/>
          <w:szCs w:val="20"/>
        </w:rPr>
        <w:t xml:space="preserve">김소윤</w:t>
      </w:r>
    </w:p>
    <w:p>
      <w:pPr>
        <w:pStyle w:val="Heading1"/>
        <w:pBdr>
          <w:bottom w:val="single" w:color="1F4E79" w:sz="6"/>
        </w:pBdr>
        <w:spacing w:after="140" w:before="320"/>
      </w:pPr>
      <w:r>
        <w:t xml:space="preserve">서론</w:t>
      </w:r>
    </w:p>
    <w:p>
      <w:pPr>
        <w:spacing w:after="160" w:line="320"/>
        <w:jc w:val="both"/>
      </w:pPr>
      <w:r>
        <w:rPr>
          <w:sz w:val="21"/>
          <w:szCs w:val="21"/>
        </w:rPr>
        <w:t xml:space="preserve">이메일을 이용한 피싱 공격은 여전히 가장 흔한 사이버 위협 중 하나로 꼽힌다. 공격자는 사용자의 심리적 취약점을 이용해 긴급성을 강조하거나, 계정·개인정보를 직접 요구하거나, 의심스러운 링크 접속을 유도하는 방식을 반복적으로 사용한다. 최근에는 생성형 AI가 이메일 내용을 요약·분류하는 데 널리 활용되면서, AI가 이러한 피싱 특성을 실제로 얼마나 잘 구별해내는지 확인할 필요가 커졌다. 이 연구는 생성형 AI인 Claude가 피싱 이메일과 정상 이메일을 구별할 수 있는지, 그리고 피싱 유형에 따라 판별 성능에 차이가 있는지를 확인하는 것을 목적으로 한다.</w:t>
      </w:r>
    </w:p>
    <w:p>
      <w:pPr>
        <w:pStyle w:val="Heading1"/>
        <w:pBdr>
          <w:bottom w:val="single" w:color="1F4E79" w:sz="6"/>
        </w:pBdr>
        <w:spacing w:after="140" w:before="320"/>
      </w:pPr>
      <w:r>
        <w:t xml:space="preserve">이론적 배경</w:t>
      </w:r>
    </w:p>
    <w:p>
      <w:pPr>
        <w:spacing w:after="160" w:line="320"/>
        <w:jc w:val="both"/>
      </w:pPr>
      <w:r>
        <w:rPr>
          <w:sz w:val="21"/>
          <w:szCs w:val="21"/>
        </w:rPr>
        <w:t xml:space="preserve">한국인터넷진흥원(KISA)의 「피싱 메일 공격 사례 분석 및 대응 방안」 자료는 피싱 메일에서 반복적으로 나타나는 특성을 긴급성 강조, 정보·계정 요구, 링크 접속 유도의 세 가지로 구분해 설명한다. 이 연구는 해당 분류 체계를 참고해 실험용 이메일을 구성했다. 한편 생성형 대규모 언어모델(LLM)은 문맥을 이해하고 텍스트에 담긴 의도를 추론하는 데 강점을 보이는데, 이러한 특성이 피싱 메일 특유의 어휘·구조적 패턴을 포착하는 데도 효과적으로 작동하는지가 이 연구의 핵심 질문이다.</w:t>
      </w:r>
    </w:p>
    <w:p>
      <w:pPr>
        <w:pStyle w:val="Heading1"/>
        <w:pBdr>
          <w:bottom w:val="single" w:color="1F4E79" w:sz="6"/>
        </w:pBdr>
        <w:spacing w:after="140" w:before="320"/>
      </w:pPr>
      <w:r>
        <w:t xml:space="preserve">연구 방법</w:t>
      </w:r>
    </w:p>
    <w:p>
      <w:pPr>
        <w:spacing w:after="100" w:before="200"/>
      </w:pPr>
      <w:r>
        <w:rPr>
          <w:b/>
          <w:bCs/>
          <w:color w:val="1F4E79"/>
          <w:sz w:val="22"/>
          <w:szCs w:val="22"/>
        </w:rPr>
        <w:t xml:space="preserve">데이터 구성</w:t>
      </w:r>
    </w:p>
    <w:p>
      <w:pPr>
        <w:spacing w:after="160" w:line="320"/>
        <w:jc w:val="both"/>
      </w:pPr>
      <w:r>
        <w:rPr>
          <w:sz w:val="21"/>
          <w:szCs w:val="21"/>
        </w:rPr>
        <w:t xml:space="preserve">KISA 「피싱 메일 공격 사례 분석 및 대응 방안」의 분류 체계를 기반으로, 영어로 작성된 이메일 총 40건을 연구자가 직접 구성했다. 이 중 30건은 피싱 이메일로, 긴급성 강조형·정보/계정 요구형·링크 접속 유도형 각 10건씩 균등하게 배분했다. 나머지 10건은 위 특성이 없는 정상 업무 이메일이다.</w:t>
      </w:r>
    </w:p>
    <w:p>
      <w:pPr>
        <w:spacing w:after="100" w:before="200"/>
      </w:pPr>
      <w:r>
        <w:rPr>
          <w:b/>
          <w:bCs/>
          <w:color w:val="1F4E79"/>
          <w:sz w:val="22"/>
          <w:szCs w:val="22"/>
        </w:rPr>
        <w:t xml:space="preserve">분류 절차</w:t>
      </w:r>
    </w:p>
    <w:p>
      <w:pPr>
        <w:spacing w:after="160" w:line="320"/>
        <w:jc w:val="both"/>
      </w:pPr>
      <w:r>
        <w:rPr>
          <w:sz w:val="21"/>
          <w:szCs w:val="21"/>
        </w:rPr>
        <w:t xml:space="preserve">40건의 이메일을 한 건씩 Claude에게 제시했다. 모든 이메일에 동일한 프롬프트를 사용했으며, 이메일마다 제목과 본문만 입력해 판정에 영향을 줄 수 있는 부가 정보(발신자 평판, 첨부파일 실제 여부 등)는 배제했다. Claude는 각 이메일이 피싱인지 정상인지 이분법으로 판정했고, 이 판정 결과를 실제 라벨과 대조해 정확도·탐지율·정상분류율·FPR·FNR을 계산했다.</w:t>
      </w:r>
    </w:p>
    <w:p>
      <w:pPr>
        <w:pStyle w:val="Heading1"/>
        <w:pBdr>
          <w:bottom w:val="single" w:color="1F4E79" w:sz="6"/>
        </w:pBdr>
        <w:spacing w:after="140" w:before="320"/>
      </w:pPr>
      <w:r>
        <w:t xml:space="preserve">평가 지표</w:t>
      </w:r>
    </w:p>
    <w:p>
      <w:pPr>
        <w:spacing w:after="160" w:line="320"/>
        <w:jc w:val="both"/>
      </w:pPr>
      <w:r>
        <w:rPr>
          <w:sz w:val="21"/>
          <w:szCs w:val="21"/>
        </w:rPr>
        <w:t xml:space="preserve">이 연구에서 사용한 평가 지표와 그 정의는 다음과 같다. TP(True Positive)는 피싱을 피싱으로, TN(True Negative)은 정상을 정상으로 올바르게 판정한 경우를, FP(False Positive)는 정상을 피싱으로, FN(False Negative)은 피싱을 정상으로 잘못 판정한 경우를 의미한다.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00"/>
      </w:tblGrid>
      <w:tr>
        <w:trPr>
          <w:tblHeader/>
        </w:trPr>
        <w:tc>
          <w:tcPr>
            <w:tcW w:type="dxa" w:w="1800"/>
            <w:shd w:fill="1F4E79" w:color="auto" w:val="clear"/>
          </w:tcPr>
          <w:p>
            <w:pPr>
              <w:jc w:val="center"/>
            </w:pPr>
            <w:r>
              <w:rPr>
                <w:b/>
                <w:bCs/>
                <w:color w:val="FFFFFF"/>
                <w:sz w:val="19"/>
                <w:szCs w:val="19"/>
              </w:rPr>
              <w:t xml:space="preserve">지표</w:t>
            </w:r>
          </w:p>
        </w:tc>
        <w:tc>
          <w:tcPr>
            <w:tcW w:type="dxa" w:w="2600"/>
            <w:shd w:fill="1F4E79" w:color="auto" w:val="clear"/>
          </w:tcPr>
          <w:p>
            <w:pPr>
              <w:jc w:val="center"/>
            </w:pPr>
            <w:r>
              <w:rPr>
                <w:b/>
                <w:bCs/>
                <w:color w:val="FFFFFF"/>
                <w:sz w:val="19"/>
                <w:szCs w:val="19"/>
              </w:rPr>
              <w:t xml:space="preserve">정의</w:t>
            </w:r>
          </w:p>
        </w:tc>
        <w:tc>
          <w:tcPr>
            <w:tcW w:type="dxa" w:w="4600"/>
            <w:shd w:fill="1F4E79" w:color="auto" w:val="clear"/>
          </w:tcPr>
          <w:p>
            <w:pPr>
              <w:jc w:val="center"/>
            </w:pPr>
            <w:r>
              <w:rPr>
                <w:b/>
                <w:bCs/>
                <w:color w:val="FFFFFF"/>
                <w:sz w:val="19"/>
                <w:szCs w:val="19"/>
              </w:rPr>
              <w:t xml:space="preserve">의미</w:t>
            </w:r>
          </w:p>
        </w:tc>
      </w:tr>
      <w:tr>
        <w:tc>
          <w:tcPr>
            <w:tcW w:type="dxa" w:w="1800"/>
          </w:tcPr>
          <w:p>
            <w:pPr>
              <w:jc w:val="left"/>
            </w:pPr>
            <w:r>
              <w:rPr>
                <w:b w:val="false"/>
                <w:bCs w:val="false"/>
                <w:sz w:val="19"/>
                <w:szCs w:val="19"/>
              </w:rPr>
              <w:t xml:space="preserve">정확도 (Accuracy)</w:t>
            </w:r>
          </w:p>
        </w:tc>
        <w:tc>
          <w:tcPr>
            <w:tcW w:type="dxa" w:w="2600"/>
          </w:tcPr>
          <w:p>
            <w:pPr>
              <w:jc w:val="left"/>
            </w:pPr>
            <w:r>
              <w:rPr>
                <w:b w:val="false"/>
                <w:bCs w:val="false"/>
                <w:sz w:val="19"/>
                <w:szCs w:val="19"/>
              </w:rPr>
              <w:t xml:space="preserve">(TP+TN) / 전체</w:t>
            </w:r>
          </w:p>
        </w:tc>
        <w:tc>
          <w:tcPr>
            <w:tcW w:type="dxa" w:w="4600"/>
          </w:tcPr>
          <w:p>
            <w:pPr>
              <w:jc w:val="left"/>
            </w:pPr>
            <w:r>
              <w:rPr>
                <w:b w:val="false"/>
                <w:bCs w:val="false"/>
                <w:sz w:val="19"/>
                <w:szCs w:val="19"/>
              </w:rPr>
              <w:t xml:space="preserve">전체 40건 중 올바르게 분류한 비율</w:t>
            </w:r>
          </w:p>
        </w:tc>
      </w:tr>
      <w:tr>
        <w:tc>
          <w:tcPr>
            <w:tcW w:type="dxa" w:w="1800"/>
            <w:shd w:fill="F2F2F2" w:color="auto" w:val="clear"/>
          </w:tcPr>
          <w:p>
            <w:pPr>
              <w:jc w:val="left"/>
            </w:pPr>
            <w:r>
              <w:rPr>
                <w:b w:val="false"/>
                <w:bCs w:val="false"/>
                <w:sz w:val="19"/>
                <w:szCs w:val="19"/>
              </w:rPr>
              <w:t xml:space="preserve">탐지율 (Recall)</w:t>
            </w:r>
          </w:p>
        </w:tc>
        <w:tc>
          <w:tcPr>
            <w:tcW w:type="dxa" w:w="2600"/>
            <w:shd w:fill="F2F2F2" w:color="auto" w:val="clear"/>
          </w:tcPr>
          <w:p>
            <w:pPr>
              <w:jc w:val="left"/>
            </w:pPr>
            <w:r>
              <w:rPr>
                <w:b w:val="false"/>
                <w:bCs w:val="false"/>
                <w:sz w:val="19"/>
                <w:szCs w:val="19"/>
              </w:rPr>
              <w:t xml:space="preserve">TP / (TP+FN)</w:t>
            </w:r>
          </w:p>
        </w:tc>
        <w:tc>
          <w:tcPr>
            <w:tcW w:type="dxa" w:w="4600"/>
            <w:shd w:fill="F2F2F2" w:color="auto" w:val="clear"/>
          </w:tcPr>
          <w:p>
            <w:pPr>
              <w:jc w:val="left"/>
            </w:pPr>
            <w:r>
              <w:rPr>
                <w:b w:val="false"/>
                <w:bCs w:val="false"/>
                <w:sz w:val="19"/>
                <w:szCs w:val="19"/>
              </w:rPr>
              <w:t xml:space="preserve">실제 피싱 30건 중 피싱으로 올바르게 탐지한 비율</w:t>
            </w:r>
          </w:p>
        </w:tc>
      </w:tr>
      <w:tr>
        <w:tc>
          <w:tcPr>
            <w:tcW w:type="dxa" w:w="1800"/>
          </w:tcPr>
          <w:p>
            <w:pPr>
              <w:jc w:val="left"/>
            </w:pPr>
            <w:r>
              <w:rPr>
                <w:b w:val="false"/>
                <w:bCs w:val="false"/>
                <w:sz w:val="19"/>
                <w:szCs w:val="19"/>
              </w:rPr>
              <w:t xml:space="preserve">정상 분류율 (Specificity)</w:t>
            </w:r>
          </w:p>
        </w:tc>
        <w:tc>
          <w:tcPr>
            <w:tcW w:type="dxa" w:w="2600"/>
          </w:tcPr>
          <w:p>
            <w:pPr>
              <w:jc w:val="left"/>
            </w:pPr>
            <w:r>
              <w:rPr>
                <w:b w:val="false"/>
                <w:bCs w:val="false"/>
                <w:sz w:val="19"/>
                <w:szCs w:val="19"/>
              </w:rPr>
              <w:t xml:space="preserve">TN / (TN+FP)</w:t>
            </w:r>
          </w:p>
        </w:tc>
        <w:tc>
          <w:tcPr>
            <w:tcW w:type="dxa" w:w="4600"/>
          </w:tcPr>
          <w:p>
            <w:pPr>
              <w:jc w:val="left"/>
            </w:pPr>
            <w:r>
              <w:rPr>
                <w:b w:val="false"/>
                <w:bCs w:val="false"/>
                <w:sz w:val="19"/>
                <w:szCs w:val="19"/>
              </w:rPr>
              <w:t xml:space="preserve">실제 정상 10건 중 정상으로 올바르게 분류한 비율</w:t>
            </w:r>
          </w:p>
        </w:tc>
      </w:tr>
      <w:tr>
        <w:tc>
          <w:tcPr>
            <w:tcW w:type="dxa" w:w="1800"/>
            <w:shd w:fill="F2F2F2" w:color="auto" w:val="clear"/>
          </w:tcPr>
          <w:p>
            <w:pPr>
              <w:jc w:val="left"/>
            </w:pPr>
            <w:r>
              <w:rPr>
                <w:b w:val="false"/>
                <w:bCs w:val="false"/>
                <w:sz w:val="19"/>
                <w:szCs w:val="19"/>
              </w:rPr>
              <w:t xml:space="preserve">FPR (오탐률)</w:t>
            </w:r>
          </w:p>
        </w:tc>
        <w:tc>
          <w:tcPr>
            <w:tcW w:type="dxa" w:w="2600"/>
            <w:shd w:fill="F2F2F2" w:color="auto" w:val="clear"/>
          </w:tcPr>
          <w:p>
            <w:pPr>
              <w:jc w:val="left"/>
            </w:pPr>
            <w:r>
              <w:rPr>
                <w:b w:val="false"/>
                <w:bCs w:val="false"/>
                <w:sz w:val="19"/>
                <w:szCs w:val="19"/>
              </w:rPr>
              <w:t xml:space="preserve">FP / (FP+TN)</w:t>
            </w:r>
          </w:p>
        </w:tc>
        <w:tc>
          <w:tcPr>
            <w:tcW w:type="dxa" w:w="4600"/>
            <w:shd w:fill="F2F2F2" w:color="auto" w:val="clear"/>
          </w:tcPr>
          <w:p>
            <w:pPr>
              <w:jc w:val="left"/>
            </w:pPr>
            <w:r>
              <w:rPr>
                <w:b w:val="false"/>
                <w:bCs w:val="false"/>
                <w:sz w:val="19"/>
                <w:szCs w:val="19"/>
              </w:rPr>
              <w:t xml:space="preserve">정상 메일을 피싱으로 잘못 판정한 비율</w:t>
            </w:r>
          </w:p>
        </w:tc>
      </w:tr>
      <w:tr>
        <w:tc>
          <w:tcPr>
            <w:tcW w:type="dxa" w:w="1800"/>
          </w:tcPr>
          <w:p>
            <w:pPr>
              <w:jc w:val="left"/>
            </w:pPr>
            <w:r>
              <w:rPr>
                <w:b w:val="false"/>
                <w:bCs w:val="false"/>
                <w:sz w:val="19"/>
                <w:szCs w:val="19"/>
              </w:rPr>
              <w:t xml:space="preserve">FNR (미탐률)</w:t>
            </w:r>
          </w:p>
        </w:tc>
        <w:tc>
          <w:tcPr>
            <w:tcW w:type="dxa" w:w="2600"/>
          </w:tcPr>
          <w:p>
            <w:pPr>
              <w:jc w:val="left"/>
            </w:pPr>
            <w:r>
              <w:rPr>
                <w:b w:val="false"/>
                <w:bCs w:val="false"/>
                <w:sz w:val="19"/>
                <w:szCs w:val="19"/>
              </w:rPr>
              <w:t xml:space="preserve">FN / (FN+TP)</w:t>
            </w:r>
          </w:p>
        </w:tc>
        <w:tc>
          <w:tcPr>
            <w:tcW w:type="dxa" w:w="4600"/>
          </w:tcPr>
          <w:p>
            <w:pPr>
              <w:jc w:val="left"/>
            </w:pPr>
            <w:r>
              <w:rPr>
                <w:b w:val="false"/>
                <w:bCs w:val="false"/>
                <w:sz w:val="19"/>
                <w:szCs w:val="19"/>
              </w:rPr>
              <w:t xml:space="preserve">피싱 메일을 정상으로 잘못 판정한 비율</w:t>
            </w:r>
          </w:p>
        </w:tc>
      </w:tr>
    </w:tbl>
    <w:p>
      <w:pPr>
        <w:pStyle w:val="Heading1"/>
        <w:pBdr>
          <w:bottom w:val="single" w:color="1F4E79" w:sz="6"/>
        </w:pBdr>
        <w:spacing w:after="140" w:before="320"/>
      </w:pPr>
      <w:r>
        <w:t xml:space="preserve">결과</w:t>
      </w:r>
    </w:p>
    <w:p>
      <w:pPr>
        <w:spacing w:after="100" w:before="200"/>
      </w:pPr>
      <w:r>
        <w:rPr>
          <w:b/>
          <w:bCs/>
          <w:color w:val="1F4E79"/>
          <w:sz w:val="22"/>
          <w:szCs w:val="22"/>
        </w:rPr>
        <w:t xml:space="preserve">혼동행렬</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9" w:color="auto" w:val="clear"/>
          </w:tcPr>
          <w:p>
            <w:pPr>
              <w:jc w:val="center"/>
            </w:pPr>
            <w:r>
              <w:rPr>
                <w:b/>
                <w:bCs/>
                <w:color w:val="FFFFFF"/>
                <w:sz w:val="19"/>
                <w:szCs w:val="19"/>
              </w:rPr>
              <w:t xml:space="preserve">구분</w:t>
            </w:r>
          </w:p>
        </w:tc>
        <w:tc>
          <w:tcPr>
            <w:tcW w:type="dxa" w:w="3000"/>
            <w:shd w:fill="1F4E79" w:color="auto" w:val="clear"/>
          </w:tcPr>
          <w:p>
            <w:pPr>
              <w:jc w:val="center"/>
            </w:pPr>
            <w:r>
              <w:rPr>
                <w:b/>
                <w:bCs/>
                <w:color w:val="FFFFFF"/>
                <w:sz w:val="19"/>
                <w:szCs w:val="19"/>
              </w:rPr>
              <w:t xml:space="preserve">실제 피싱 (30건)</w:t>
            </w:r>
          </w:p>
        </w:tc>
        <w:tc>
          <w:tcPr>
            <w:tcW w:type="dxa" w:w="3000"/>
            <w:shd w:fill="1F4E79" w:color="auto" w:val="clear"/>
          </w:tcPr>
          <w:p>
            <w:pPr>
              <w:jc w:val="center"/>
            </w:pPr>
            <w:r>
              <w:rPr>
                <w:b/>
                <w:bCs/>
                <w:color w:val="FFFFFF"/>
                <w:sz w:val="19"/>
                <w:szCs w:val="19"/>
              </w:rPr>
              <w:t xml:space="preserve">실제 정상 (10건)</w:t>
            </w:r>
          </w:p>
        </w:tc>
      </w:tr>
      <w:tr>
        <w:tc>
          <w:tcPr>
            <w:tcW w:type="dxa" w:w="3000"/>
          </w:tcPr>
          <w:p>
            <w:pPr>
              <w:jc w:val="left"/>
            </w:pPr>
            <w:r>
              <w:rPr>
                <w:b/>
                <w:bCs/>
                <w:sz w:val="19"/>
                <w:szCs w:val="19"/>
              </w:rPr>
              <w:t xml:space="preserve">AI 판정: 피싱</w:t>
            </w:r>
          </w:p>
        </w:tc>
        <w:tc>
          <w:tcPr>
            <w:tcW w:type="dxa" w:w="3000"/>
          </w:tcPr>
          <w:p>
            <w:pPr>
              <w:jc w:val="center"/>
            </w:pPr>
            <w:r>
              <w:rPr>
                <w:b w:val="false"/>
                <w:bCs w:val="false"/>
                <w:sz w:val="19"/>
                <w:szCs w:val="19"/>
              </w:rPr>
              <w:t xml:space="preserve">30건 (TP)</w:t>
            </w:r>
          </w:p>
        </w:tc>
        <w:tc>
          <w:tcPr>
            <w:tcW w:type="dxa" w:w="3000"/>
          </w:tcPr>
          <w:p>
            <w:pPr>
              <w:jc w:val="center"/>
            </w:pPr>
            <w:r>
              <w:rPr>
                <w:b w:val="false"/>
                <w:bCs w:val="false"/>
                <w:sz w:val="19"/>
                <w:szCs w:val="19"/>
              </w:rPr>
              <w:t xml:space="preserve">0건 (FP)</w:t>
            </w:r>
          </w:p>
        </w:tc>
      </w:tr>
      <w:tr>
        <w:tc>
          <w:tcPr>
            <w:tcW w:type="dxa" w:w="3000"/>
          </w:tcPr>
          <w:p>
            <w:pPr>
              <w:jc w:val="left"/>
            </w:pPr>
            <w:r>
              <w:rPr>
                <w:b/>
                <w:bCs/>
                <w:sz w:val="19"/>
                <w:szCs w:val="19"/>
              </w:rPr>
              <w:t xml:space="preserve">AI 판정: 정상</w:t>
            </w:r>
          </w:p>
        </w:tc>
        <w:tc>
          <w:tcPr>
            <w:tcW w:type="dxa" w:w="3000"/>
          </w:tcPr>
          <w:p>
            <w:pPr>
              <w:jc w:val="center"/>
            </w:pPr>
            <w:r>
              <w:rPr>
                <w:b w:val="false"/>
                <w:bCs w:val="false"/>
                <w:sz w:val="19"/>
                <w:szCs w:val="19"/>
              </w:rPr>
              <w:t xml:space="preserve">0건 (FN)</w:t>
            </w:r>
          </w:p>
        </w:tc>
        <w:tc>
          <w:tcPr>
            <w:tcW w:type="dxa" w:w="3000"/>
          </w:tcPr>
          <w:p>
            <w:pPr>
              <w:jc w:val="center"/>
            </w:pPr>
            <w:r>
              <w:rPr>
                <w:b w:val="false"/>
                <w:bCs w:val="false"/>
                <w:sz w:val="19"/>
                <w:szCs w:val="19"/>
              </w:rPr>
              <w:t xml:space="preserve">10건 (TN)</w:t>
            </w:r>
          </w:p>
        </w:tc>
      </w:tr>
    </w:tbl>
    <w:p>
      <w:pPr>
        <w:spacing w:after="160"/>
      </w:pPr>
    </w:p>
    <w:p>
      <w:pPr>
        <w:spacing w:after="100" w:before="200"/>
      </w:pPr>
      <w:r>
        <w:rPr>
          <w:b/>
          <w:bCs/>
          <w:color w:val="1F4E79"/>
          <w:sz w:val="22"/>
          <w:szCs w:val="22"/>
        </w:rPr>
        <w:t xml:space="preserve">종합 지표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1F4E79" w:color="auto" w:val="clear"/>
          </w:tcPr>
          <w:p>
            <w:pPr>
              <w:jc w:val="center"/>
            </w:pPr>
            <w:r>
              <w:rPr>
                <w:b/>
                <w:bCs/>
                <w:color w:val="FFFFFF"/>
                <w:sz w:val="19"/>
                <w:szCs w:val="19"/>
              </w:rPr>
              <w:t xml:space="preserve">정확도</w:t>
            </w:r>
          </w:p>
        </w:tc>
        <w:tc>
          <w:tcPr>
            <w:tcW w:type="dxa" w:w="1800"/>
            <w:shd w:fill="1F4E79" w:color="auto" w:val="clear"/>
          </w:tcPr>
          <w:p>
            <w:pPr>
              <w:jc w:val="center"/>
            </w:pPr>
            <w:r>
              <w:rPr>
                <w:b/>
                <w:bCs/>
                <w:color w:val="FFFFFF"/>
                <w:sz w:val="19"/>
                <w:szCs w:val="19"/>
              </w:rPr>
              <w:t xml:space="preserve">탐지율</w:t>
            </w:r>
          </w:p>
        </w:tc>
        <w:tc>
          <w:tcPr>
            <w:tcW w:type="dxa" w:w="1800"/>
            <w:shd w:fill="1F4E79" w:color="auto" w:val="clear"/>
          </w:tcPr>
          <w:p>
            <w:pPr>
              <w:jc w:val="center"/>
            </w:pPr>
            <w:r>
              <w:rPr>
                <w:b/>
                <w:bCs/>
                <w:color w:val="FFFFFF"/>
                <w:sz w:val="19"/>
                <w:szCs w:val="19"/>
              </w:rPr>
              <w:t xml:space="preserve">정상분류율</w:t>
            </w:r>
          </w:p>
        </w:tc>
        <w:tc>
          <w:tcPr>
            <w:tcW w:type="dxa" w:w="1800"/>
            <w:shd w:fill="1F4E79" w:color="auto" w:val="clear"/>
          </w:tcPr>
          <w:p>
            <w:pPr>
              <w:jc w:val="center"/>
            </w:pPr>
            <w:r>
              <w:rPr>
                <w:b/>
                <w:bCs/>
                <w:color w:val="FFFFFF"/>
                <w:sz w:val="19"/>
                <w:szCs w:val="19"/>
              </w:rPr>
              <w:t xml:space="preserve">FPR</w:t>
            </w:r>
          </w:p>
        </w:tc>
        <w:tc>
          <w:tcPr>
            <w:tcW w:type="dxa" w:w="1800"/>
            <w:shd w:fill="1F4E79" w:color="auto" w:val="clear"/>
          </w:tcPr>
          <w:p>
            <w:pPr>
              <w:jc w:val="center"/>
            </w:pPr>
            <w:r>
              <w:rPr>
                <w:b/>
                <w:bCs/>
                <w:color w:val="FFFFFF"/>
                <w:sz w:val="19"/>
                <w:szCs w:val="19"/>
              </w:rPr>
              <w:t xml:space="preserve">FNR</w:t>
            </w:r>
          </w:p>
        </w:tc>
      </w:tr>
      <w:tr>
        <w:tc>
          <w:tcPr>
            <w:tcW w:type="dxa" w:w="1800"/>
          </w:tcPr>
          <w:p>
            <w:pPr>
              <w:jc w:val="center"/>
            </w:pPr>
            <w:r>
              <w:rPr>
                <w:b w:val="false"/>
                <w:bCs w:val="false"/>
                <w:sz w:val="19"/>
                <w:szCs w:val="19"/>
              </w:rPr>
              <w:t xml:space="preserve">100%</w:t>
            </w:r>
          </w:p>
        </w:tc>
        <w:tc>
          <w:tcPr>
            <w:tcW w:type="dxa" w:w="1800"/>
          </w:tcPr>
          <w:p>
            <w:pPr>
              <w:jc w:val="center"/>
            </w:pPr>
            <w:r>
              <w:rPr>
                <w:b w:val="false"/>
                <w:bCs w:val="false"/>
                <w:sz w:val="19"/>
                <w:szCs w:val="19"/>
              </w:rPr>
              <w:t xml:space="preserve">100%</w:t>
            </w:r>
          </w:p>
        </w:tc>
        <w:tc>
          <w:tcPr>
            <w:tcW w:type="dxa" w:w="1800"/>
          </w:tcPr>
          <w:p>
            <w:pPr>
              <w:jc w:val="center"/>
            </w:pPr>
            <w:r>
              <w:rPr>
                <w:b w:val="false"/>
                <w:bCs w:val="false"/>
                <w:sz w:val="19"/>
                <w:szCs w:val="19"/>
              </w:rPr>
              <w:t xml:space="preserve">100%</w:t>
            </w:r>
          </w:p>
        </w:tc>
        <w:tc>
          <w:tcPr>
            <w:tcW w:type="dxa" w:w="1800"/>
          </w:tcPr>
          <w:p>
            <w:pPr>
              <w:jc w:val="center"/>
            </w:pPr>
            <w:r>
              <w:rPr>
                <w:b w:val="false"/>
                <w:bCs w:val="false"/>
                <w:sz w:val="19"/>
                <w:szCs w:val="19"/>
              </w:rPr>
              <w:t xml:space="preserve">0%</w:t>
            </w:r>
          </w:p>
        </w:tc>
        <w:tc>
          <w:tcPr>
            <w:tcW w:type="dxa" w:w="1800"/>
          </w:tcPr>
          <w:p>
            <w:pPr>
              <w:jc w:val="center"/>
            </w:pPr>
            <w:r>
              <w:rPr>
                <w:b w:val="false"/>
                <w:bCs w:val="false"/>
                <w:sz w:val="19"/>
                <w:szCs w:val="19"/>
              </w:rPr>
              <w:t xml:space="preserve">0%</w:t>
            </w:r>
          </w:p>
        </w:tc>
      </w:tr>
    </w:tbl>
    <w:p>
      <w:pPr>
        <w:spacing w:after="160"/>
      </w:pPr>
    </w:p>
    <w:p>
      <w:pPr>
        <w:spacing w:after="160" w:line="320"/>
        <w:jc w:val="both"/>
      </w:pPr>
      <w:r>
        <w:rPr>
          <w:sz w:val="21"/>
          <w:szCs w:val="21"/>
        </w:rPr>
        <w:t xml:space="preserve">Claude는 피싱 이메일 30건을 모두 피싱으로, 정상 이메일 10건을 모두 정상으로 판정했다. 이 실험 조건에서 정확도, 탐지율, 정상분류율은 모두 100%를 기록했으며, FPR과 FNR은 모두 0%였다.</w:t>
      </w:r>
    </w:p>
    <w:p>
      <w:pPr>
        <w:pStyle w:val="Heading1"/>
        <w:pBdr>
          <w:bottom w:val="single" w:color="1F4E79" w:sz="6"/>
        </w:pBdr>
        <w:spacing w:after="140" w:before="320"/>
      </w:pPr>
      <w:r>
        <w:t xml:space="preserve">피싱 유형별 분석</w:t>
      </w:r>
    </w:p>
    <w:p>
      <w:pPr>
        <w:spacing w:after="160" w:line="320"/>
        <w:jc w:val="both"/>
      </w:pPr>
      <w:r>
        <w:rPr>
          <w:sz w:val="21"/>
          <w:szCs w:val="21"/>
        </w:rPr>
        <w:t xml:space="preserve">긴급성 강조형, 정보/계정 요구형, 링크 접속 유도형 각 유형별로 탐지 성능을 분리해 확인한 결과는 다음과 같다.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200"/>
      </w:tblGrid>
      <w:tr>
        <w:trPr>
          <w:tblHeader/>
        </w:trPr>
        <w:tc>
          <w:tcPr>
            <w:tcW w:type="dxa" w:w="2600"/>
            <w:shd w:fill="1F4E79" w:color="auto" w:val="clear"/>
          </w:tcPr>
          <w:p>
            <w:pPr>
              <w:jc w:val="center"/>
            </w:pPr>
            <w:r>
              <w:rPr>
                <w:b/>
                <w:bCs/>
                <w:color w:val="FFFFFF"/>
                <w:sz w:val="19"/>
                <w:szCs w:val="19"/>
              </w:rPr>
              <w:t xml:space="preserve">피싱 유형</w:t>
            </w:r>
          </w:p>
        </w:tc>
        <w:tc>
          <w:tcPr>
            <w:tcW w:type="dxa" w:w="1600"/>
            <w:shd w:fill="1F4E79" w:color="auto" w:val="clear"/>
          </w:tcPr>
          <w:p>
            <w:pPr>
              <w:jc w:val="center"/>
            </w:pPr>
            <w:r>
              <w:rPr>
                <w:b/>
                <w:bCs/>
                <w:color w:val="FFFFFF"/>
                <w:sz w:val="19"/>
                <w:szCs w:val="19"/>
              </w:rPr>
              <w:t xml:space="preserve">건수</w:t>
            </w:r>
          </w:p>
        </w:tc>
        <w:tc>
          <w:tcPr>
            <w:tcW w:type="dxa" w:w="1600"/>
            <w:shd w:fill="1F4E79" w:color="auto" w:val="clear"/>
          </w:tcPr>
          <w:p>
            <w:pPr>
              <w:jc w:val="center"/>
            </w:pPr>
            <w:r>
              <w:rPr>
                <w:b/>
                <w:bCs/>
                <w:color w:val="FFFFFF"/>
                <w:sz w:val="19"/>
                <w:szCs w:val="19"/>
              </w:rPr>
              <w:t xml:space="preserve">탐지율</w:t>
            </w:r>
          </w:p>
        </w:tc>
        <w:tc>
          <w:tcPr>
            <w:tcW w:type="dxa" w:w="3200"/>
            <w:shd w:fill="1F4E79" w:color="auto" w:val="clear"/>
          </w:tcPr>
          <w:p>
            <w:pPr>
              <w:jc w:val="center"/>
            </w:pPr>
            <w:r>
              <w:rPr>
                <w:b/>
                <w:bCs/>
                <w:color w:val="FFFFFF"/>
                <w:sz w:val="19"/>
                <w:szCs w:val="19"/>
              </w:rPr>
              <w:t xml:space="preserve">주요 특징</w:t>
            </w:r>
          </w:p>
        </w:tc>
      </w:tr>
      <w:tr>
        <w:tc>
          <w:tcPr>
            <w:tcW w:type="dxa" w:w="2600"/>
          </w:tcPr>
          <w:p>
            <w:pPr>
              <w:jc w:val="left"/>
            </w:pPr>
            <w:r>
              <w:rPr>
                <w:b w:val="false"/>
                <w:bCs w:val="false"/>
                <w:sz w:val="19"/>
                <w:szCs w:val="19"/>
              </w:rPr>
              <w:t xml:space="preserve">긴급성 강조형</w:t>
            </w:r>
          </w:p>
        </w:tc>
        <w:tc>
          <w:tcPr>
            <w:tcW w:type="dxa" w:w="1600"/>
          </w:tcPr>
          <w:p>
            <w:pPr>
              <w:jc w:val="center"/>
            </w:pPr>
            <w:r>
              <w:rPr>
                <w:b w:val="false"/>
                <w:bCs w:val="false"/>
                <w:sz w:val="19"/>
                <w:szCs w:val="19"/>
              </w:rPr>
              <w:t xml:space="preserve">10건</w:t>
            </w:r>
          </w:p>
        </w:tc>
        <w:tc>
          <w:tcPr>
            <w:tcW w:type="dxa" w:w="1600"/>
          </w:tcPr>
          <w:p>
            <w:pPr>
              <w:jc w:val="center"/>
            </w:pPr>
            <w:r>
              <w:rPr>
                <w:b w:val="false"/>
                <w:bCs w:val="false"/>
                <w:sz w:val="19"/>
                <w:szCs w:val="19"/>
              </w:rPr>
              <w:t xml:space="preserve">100%</w:t>
            </w:r>
          </w:p>
        </w:tc>
        <w:tc>
          <w:tcPr>
            <w:tcW w:type="dxa" w:w="3200"/>
            <w:shd w:fill="F2F2F2" w:color="auto" w:val="clear"/>
          </w:tcPr>
          <w:p>
            <w:pPr>
              <w:jc w:val="left"/>
            </w:pPr>
            <w:r>
              <w:rPr>
                <w:b w:val="false"/>
                <w:bCs w:val="false"/>
                <w:sz w:val="19"/>
                <w:szCs w:val="19"/>
              </w:rPr>
              <w:t xml:space="preserve">계정 정지, 긴급 조치 등 시간 압박을 주는 표현 사용</w:t>
            </w:r>
          </w:p>
        </w:tc>
      </w:tr>
      <w:tr>
        <w:tc>
          <w:tcPr>
            <w:tcW w:type="dxa" w:w="2600"/>
            <w:shd w:fill="F2F2F2" w:color="auto" w:val="clear"/>
          </w:tcPr>
          <w:p>
            <w:pPr>
              <w:jc w:val="left"/>
            </w:pPr>
            <w:r>
              <w:rPr>
                <w:b w:val="false"/>
                <w:bCs w:val="false"/>
                <w:sz w:val="19"/>
                <w:szCs w:val="19"/>
              </w:rPr>
              <w:t xml:space="preserve">정보/계정 요구형</w:t>
            </w:r>
          </w:p>
        </w:tc>
        <w:tc>
          <w:tcPr>
            <w:tcW w:type="dxa" w:w="1600"/>
            <w:shd w:fill="F2F2F2" w:color="auto" w:val="clear"/>
          </w:tcPr>
          <w:p>
            <w:pPr>
              <w:jc w:val="center"/>
            </w:pPr>
            <w:r>
              <w:rPr>
                <w:b w:val="false"/>
                <w:bCs w:val="false"/>
                <w:sz w:val="19"/>
                <w:szCs w:val="19"/>
              </w:rPr>
              <w:t xml:space="preserve">10건</w:t>
            </w:r>
          </w:p>
        </w:tc>
        <w:tc>
          <w:tcPr>
            <w:tcW w:type="dxa" w:w="1600"/>
            <w:shd w:fill="F2F2F2" w:color="auto" w:val="clear"/>
          </w:tcPr>
          <w:p>
            <w:pPr>
              <w:jc w:val="center"/>
            </w:pPr>
            <w:r>
              <w:rPr>
                <w:b w:val="false"/>
                <w:bCs w:val="false"/>
                <w:sz w:val="19"/>
                <w:szCs w:val="19"/>
              </w:rPr>
              <w:t xml:space="preserve">100%</w:t>
            </w:r>
          </w:p>
        </w:tc>
        <w:tc>
          <w:tcPr>
            <w:tcW w:type="dxa" w:w="3200"/>
            <w:shd w:fill="F2F2F2" w:color="auto" w:val="clear"/>
          </w:tcPr>
          <w:p>
            <w:pPr>
              <w:jc w:val="left"/>
            </w:pPr>
            <w:r>
              <w:rPr>
                <w:b w:val="false"/>
                <w:bCs w:val="false"/>
                <w:sz w:val="19"/>
                <w:szCs w:val="19"/>
              </w:rPr>
              <w:t xml:space="preserve">로그인 정보, 개인정보, 계정 인증 등을 직접 요구</w:t>
            </w:r>
          </w:p>
        </w:tc>
      </w:tr>
      <w:tr>
        <w:tc>
          <w:tcPr>
            <w:tcW w:type="dxa" w:w="2600"/>
          </w:tcPr>
          <w:p>
            <w:pPr>
              <w:jc w:val="left"/>
            </w:pPr>
            <w:r>
              <w:rPr>
                <w:b w:val="false"/>
                <w:bCs w:val="false"/>
                <w:sz w:val="19"/>
                <w:szCs w:val="19"/>
              </w:rPr>
              <w:t xml:space="preserve">링크 접속 유도형</w:t>
            </w:r>
          </w:p>
        </w:tc>
        <w:tc>
          <w:tcPr>
            <w:tcW w:type="dxa" w:w="1600"/>
          </w:tcPr>
          <w:p>
            <w:pPr>
              <w:jc w:val="center"/>
            </w:pPr>
            <w:r>
              <w:rPr>
                <w:b w:val="false"/>
                <w:bCs w:val="false"/>
                <w:sz w:val="19"/>
                <w:szCs w:val="19"/>
              </w:rPr>
              <w:t xml:space="preserve">10건</w:t>
            </w:r>
          </w:p>
        </w:tc>
        <w:tc>
          <w:tcPr>
            <w:tcW w:type="dxa" w:w="1600"/>
          </w:tcPr>
          <w:p>
            <w:pPr>
              <w:jc w:val="center"/>
            </w:pPr>
            <w:r>
              <w:rPr>
                <w:b w:val="false"/>
                <w:bCs w:val="false"/>
                <w:sz w:val="19"/>
                <w:szCs w:val="19"/>
              </w:rPr>
              <w:t xml:space="preserve">100%</w:t>
            </w:r>
          </w:p>
        </w:tc>
        <w:tc>
          <w:tcPr>
            <w:tcW w:type="dxa" w:w="3200"/>
          </w:tcPr>
          <w:p>
            <w:pPr>
              <w:jc w:val="left"/>
            </w:pPr>
            <w:r>
              <w:rPr>
                <w:b w:val="false"/>
                <w:bCs w:val="false"/>
                <w:sz w:val="19"/>
                <w:szCs w:val="19"/>
              </w:rPr>
              <w:t xml:space="preserve">의심스러운 단축 URL·외부 링크 클릭을 유도</w:t>
            </w:r>
          </w:p>
        </w:tc>
      </w:tr>
    </w:tbl>
    <w:p>
      <w:pPr>
        <w:spacing w:after="140"/>
      </w:pPr>
    </w:p>
    <w:p>
      <w:pPr>
        <w:spacing w:after="160" w:line="320"/>
        <w:jc w:val="both"/>
      </w:pPr>
      <w:r>
        <w:rPr>
          <w:sz w:val="21"/>
          <w:szCs w:val="21"/>
        </w:rPr>
        <w:t xml:space="preserve">세 유형 모두 탐지율 100%로, 이번 실험 조건에서는 유형에 따른 탐지 성능 차이가 나타나지 않았다. 다만 각 유형이 이메일 안에서 비교적 뚜렷한 언어적 신호(시간 압박 표현, 직접적인 정보 요구 문구, 외부 링크)로 구성되어 있었기 때문일 수 있으며, 신호가 더 은밀하게 섞인 실제 피싱 메일에서도 동일한 성능이 유지될지는 별도의 검증이 필요하다.</w:t>
      </w:r>
    </w:p>
    <w:p>
      <w:pPr>
        <w:pStyle w:val="Heading1"/>
        <w:pBdr>
          <w:bottom w:val="single" w:color="1F4E79" w:sz="6"/>
        </w:pBdr>
        <w:spacing w:after="140" w:before="320"/>
      </w:pPr>
      <w:r>
        <w:t xml:space="preserve">정상 메일 분석</w:t>
      </w:r>
    </w:p>
    <w:p>
      <w:pPr>
        <w:spacing w:after="160" w:line="320"/>
        <w:jc w:val="both"/>
      </w:pPr>
      <w:r>
        <w:rPr>
          <w:sz w:val="21"/>
          <w:szCs w:val="21"/>
        </w:rPr>
        <w:t xml:space="preserve">정상 이메일 10건은 업무 일정 공유, 회의 안내, 자료 요청 등 일상적인 업무 상황을 반영해 구성했다. 링크나 첨부 요청이 포함된 경우에도 긴급성을 강조하거나 계정 정보를 직접 요구하는 표현은 포함하지 않았다. Claude는 이 10건을 모두 정상으로 판정했으며, 단순히 링크나 요청 문구가 포함되어 있다는 이유만으로 피싱으로 오판하지 않았다.</w:t>
      </w:r>
    </w:p>
    <w:p>
      <w:pPr>
        <w:pStyle w:val="Heading1"/>
        <w:pBdr>
          <w:bottom w:val="single" w:color="1F4E79" w:sz="6"/>
        </w:pBdr>
        <w:spacing w:after="140" w:before="320"/>
      </w:pPr>
      <w:r>
        <w:t xml:space="preserve">AI 판단 특징</w:t>
      </w:r>
    </w:p>
    <w:p>
      <w:pPr>
        <w:spacing w:after="160" w:line="320"/>
        <w:jc w:val="both"/>
      </w:pPr>
      <w:r>
        <w:rPr>
          <w:sz w:val="21"/>
          <w:szCs w:val="21"/>
        </w:rPr>
        <w:t xml:space="preserve">Claude가 피싱으로 판정한 이메일들은 공통적으로 발신자가 즉각적인 행동을 요구하거나, 계정·비밀번호 등 민감한 정보를 이메일 내에서 바로 입력하도록 유도하거나, 공식 도메인과 다른 형태의 링크를 포함하고 있었다. 반대로 정상으로 판정한 이메일은 구체적인 업무 맥락과 함께, 긴급성을 과도하게 강조하는 표현이 없었다는 공통점이 있었다. 이를 통해 Claude가 단순히 링크나 특정 단어의 유무만으로 판정하는 것이 아니라, 요청의 성격과 문맥을 함께 고려해 판단하는 경향이 있음을 확인할 수 있었다.</w:t>
      </w:r>
    </w:p>
    <w:p>
      <w:pPr>
        <w:pStyle w:val="Heading1"/>
        <w:pBdr>
          <w:bottom w:val="single" w:color="1F4E79" w:sz="6"/>
        </w:pBdr>
        <w:spacing w:after="140" w:before="320"/>
      </w:pPr>
      <w:r>
        <w:t xml:space="preserve">논의</w:t>
      </w:r>
    </w:p>
    <w:p>
      <w:pPr>
        <w:spacing w:after="160" w:line="320"/>
        <w:jc w:val="both"/>
      </w:pPr>
      <w:r>
        <w:rPr>
          <w:sz w:val="21"/>
          <w:szCs w:val="21"/>
        </w:rPr>
        <w:t xml:space="preserve">이번 실험에서 Claude는 연구자가 KISA의 분류 체계를 참고해 구성한 세 가지 피싱 유형을 모두 정확히 구별했다. 이는 생성형 AI가 명시적인 규칙 기반 필터를 거치지 않고도, 문맥과 언어적 신호만으로 피싱 여부를 판단할 수 있는 가능성을 보여준다. 다만 100%라는 결과는 이메일 구성이 비교적 전형적인 패턴을 따랐기 때문일 가능성이 크며, 실제 공격에서 나타나는 더 정교하고 모호한 사례에서도 동일한 성능이 유지되는지는 추가로 검증해야 한다.</w:t>
      </w:r>
    </w:p>
    <w:p>
      <w:pPr>
        <w:pStyle w:val="Heading1"/>
        <w:pBdr>
          <w:bottom w:val="single" w:color="1F4E79" w:sz="6"/>
        </w:pBdr>
        <w:spacing w:after="140" w:before="320"/>
      </w:pPr>
      <w:r>
        <w:t xml:space="preserve">보안 활용 방안</w:t>
      </w:r>
    </w:p>
    <w:p>
      <w:pPr>
        <w:spacing w:after="160" w:line="320"/>
        <w:jc w:val="both"/>
      </w:pPr>
      <w:r>
        <w:rPr>
          <w:sz w:val="21"/>
          <w:szCs w:val="21"/>
        </w:rPr>
        <w:t xml:space="preserve">이 연구 결과를 바탕으로, 생성형 AI를 다음과 같은 방식으로 보안 업무에 보조적으로 활용할 수 있다.</w:t>
      </w:r>
    </w:p>
    <w:p>
      <w:pPr>
        <w:pStyle w:val="ListParagraph"/>
        <w:numPr>
          <w:ilvl w:val="0"/>
          <w:numId w:val="1"/>
        </w:numPr>
        <w:spacing w:after="70"/>
      </w:pPr>
      <w:r>
        <w:t xml:space="preserve">이메일 게이트웨이의 1차 필터링 이후, AI 기반 2차 검토 단계로 활용해 오탐·미탐을 줄이는 보조 수단으로 사용</w:t>
      </w:r>
    </w:p>
    <w:p>
      <w:pPr>
        <w:pStyle w:val="ListParagraph"/>
        <w:numPr>
          <w:ilvl w:val="0"/>
          <w:numId w:val="1"/>
        </w:numPr>
        <w:spacing w:after="70"/>
      </w:pPr>
      <w:r>
        <w:t xml:space="preserve">탐지된 피싱 이메일의 유형(긴급성/정보요구/링크유도)을 자동으로 분류해, 보안 담당자가 대응 우선순위를 정하는 데 활용</w:t>
      </w:r>
    </w:p>
    <w:p>
      <w:pPr>
        <w:pStyle w:val="ListParagraph"/>
        <w:numPr>
          <w:ilvl w:val="0"/>
          <w:numId w:val="1"/>
        </w:numPr>
        <w:spacing w:after="70"/>
      </w:pPr>
      <w:r>
        <w:t xml:space="preserve">신입 직원 대상 보안 인식 교육에서 실제와 유사한 피싱 사례를 AI로 생성·검증해 교육 자료로 활용</w:t>
      </w:r>
    </w:p>
    <w:p>
      <w:pPr>
        <w:pStyle w:val="Heading1"/>
        <w:pBdr>
          <w:bottom w:val="single" w:color="1F4E79" w:sz="6"/>
        </w:pBdr>
        <w:spacing w:after="140" w:before="320"/>
      </w:pPr>
      <w:r>
        <w:t xml:space="preserve">한계</w:t>
      </w:r>
    </w:p>
    <w:p>
      <w:pPr>
        <w:pStyle w:val="ListParagraph"/>
        <w:numPr>
          <w:ilvl w:val="0"/>
          <w:numId w:val="1"/>
        </w:numPr>
        <w:spacing w:after="70"/>
      </w:pPr>
      <w:r>
        <w:t xml:space="preserve">표본 수가 40건으로 제한적이며, 통계적으로 일반화하기에는 규모가 작다.</w:t>
      </w:r>
    </w:p>
    <w:p>
      <w:pPr>
        <w:pStyle w:val="ListParagraph"/>
        <w:numPr>
          <w:ilvl w:val="0"/>
          <w:numId w:val="1"/>
        </w:numPr>
        <w:spacing w:after="70"/>
      </w:pPr>
      <w:r>
        <w:t xml:space="preserve">생성형 AI 모델을 Claude 한 종류만 사용했으며, 다른 모델과의 비교는 이루어지지 않았다.</w:t>
      </w:r>
    </w:p>
    <w:p>
      <w:pPr>
        <w:pStyle w:val="ListParagraph"/>
        <w:numPr>
          <w:ilvl w:val="0"/>
          <w:numId w:val="1"/>
        </w:numPr>
        <w:spacing w:after="70"/>
      </w:pPr>
      <w:r>
        <w:t xml:space="preserve">영어로 작성된 이메일만을 대상으로 했으며, 한국어 등 다른 언어의 피싱 이메일에는 적용되지 않았다.</w:t>
      </w:r>
    </w:p>
    <w:p>
      <w:pPr>
        <w:pStyle w:val="ListParagraph"/>
        <w:numPr>
          <w:ilvl w:val="0"/>
          <w:numId w:val="1"/>
        </w:numPr>
        <w:spacing w:after="70"/>
      </w:pPr>
      <w:r>
        <w:t xml:space="preserve">실제 유통되는 이메일이 아니라 연구자가 직접 구성한 이메일을 사용했기 때문에, 실제 환경의 다양성과 노이즈를 충분히 반영하지 못했을 수 있다.</w:t>
      </w:r>
    </w:p>
    <w:p>
      <w:pPr>
        <w:pStyle w:val="Heading1"/>
        <w:pBdr>
          <w:bottom w:val="single" w:color="1F4E79" w:sz="6"/>
        </w:pBdr>
        <w:spacing w:after="140" w:before="320"/>
      </w:pPr>
      <w:r>
        <w:t xml:space="preserve">결론</w:t>
      </w:r>
    </w:p>
    <w:p>
      <w:pPr>
        <w:spacing w:after="160" w:line="320"/>
        <w:jc w:val="both"/>
      </w:pPr>
      <w:r>
        <w:rPr>
          <w:sz w:val="21"/>
          <w:szCs w:val="21"/>
        </w:rPr>
        <w:t xml:space="preserve">제한된 실험 조건 안에서 Claude는 KISA의 분류 체계를 참고해 구성한 세 가지 피싱 유형 (긴급성 강조, 정보/계정 요구, 링크 접속 유도)의 이메일을 정상 이메일과 명확히 구별했다. 다만 표본 수, 모델 종류, 언어, 실험 환경의 한계로 인해 이 결과를 일반적인 피싱 탐지 성능으로 확대 해석하는 것은 신중해야 한다. 후속 연구에서는 표본을 늘리고, 실제 유통되는 이메일과 다양한 언어·모델을 포함해 검증할 필요가 있다.</w:t>
      </w:r>
    </w:p>
    <w:p>
      <w:pPr>
        <w:pStyle w:val="Heading1"/>
        <w:pBdr>
          <w:bottom w:val="single" w:color="1F4E79" w:sz="6"/>
        </w:pBdr>
        <w:spacing w:after="140" w:before="320"/>
      </w:pPr>
      <w:r>
        <w:t xml:space="preserve">참고문헌</w:t>
      </w:r>
    </w:p>
    <w:p>
      <w:pPr>
        <w:spacing w:after="160" w:line="320"/>
        <w:jc w:val="both"/>
      </w:pPr>
      <w:r>
        <w:rPr>
          <w:sz w:val="21"/>
          <w:szCs w:val="21"/>
        </w:rPr>
        <w:t xml:space="preserve">한국인터넷진흥원(KISA), 「피싱 메일 공격 사례 분석 및 대응 방안」.</w:t>
      </w:r>
    </w:p>
    <w:p>
      <w:pPr>
        <w:spacing w:after="160" w:line="320"/>
        <w:jc w:val="both"/>
      </w:pPr>
      <w:r>
        <w:rPr>
          <w:sz w:val="21"/>
          <w:szCs w:val="21"/>
        </w:rPr>
        <w:t xml:space="preserve">Anthropic, Claude 모델 공식 문서 (https://docs.claude.com).</w:t>
      </w:r>
    </w:p>
    <w:p>
      <w:pPr>
        <w:pStyle w:val="Heading1"/>
        <w:pBdr>
          <w:bottom w:val="single" w:color="1F4E79" w:sz="6"/>
        </w:pBdr>
        <w:spacing w:after="140" w:before="320"/>
      </w:pPr>
      <w:r>
        <w:t xml:space="preserve">부록</w:t>
      </w:r>
    </w:p>
    <w:p>
      <w:pPr>
        <w:spacing w:after="100" w:before="200"/>
      </w:pPr>
      <w:r>
        <w:rPr>
          <w:b/>
          <w:bCs/>
          <w:color w:val="1F4E79"/>
          <w:sz w:val="22"/>
          <w:szCs w:val="22"/>
        </w:rPr>
        <w:t xml:space="preserve">부록 1. 분류 프롬프트 예시(요지)</w:t>
      </w:r>
    </w:p>
    <w:p>
      <w:pPr>
        <w:spacing w:after="160" w:line="320"/>
        <w:jc w:val="both"/>
      </w:pPr>
      <w:r>
        <w:rPr>
          <w:sz w:val="21"/>
          <w:szCs w:val="21"/>
        </w:rPr>
        <w:t xml:space="preserve">"다음 이메일의 제목과 본문을 읽고, 이 이메일이 피싱 이메일인지 정상 이메일인지 판정하라. 판정 결과만 '피싱' 또는 '정상'으로 답하라." 형태의 프롬프트를 모든 이메일에 동일하게 적용했다.</w:t>
      </w:r>
    </w:p>
    <w:p>
      <w:pPr>
        <w:spacing w:after="100" w:before="200"/>
      </w:pPr>
      <w:r>
        <w:rPr>
          <w:b/>
          <w:bCs/>
          <w:color w:val="1F4E79"/>
          <w:sz w:val="22"/>
          <w:szCs w:val="22"/>
        </w:rPr>
        <w:t xml:space="preserve">부록 2. 실험 이메일 예시 1건 (정보/계정 요구형)</w:t>
      </w:r>
    </w:p>
    <w:p>
      <w:pPr>
        <w:spacing w:after="160" w:line="320"/>
        <w:jc w:val="both"/>
      </w:pPr>
      <w:r>
        <w:rPr>
          <w:sz w:val="21"/>
          <w:szCs w:val="21"/>
        </w:rPr>
        <w:t xml:space="preserve">제목: Your account will be suspended — verification required</w:t>
      </w:r>
    </w:p>
    <w:p>
      <w:pPr>
        <w:spacing w:after="160" w:line="320"/>
        <w:jc w:val="both"/>
      </w:pPr>
      <w:r>
        <w:rPr>
          <w:sz w:val="21"/>
          <w:szCs w:val="21"/>
        </w:rPr>
        <w:t xml:space="preserve">본문(요지): 발신자가 계정 보안 점검을 이유로 24시간 이내에 로그인 정보를 회신하지 않으면 계정이 정지된다고 안내하며, 회신용 양식에 아이디와 비밀번호를 직접 입력하도록 요구함.</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2026-09-22T01:50:53.481Z</dcterms:created>
  <dcterms:modified xsi:type="dcterms:W3CDTF">2026-09-22T01:50:53.482Z</dcterms:modified>
</cp:coreProperties>
</file>

<file path=docProps/custom.xml><?xml version="1.0" encoding="utf-8"?>
<Properties xmlns="http://schemas.openxmlformats.org/officeDocument/2006/custom-properties" xmlns:vt="http://schemas.openxmlformats.org/officeDocument/2006/docPropsVTypes"/>
</file>