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C555B3"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C555B3"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C555B3"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C555B3"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C555B3"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C555B3"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C555B3"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C555B3">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bookmarkStart w:id="7" w:name="_GoBack"/>
      <w:bookmarkEnd w:id="7"/>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w:t>
      </w:r>
      <w:r w:rsidR="008F3546" w:rsidRPr="008F3546">
        <w:t>Avoir des images d’un objet sous différentes vues.</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rsidR="008F3546">
        <w:t xml:space="preserve"> absolu</w:t>
      </w:r>
      <w:r>
        <w:t>s des images.</w:t>
      </w:r>
    </w:p>
    <w:p w:rsidR="00394229" w:rsidRDefault="00394229" w:rsidP="00394229">
      <w:r>
        <w:t xml:space="preserve">6. </w:t>
      </w:r>
      <w:r w:rsidR="008F3546" w:rsidRPr="008F3546">
        <w:t>L’application charge les images.</w:t>
      </w:r>
    </w:p>
    <w:p w:rsidR="008F3546" w:rsidRDefault="008F3546"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394229" w:rsidRDefault="00394229" w:rsidP="00394229"/>
    <w:p w:rsidR="00394229" w:rsidRDefault="00394229" w:rsidP="00394229"/>
    <w:p w:rsidR="008F3546" w:rsidRDefault="008F3546"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w:t>
      </w:r>
      <w:r w:rsidR="008F3546">
        <w:t>utilisateur utilise la molet</w:t>
      </w:r>
      <w:r>
        <w:t>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5B3" w:rsidRDefault="00C555B3" w:rsidP="00704C07">
      <w:r>
        <w:separator/>
      </w:r>
    </w:p>
  </w:endnote>
  <w:endnote w:type="continuationSeparator" w:id="0">
    <w:p w:rsidR="00C555B3" w:rsidRDefault="00C555B3"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6B10B8">
      <w:rPr>
        <w:noProof/>
      </w:rPr>
      <w:t>8</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5B3" w:rsidRDefault="00C555B3" w:rsidP="00704C07">
      <w:r>
        <w:separator/>
      </w:r>
    </w:p>
  </w:footnote>
  <w:footnote w:type="continuationSeparator" w:id="0">
    <w:p w:rsidR="00C555B3" w:rsidRDefault="00C555B3"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F1BF9"/>
    <w:rsid w:val="008F3546"/>
    <w:rsid w:val="00903812"/>
    <w:rsid w:val="00935127"/>
    <w:rsid w:val="00996AF0"/>
    <w:rsid w:val="009C1A3C"/>
    <w:rsid w:val="009E2F72"/>
    <w:rsid w:val="00A03227"/>
    <w:rsid w:val="00A55CAC"/>
    <w:rsid w:val="00A7765F"/>
    <w:rsid w:val="00A96AEC"/>
    <w:rsid w:val="00AC1F8A"/>
    <w:rsid w:val="00B960F3"/>
    <w:rsid w:val="00BC2CF2"/>
    <w:rsid w:val="00BD449E"/>
    <w:rsid w:val="00BD7E69"/>
    <w:rsid w:val="00C555B3"/>
    <w:rsid w:val="00C6279A"/>
    <w:rsid w:val="00C866B8"/>
    <w:rsid w:val="00CB6EAA"/>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E8C784-2F55-436E-B318-E443D019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4FA501-0B5A-47DF-B9B5-3F9FDDD5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16</Pages>
  <Words>1465</Words>
  <Characters>8060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31</cp:revision>
  <dcterms:created xsi:type="dcterms:W3CDTF">2013-11-15T12:23:00Z</dcterms:created>
  <dcterms:modified xsi:type="dcterms:W3CDTF">2013-12-04T10:00:00Z</dcterms:modified>
</cp:coreProperties>
</file>