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Georgia" w:cs="Georgia" w:eastAsia="Georgia" w:hAnsi="Georgia"/>
          <w:b/>
          <w:bCs/>
          <w:color w:val="C9A84C"/>
          <w:sz w:val="96"/>
          <w:szCs w:val="96"/>
        </w:rPr>
        <w:t xml:space="preserve">CAPC</w:t>
      </w:r>
    </w:p>
    <w:p>
      <w:pPr>
        <w:spacing w:after="400"/>
        <w:jc w:val="center"/>
      </w:pPr>
      <w:r>
        <w:rPr>
          <w:color w:val="0B1C3D"/>
          <w:sz w:val="26"/>
          <w:szCs w:val="26"/>
        </w:rPr>
        <w:t xml:space="preserve">Charbonnet &amp; Associates Planners and Consultants, Inc.</w:t>
      </w:r>
    </w:p>
    <w:p>
      <w:pPr>
        <w:spacing w:after="120"/>
        <w:jc w:val="center"/>
      </w:pPr>
      <w:r>
        <w:rPr>
          <w:b/>
          <w:bCs/>
          <w:color w:val="0B1C3D"/>
          <w:sz w:val="36"/>
          <w:szCs w:val="36"/>
        </w:rPr>
        <w:t xml:space="preserve">Website — Summary &amp; Technical Documentation</w:t>
      </w:r>
    </w:p>
    <w:p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 xml:space="preserve">Site overview, September 2026 polish pass, and a complete build reference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Prepared: September 5, 2026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Repository: BernardCharbonnetPortfolio</w:t>
      </w:r>
    </w:p>
    <w:p>
      <w:pPr>
        <w:jc w:val="center"/>
      </w:pPr>
      <w:r>
        <w:rPr>
          <w:color w:val="595959"/>
          <w:sz w:val="20"/>
          <w:szCs w:val="20"/>
        </w:rPr>
        <w:t xml:space="preserve">Commit: 77b5a55 — “Polish firm site: responsive nav, alignment, and firm-grade cleanup”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Contents</w:t>
      </w:r>
    </w:p>
    <w:sdt>
      <w:sdtPr>
        <w:alias w:val="Right-click and choose “Update field” to build the table of contents.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 w:line="300"/>
      </w:pPr>
      <w:r>
        <w:t xml:space="preserve">This document describes the public website for Charbonnet &amp; Associates Planners and Consultants, Inc. (CAPC), a New Orleans– and St. Louis–based planning, consulting, and legal-advisory firm. It records what the site contains, the changes made during the September 2026 polish pass, and the full technical reference required to rebuild or maintain it.</w:t>
      </w:r>
    </w:p>
    <w:p>
      <w:pPr>
        <w:spacing w:after="120" w:line="300"/>
      </w:pPr>
      <w:r>
        <w:t xml:space="preserve">The site is a single-page, statically hosted marketing website. It has no server-side component, no build step, and no third-party runtime dependencies beyond a web-font stylesheet. Three source files (HTML, CSS, JavaScript) plus one background video comprise the entire deliverable.</w:t>
      </w:r>
    </w:p>
    <w:p>
      <w:pPr>
        <w:spacing w:after="120" w:line="300"/>
      </w:pPr>
      <w:r>
        <w:rPr>
          <w:b/>
          <w:bCs/>
        </w:rPr>
        <w:t xml:space="preserve">Design language: </w:t>
      </w:r>
      <w:r>
        <w:t xml:space="preserve">navy (#0B1C3D) and gold (#C9A84C) on a warm cream ground — restrained, high-contrast, and appropriate for a government- and institution-facing professional-services firm. Typographic pairing of Playfair Display (display), Source Serif 4 (body), and Barlow (UI/labels). Visual references: Morgan Lewis, Littler, and Seyfarth.</w:t>
      </w:r>
    </w:p>
    <w:p>
      <w:pPr>
        <w:pStyle w:val="Heading1"/>
        <w:spacing w:after="160" w:before="320"/>
      </w:pPr>
      <w:r>
        <w:t xml:space="preserve">2. Site Overview</w:t>
      </w:r>
    </w:p>
    <w:p>
      <w:pPr>
        <w:spacing w:after="120" w:line="300"/>
      </w:pPr>
      <w:r>
        <w:t xml:space="preserve">The site is one continuously scrolling page. The fixed header links to in-page anchors. Sections, in document order: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20"/>
        <w:gridCol w:w="2400"/>
        <w:gridCol w:w="6440"/>
      </w:tblGrid>
      <w:tr>
        <w:trPr>
          <w:tblHeader/>
        </w:trPr>
        <w:tc>
          <w:tcPr>
            <w:tcW w:type="dxa" w:w="52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 (anchor)</w:t>
            </w:r>
          </w:p>
        </w:tc>
        <w:tc>
          <w:tcPr>
            <w:tcW w:type="dxa" w:w="644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 / contents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Header / nav</w:t>
            </w:r>
          </w:p>
        </w:tc>
        <w:tc>
          <w:tcPr>
            <w:tcW w:type="dxa" w:w="6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Fixed top bar: wordmark + 7 anchor links (About, Services, Projects, Our Team, Social Justice, Legal Advisory, Contact Us). Collapses to a toggle menu at ≤1080px.</w:t>
            </w:r>
          </w:p>
        </w:tc>
      </w:tr>
      <w:tr>
        <w:tc>
          <w:tcPr>
            <w:tcW w:type="dxa" w:w="52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Hero (#home)</w:t>
            </w:r>
          </w:p>
        </w:tc>
        <w:tc>
          <w:tcPr>
            <w:tcW w:type="dxa" w:w="644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Full-viewport section with muted looping background video, headline “Planning. Consulting. Building What Matters.”, firm summary, two calls-to-action, and a “By the Numbers” statistics card.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Credentials strip (.trust-bar)</w:t>
            </w:r>
          </w:p>
        </w:tc>
        <w:tc>
          <w:tcPr>
            <w:tcW w:type="dxa" w:w="6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Slim navy band: “At a Glance” — DBE certification, year established, $3B+ construction advised, practice areas.</w:t>
            </w:r>
          </w:p>
        </w:tc>
      </w:tr>
      <w:tr>
        <w:tc>
          <w:tcPr>
            <w:tcW w:type="dxa" w:w="52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Firm Overview (#about)</w:t>
            </w:r>
          </w:p>
        </w:tc>
        <w:tc>
          <w:tcPr>
            <w:tcW w:type="dxa" w:w="644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Two-column: narrative history + mission pull-quote, and a sticky “Select Client Relationships” card grouped into Aviation and Public Agencies &amp; Education.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Services (#services)</w:t>
            </w:r>
          </w:p>
        </w:tc>
        <w:tc>
          <w:tcPr>
            <w:tcW w:type="dxa" w:w="6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Six service cards in a 3-column grid; two are visually emphasized (“Core Practice”). Each card: icon, title, description, capability bullets.</w:t>
            </w:r>
          </w:p>
        </w:tc>
      </w:tr>
      <w:tr>
        <w:tc>
          <w:tcPr>
            <w:tcW w:type="dxa" w:w="52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Projects (#projects)</w:t>
            </w:r>
          </w:p>
        </w:tc>
        <w:tc>
          <w:tcPr>
            <w:tcW w:type="dxa" w:w="644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Two full-width flagship engagement cards (Lambert-St. Louis Airport; LCTCS ACT 360) plus a 3-column grid of 12 selected projects with color-coded category tags and locations.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Our Team (#team)</w:t>
            </w:r>
          </w:p>
        </w:tc>
        <w:tc>
          <w:tcPr>
            <w:tcW w:type="dxa" w:w="6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Five leadership cards: navy header with monogram avatar, biography, and a credential list.</w:t>
            </w:r>
          </w:p>
        </w:tc>
      </w:tr>
      <w:tr>
        <w:tc>
          <w:tcPr>
            <w:tcW w:type="dxa" w:w="52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Social &amp; Environmental Justice (#justice)</w:t>
            </w:r>
          </w:p>
        </w:tc>
        <w:tc>
          <w:tcPr>
            <w:tcW w:type="dxa" w:w="644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Full navy section: three definition cards + the firm’s six-step community-engagement methodology.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Legal Advisory (#legal)</w:t>
            </w:r>
          </w:p>
        </w:tc>
        <w:tc>
          <w:tcPr>
            <w:tcW w:type="dxa" w:w="6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Narrative on the affiliated Law Office of Bernard L. Charbonnet, Jr. + a 10-item “Areas of Legal Practice” chip grid.</w:t>
            </w:r>
          </w:p>
        </w:tc>
      </w:tr>
      <w:tr>
        <w:tc>
          <w:tcPr>
            <w:tcW w:type="dxa" w:w="52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Contact (#contact)</w:t>
            </w:r>
          </w:p>
        </w:tc>
        <w:tc>
          <w:tcPr>
            <w:tcW w:type="dxa" w:w="644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Full navy section: headquarters / branch / key-contact cards + a message form (front-end only).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Footer</w:t>
            </w:r>
          </w:p>
        </w:tc>
        <w:tc>
          <w:tcPr>
            <w:tcW w:type="dxa" w:w="6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Wordmark, secondary nav, auto-updating copyright line.</w:t>
            </w:r>
          </w:p>
        </w:tc>
      </w:tr>
    </w:tbl>
    <w:p>
      <w:pPr>
        <w:pStyle w:val="Heading1"/>
        <w:spacing w:after="160" w:before="320"/>
      </w:pPr>
      <w:r>
        <w:t xml:space="preserve">3. September 2026 Polish Pass — What Changed</w:t>
      </w:r>
    </w:p>
    <w:p>
      <w:pPr>
        <w:spacing w:after="120" w:line="300"/>
      </w:pPr>
      <w:r>
        <w:t xml:space="preserve">The update kept all content and the existing color palette. It focused on responsive behavior, alignment consistency, accessibility, and firm-appropriate presentation.</w:t>
      </w:r>
    </w:p>
    <w:p>
      <w:pPr>
        <w:pStyle w:val="Heading2"/>
        <w:spacing w:after="120" w:before="240"/>
      </w:pPr>
      <w:r>
        <w:t xml:space="preserve">3.1 Navigation &amp; responsiveness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Added a true mobile navigation menu. The &lt;header&gt; now sits at the top of the document; an animated hamburger button toggles a full-width dropdown panel of stacked links with a full-width “Contact Us” button. The menu closes on link tap, on Escape, and when the viewport is resized back above 1080px. Navigation collapses to the toggle at ≤1080px (seven links become cramped before that).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Fixed the fixed-header anchor offset: html { scroll-padding-top } so in-page jumps no longer land underneath the header.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Rebuilt active-section highlighting on IntersectionObserver instead of a per-tick scroll listener.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Unified the content max-width to a single token (--maxw: 1240px) across header, sections, credentials strip, and footer — these had drifted between 1300px and ad-hoc values.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Converted section padding and gutters to fluid clamp() values; consolidated breakpoints to 1080 / 960 / 720 / 520 plus reduced-motion and print.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Removed an inline grid-column: span 3 and inline gradient on a flagship project card that broke the grid at tablet widths; replaced with grid-column: 1 / -1 and an .alt modifier class.</w:t>
      </w:r>
    </w:p>
    <w:p>
      <w:pPr>
        <w:pStyle w:val="Heading2"/>
        <w:spacing w:after="120" w:before="240"/>
      </w:pPr>
      <w:r>
        <w:t xml:space="preserve">3.2 Content &amp; presentation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Replaced the internal-sounding “Active Pursuits / Priority / target contracts” banner with a neutral, client-appropriate “At a Glance” credentials strip. (The two flagship engagements still appear as featured cards in the Projects section.)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Split the client list into “Aviation” and “Public Agencies &amp; Education” groups and replaced inconsistent inline SVG list markers that were breaking alignment with a single clean marker style.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Grammar, tense, and typography corrections (em/en dashes, curly quotes, “advice” vs. “advise”).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Footer copyright year now updates automatically from the browser clock.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Corrected the stylesheet reference capitalization in the HTML (styles.css → Styles.css) so it resolves on case-sensitive hosts.</w:t>
      </w:r>
    </w:p>
    <w:p>
      <w:pPr>
        <w:pStyle w:val="Heading2"/>
        <w:spacing w:after="120" w:before="240"/>
      </w:pPr>
      <w:r>
        <w:t xml:space="preserve">3.3 Accessibility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Skip-to-content link; semantic landmarks (header / main / footer / nav); each section labelled via aria-labelledby.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Toggle button exposes aria-expanded / aria-controls and swaps its aria-label between “Open” and “Close”.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Visible :focus-visible outlines on all interactive elements; minimum 46px touch targets for buttons.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Form fields have real &lt;label for&gt; associations and autocomplete hints; submission status announced via role=status / aria-live=polite.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prefers-reduced-motion: reduce disables animations and hides the background video. A print stylesheet strips the header, video, and form.</w:t>
      </w:r>
    </w:p>
    <w:p>
      <w:pPr>
        <w:pStyle w:val="Heading2"/>
        <w:spacing w:after="120" w:before="240"/>
      </w:pPr>
      <w:r>
        <w:t xml:space="preserve">3.4 Files touched</w:t>
      </w:r>
    </w:p>
    <w:p>
      <w:pPr>
        <w:spacing w:after="120" w:line="300"/>
      </w:pPr>
      <w:r>
        <w:rPr>
          <w:b/>
          <w:bCs/>
        </w:rPr>
        <w:t xml:space="preserve">Index.html</w:t>
      </w:r>
      <w:r>
        <w:t xml:space="preserve"> — 987 lines changed · </w:t>
      </w:r>
      <w:r>
        <w:rPr>
          <w:b/>
          <w:bCs/>
        </w:rPr>
        <w:t xml:space="preserve">Styles.css</w:t>
      </w:r>
      <w:r>
        <w:t xml:space="preserve"> — 1,383 lines changed · </w:t>
      </w:r>
      <w:r>
        <w:rPr>
          <w:b/>
          <w:bCs/>
        </w:rPr>
        <w:t xml:space="preserve">main.js</w:t>
      </w:r>
      <w:r>
        <w:t xml:space="preserve"> — 328 lines changed. Net: 1,206 insertions, 1,492 deletions across the three files (commit 77b5a55).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Technology Stack</w:t>
      </w:r>
    </w:p>
    <w:tbl>
      <w:tblPr>
        <w:tblW w:type="dxa" w:w="94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00"/>
        <w:gridCol w:w="2900"/>
        <w:gridCol w:w="5060"/>
      </w:tblGrid>
      <w:tr>
        <w:trPr>
          <w:tblHeader/>
        </w:trPr>
        <w:tc>
          <w:tcPr>
            <w:tcW w:type="dxa" w:w="15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9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06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Markup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HTML5 (semantic)</w:t>
            </w:r>
          </w:p>
        </w:tc>
        <w:tc>
          <w:tcPr>
            <w:tcW w:type="dxa" w:w="5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Single document, Index.html. Landmark elements, ARIA attributes, Open Graph + description meta, theme-color.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Styling</w:t>
            </w:r>
          </w:p>
        </w:tc>
        <w:tc>
          <w:tcPr>
            <w:tcW w:type="dxa" w:w="29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CSS3 — hand-authored, single file</w:t>
            </w:r>
          </w:p>
        </w:tc>
        <w:tc>
          <w:tcPr>
            <w:tcW w:type="dxa" w:w="50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Custom properties (design tokens), CSS Grid + Flexbox, clamp() fluid type/space, media queries, backdrop-filter, CSS mask for the map-pin icon, keyframe + transition animations. No preprocessor.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Behavior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Vanilla JavaScript (ES5-compatible)</w:t>
            </w:r>
          </w:p>
        </w:tc>
        <w:tc>
          <w:tcPr>
            <w:tcW w:type="dxa" w:w="5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One file, ~150 lines, wrapped in an IIFE with "use strict". No framework, no polyfills, no bundler.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Fonts</w:t>
            </w:r>
          </w:p>
        </w:tc>
        <w:tc>
          <w:tcPr>
            <w:tcW w:type="dxa" w:w="29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Google Fonts (CDN stylesheet)</w:t>
            </w:r>
          </w:p>
        </w:tc>
        <w:tc>
          <w:tcPr>
            <w:tcW w:type="dxa" w:w="50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Playfair Display, Source Serif 4, Barlow. Loaded via &lt;link&gt; with preconnect. Each family has a system fallback.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Icons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Inline SVG</w:t>
            </w:r>
          </w:p>
        </w:tc>
        <w:tc>
          <w:tcPr>
            <w:tcW w:type="dxa" w:w="5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Hand-placed &lt;svg&gt; markup. No icon font or icon library.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29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MP4 video (H.264)</w:t>
            </w:r>
          </w:p>
        </w:tc>
        <w:tc>
          <w:tcPr>
            <w:tcW w:type="dxa" w:w="50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ConstructionVideo.mp4, ~9.0 MB. autoplay + muted + loop + playsinline; preload=metadata.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Build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5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No package.json, no compile/transpile/minify step. Source files are the deployed files.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29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Any static host</w:t>
            </w:r>
          </w:p>
        </w:tc>
        <w:tc>
          <w:tcPr>
            <w:tcW w:type="dxa" w:w="50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GitHub Pages, Netlify, Vercel, S3 + CloudFront, Apache/nginx, etc. No runtime, database, or environment configuration.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Git</w:t>
            </w:r>
          </w:p>
        </w:tc>
        <w:tc>
          <w:tcPr>
            <w:tcW w:type="dxa" w:w="5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Repository “BernardCharbonnetPortfolio”. main branch. Remote: origin/main.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Third-party runtime dependencies: </w:t>
      </w:r>
      <w:r>
        <w:t xml:space="preserve">one — the Google Fonts stylesheet. The site renders fully (with fallback fonts) if that request is blocked.</w:t>
      </w:r>
    </w:p>
    <w:p>
      <w:pPr>
        <w:pStyle w:val="Heading2"/>
        <w:spacing w:after="120" w:before="240"/>
      </w:pPr>
      <w:r>
        <w:t xml:space="preserve">4.1 Browser support</w:t>
      </w:r>
    </w:p>
    <w:p>
      <w:pPr>
        <w:spacing w:after="120" w:line="300"/>
      </w:pPr>
      <w:r>
        <w:t xml:space="preserve">Targets modern evergreen browsers (Chrome, Edge, Firefox, Safari; iOS Safari and Android Chrome). Key feature notes: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backdrop-filter — used with the -webkit- prefix for Safari; degrades to a solid navy bar if unsupported.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IntersectionObserver — ~97% global support; the script reveals all content immediately when it is absent, and a 2.5s failsafe reveals content even if the observer never fires.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CSS mask — used with the -webkit- prefix for the project location pin.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CSS Grid, custom properties, clamp() — required; no IE11 support.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Project Structure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color="auto" w:val="clear"/>
        <w:spacing w:after="140" w:before="40" w:line="276"/>
      </w:pPr>
      <w:r>
        <w:rPr>
          <w:rFonts w:ascii="Consolas" w:cs="Consolas" w:eastAsia="Consolas" w:hAnsi="Consolas"/>
          <w:sz w:val="18"/>
          <w:szCs w:val="18"/>
        </w:rPr>
        <w:t xml:space="preserve">BernardCharbonnetPortfolio/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 Index.html              Entire page markup (all sections)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 Styles.css              All styling; 17 numbered sections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 main.js                 All interactive behavior (IIFE)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 ConstructionVideo.mp4   Hero background video (~9 MB)</w:t>
      </w:r>
      <w:r>
        <w:rPr>
          <w:rFonts w:ascii="Consolas" w:cs="Consolas" w:eastAsia="Consolas" w:hAnsi="Consolas"/>
          <w:sz w:val="18"/>
          <w:szCs w:val="18"/>
        </w:rPr>
        <w:br/>
        <w:t xml:space="preserve">└─ .git/                   Version control</w:t>
      </w:r>
    </w:p>
    <w:p>
      <w:pPr>
        <w:spacing w:after="120" w:line="300"/>
      </w:pPr>
      <w:r>
        <w:rPr>
          <w:b/>
          <w:bCs/>
        </w:rPr>
        <w:t xml:space="preserve">Filename casing matters. </w:t>
      </w:r>
      <w:r>
        <w:t xml:space="preserve">The files are Index.html, Styles.css, main.js, ConstructionVideo.mp4 with those exact capitalizations, and the references inside Index.html match. Case-sensitive hosts (most Linux servers) will 404 on a mismatch.</w:t>
      </w:r>
    </w:p>
    <w:p>
      <w:pPr>
        <w:pStyle w:val="Heading2"/>
        <w:spacing w:after="120" w:before="240"/>
      </w:pPr>
      <w:r>
        <w:t xml:space="preserve">5.1 Styles.css — internal organization</w:t>
      </w:r>
    </w:p>
    <w:tbl>
      <w:tblPr>
        <w:tblW w:type="dxa" w:w="94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00"/>
        <w:gridCol w:w="4180"/>
        <w:gridCol w:w="400"/>
        <w:gridCol w:w="4480"/>
      </w:tblGrid>
      <w:tr>
        <w:trPr>
          <w:tblHeader/>
        </w:trPr>
        <w:tc>
          <w:tcPr>
            <w:tcW w:type="dxa" w:w="4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8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Design tokens (:root)</w:t>
            </w:r>
          </w:p>
        </w:tc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Team (#team)</w:t>
            </w:r>
          </w:p>
        </w:tc>
      </w:tr>
      <w:tr>
        <w:tc>
          <w:tcPr>
            <w:tcW w:type="dxa" w:w="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18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Reset &amp; base</w:t>
            </w:r>
          </w:p>
        </w:tc>
        <w:tc>
          <w:tcPr>
            <w:tcW w:type="dxa" w:w="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48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Social &amp; Environmental Justice (#justice)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Site header / navigation</w:t>
            </w:r>
          </w:p>
        </w:tc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Legal Advisory (#legal)</w:t>
            </w:r>
          </w:p>
        </w:tc>
      </w:tr>
      <w:tr>
        <w:tc>
          <w:tcPr>
            <w:tcW w:type="dxa" w:w="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18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Hero (#home)</w:t>
            </w:r>
          </w:p>
        </w:tc>
        <w:tc>
          <w:tcPr>
            <w:tcW w:type="dxa" w:w="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48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Contact (#contact)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Credentials strip</w:t>
            </w:r>
          </w:p>
        </w:tc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Footer</w:t>
            </w:r>
          </w:p>
        </w:tc>
      </w:tr>
      <w:tr>
        <w:tc>
          <w:tcPr>
            <w:tcW w:type="dxa" w:w="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18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Shared section utilities</w:t>
            </w:r>
          </w:p>
        </w:tc>
        <w:tc>
          <w:tcPr>
            <w:tcW w:type="dxa" w:w="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48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Animations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Firm Overview (#about)</w:t>
            </w:r>
          </w:p>
        </w:tc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Responsive (media queries)</w:t>
            </w:r>
          </w:p>
        </w:tc>
      </w:tr>
      <w:tr>
        <w:tc>
          <w:tcPr>
            <w:tcW w:type="dxa" w:w="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18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Services (#services)</w:t>
            </w:r>
          </w:p>
        </w:tc>
        <w:tc>
          <w:tcPr>
            <w:tcW w:type="dxa" w:w="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448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Reduced motion &amp; print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1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Projects (#projects)</w:t>
            </w:r>
          </w:p>
        </w:tc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6. Design System</w:t>
      </w:r>
    </w:p>
    <w:p>
      <w:pPr>
        <w:pStyle w:val="Heading2"/>
        <w:spacing w:after="120" w:before="240"/>
      </w:pPr>
      <w:r>
        <w:t xml:space="preserve">6.1 Color tokens (:root custom properties)</w:t>
      </w:r>
    </w:p>
    <w:tbl>
      <w:tblPr>
        <w:tblW w:type="dxa" w:w="94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700"/>
        <w:gridCol w:w="1500"/>
        <w:gridCol w:w="6260"/>
      </w:tblGrid>
      <w:tr>
        <w:trPr>
          <w:tblHeader/>
        </w:trPr>
        <w:tc>
          <w:tcPr>
            <w:tcW w:type="dxa" w:w="17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5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26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--navy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#0B1C3D</w:t>
            </w:r>
          </w:p>
        </w:tc>
        <w:tc>
          <w:tcPr>
            <w:tcW w:type="dxa" w:w="6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Primary dark; section backgrounds, header, footer text ground</w:t>
            </w:r>
          </w:p>
        </w:tc>
      </w:tr>
      <w:tr>
        <w:tc>
          <w:tcPr>
            <w:tcW w:type="dxa" w:w="17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--navy-mid</w:t>
            </w:r>
          </w:p>
        </w:tc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#152B5E</w:t>
            </w:r>
          </w:p>
        </w:tc>
        <w:tc>
          <w:tcPr>
            <w:tcW w:type="dxa" w:w="62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Gradient midpoint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--navy-light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#1E3A7A</w:t>
            </w:r>
          </w:p>
        </w:tc>
        <w:tc>
          <w:tcPr>
            <w:tcW w:type="dxa" w:w="6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Hover states, avatar fill, credentials-strip gradient end</w:t>
            </w:r>
          </w:p>
        </w:tc>
      </w:tr>
      <w:tr>
        <w:tc>
          <w:tcPr>
            <w:tcW w:type="dxa" w:w="17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--navy-darker</w:t>
            </w:r>
          </w:p>
        </w:tc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#060F1E</w:t>
            </w:r>
          </w:p>
        </w:tc>
        <w:tc>
          <w:tcPr>
            <w:tcW w:type="dxa" w:w="62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Footer background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--gold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#C9A84C</w:t>
            </w:r>
          </w:p>
        </w:tc>
        <w:tc>
          <w:tcPr>
            <w:tcW w:type="dxa" w:w="6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Primary accent; CTAs, rules, markers, active states</w:t>
            </w:r>
          </w:p>
        </w:tc>
      </w:tr>
      <w:tr>
        <w:tc>
          <w:tcPr>
            <w:tcW w:type="dxa" w:w="17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--gold-light</w:t>
            </w:r>
          </w:p>
        </w:tc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#E2C97A</w:t>
            </w:r>
          </w:p>
        </w:tc>
        <w:tc>
          <w:tcPr>
            <w:tcW w:type="dxa" w:w="62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Accent text on dark backgrounds, hover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--gold-pale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#F5E9C4</w:t>
            </w:r>
          </w:p>
        </w:tc>
        <w:tc>
          <w:tcPr>
            <w:tcW w:type="dxa" w:w="6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Subtle borders / idle client-list marker</w:t>
            </w:r>
          </w:p>
        </w:tc>
      </w:tr>
      <w:tr>
        <w:tc>
          <w:tcPr>
            <w:tcW w:type="dxa" w:w="17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--cream</w:t>
            </w:r>
          </w:p>
        </w:tc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#F9F6EF</w:t>
            </w:r>
          </w:p>
        </w:tc>
        <w:tc>
          <w:tcPr>
            <w:tcW w:type="dxa" w:w="62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Page background (light sections)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--white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#FFFFFF</w:t>
            </w:r>
          </w:p>
        </w:tc>
        <w:tc>
          <w:tcPr>
            <w:tcW w:type="dxa" w:w="6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Cards on cream, body text on navy</w:t>
            </w:r>
          </w:p>
        </w:tc>
      </w:tr>
      <w:tr>
        <w:tc>
          <w:tcPr>
            <w:tcW w:type="dxa" w:w="17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--gray</w:t>
            </w:r>
          </w:p>
        </w:tc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#6B7280</w:t>
            </w:r>
          </w:p>
        </w:tc>
        <w:tc>
          <w:tcPr>
            <w:tcW w:type="dxa" w:w="62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Secondary text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--gray-light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#E5E7EB</w:t>
            </w:r>
          </w:p>
        </w:tc>
        <w:tc>
          <w:tcPr>
            <w:tcW w:type="dxa" w:w="6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Borders, dividers</w:t>
            </w:r>
          </w:p>
        </w:tc>
      </w:tr>
      <w:tr>
        <w:tc>
          <w:tcPr>
            <w:tcW w:type="dxa" w:w="17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--text-dark</w:t>
            </w:r>
          </w:p>
        </w:tc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62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Primary body text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--text-body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#3A3A4A</w:t>
            </w:r>
          </w:p>
        </w:tc>
        <w:tc>
          <w:tcPr>
            <w:tcW w:type="dxa" w:w="6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Long-form paragraph text in light sections</w:t>
            </w:r>
          </w:p>
        </w:tc>
      </w:tr>
    </w:tbl>
    <w:p>
      <w:pPr>
        <w:pStyle w:val="Heading2"/>
        <w:spacing w:after="120" w:before="240"/>
      </w:pPr>
      <w:r>
        <w:t xml:space="preserve">6.2 Layout &amp; spacing tokens</w:t>
      </w:r>
    </w:p>
    <w:tbl>
      <w:tblPr>
        <w:tblW w:type="dxa" w:w="94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00"/>
        <w:gridCol w:w="2600"/>
        <w:gridCol w:w="5360"/>
      </w:tblGrid>
      <w:tr>
        <w:trPr>
          <w:tblHeader/>
        </w:trPr>
        <w:tc>
          <w:tcPr>
            <w:tcW w:type="dxa" w:w="15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6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36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--maxw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1240px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Max content width, all major containers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--radius</w:t>
            </w:r>
          </w:p>
        </w:tc>
        <w:tc>
          <w:tcPr>
            <w:tcW w:type="dxa" w:w="2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8px</w:t>
            </w:r>
          </w:p>
        </w:tc>
        <w:tc>
          <w:tcPr>
            <w:tcW w:type="dxa" w:w="53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Card / panel corner radius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--radius-sm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4px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Inputs, chips, small elements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--header-h</w:t>
            </w:r>
          </w:p>
        </w:tc>
        <w:tc>
          <w:tcPr>
            <w:tcW w:type="dxa" w:w="2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68px (60px at ≤520px)</w:t>
            </w:r>
          </w:p>
        </w:tc>
        <w:tc>
          <w:tcPr>
            <w:tcW w:type="dxa" w:w="53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Fixed header height; drives scroll-padding and mobile-menu offset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--section-y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clamp(64px, 9vw, 108px)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Vertical section padding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--gutter</w:t>
            </w:r>
          </w:p>
        </w:tc>
        <w:tc>
          <w:tcPr>
            <w:tcW w:type="dxa" w:w="2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clamp(1.15rem, 5vw, 2rem)</w:t>
            </w:r>
          </w:p>
        </w:tc>
        <w:tc>
          <w:tcPr>
            <w:tcW w:type="dxa" w:w="53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Horizontal page gutter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--ease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cubic-bezier(0.4, 0, 0.2, 1)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Shared easing curve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--shadow-card</w:t>
            </w:r>
          </w:p>
        </w:tc>
        <w:tc>
          <w:tcPr>
            <w:tcW w:type="dxa" w:w="2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0 4px 24px rgba(11,28,61,.07)</w:t>
            </w:r>
          </w:p>
        </w:tc>
        <w:tc>
          <w:tcPr>
            <w:tcW w:type="dxa" w:w="53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Resting card shadow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--shadow-lift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0 16px 48px rgba(11,28,61,.13)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Hover / raised card shadow</w:t>
            </w:r>
          </w:p>
        </w:tc>
      </w:tr>
    </w:tbl>
    <w:p>
      <w:pPr>
        <w:pStyle w:val="Heading2"/>
        <w:spacing w:after="120" w:before="240"/>
      </w:pPr>
      <w:r>
        <w:t xml:space="preserve">6.3 Typography</w:t>
      </w:r>
    </w:p>
    <w:tbl>
      <w:tblPr>
        <w:tblW w:type="dxa" w:w="94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900"/>
        <w:gridCol w:w="2600"/>
        <w:gridCol w:w="3800"/>
        <w:gridCol w:w="1160"/>
      </w:tblGrid>
      <w:tr>
        <w:trPr>
          <w:tblHeader/>
        </w:trPr>
        <w:tc>
          <w:tcPr>
            <w:tcW w:type="dxa" w:w="19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Family</w:t>
            </w:r>
          </w:p>
        </w:tc>
        <w:tc>
          <w:tcPr>
            <w:tcW w:type="dxa" w:w="26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Weights loaded</w:t>
            </w:r>
          </w:p>
        </w:tc>
        <w:tc>
          <w:tcPr>
            <w:tcW w:type="dxa" w:w="38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116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400, 600, 700, 900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Display headings, wordmark, stat numbers, avatars</w:t>
            </w:r>
          </w:p>
        </w:tc>
        <w:tc>
          <w:tcPr>
            <w:tcW w:type="dxa" w:w="1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serif</w:t>
            </w:r>
          </w:p>
        </w:tc>
      </w:tr>
      <w:tr>
        <w:tc>
          <w:tcPr>
            <w:tcW w:type="dxa" w:w="19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Source Serif 4</w:t>
            </w:r>
          </w:p>
        </w:tc>
        <w:tc>
          <w:tcPr>
            <w:tcW w:type="dxa" w:w="2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300/400/600 + 300/400 italic</w:t>
            </w:r>
          </w:p>
        </w:tc>
        <w:tc>
          <w:tcPr>
            <w:tcW w:type="dxa" w:w="38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Body copy, hero subtitle (italic), pull-quotes</w:t>
            </w:r>
          </w:p>
        </w:tc>
        <w:tc>
          <w:tcPr>
            <w:tcW w:type="dxa" w:w="11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Georgia, serif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Barlow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300, 400, 500, 600, 700</w:t>
            </w:r>
          </w:p>
        </w:tc>
        <w:tc>
          <w:tcPr>
            <w:tcW w:type="dxa" w:w="3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Nav, labels, eyebrows, buttons, card body, form controls</w:t>
            </w:r>
          </w:p>
        </w:tc>
        <w:tc>
          <w:tcPr>
            <w:tcW w:type="dxa" w:w="1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sans-serif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Fluid heading sizes: </w:t>
      </w:r>
      <w:r>
        <w:rPr>
          <w:rFonts w:ascii="Consolas" w:cs="Consolas" w:eastAsia="Consolas" w:hAnsi="Consolas"/>
          <w:sz w:val="18"/>
          <w:szCs w:val="18"/>
        </w:rPr>
        <w:t xml:space="preserve">hero-title clamp(2.3rem, 5.2vw, 4.1rem)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section-title clamp(1.75rem, 3.6vw, 2.7rem)</w:t>
      </w:r>
      <w:r>
        <w:t xml:space="preserve">. Eyebrow labels are uppercase Barlow ~0.72rem with 0.16em letter-spacing and a 28px gold rule via ::before.</w:t>
      </w:r>
    </w:p>
    <w:p>
      <w:pPr>
        <w:pStyle w:val="Heading2"/>
        <w:spacing w:after="120" w:before="240"/>
      </w:pPr>
      <w:r>
        <w:t xml:space="preserve">6.4 Responsive breakpoints</w:t>
      </w:r>
    </w:p>
    <w:tbl>
      <w:tblPr>
        <w:tblW w:type="dxa" w:w="94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00"/>
        <w:gridCol w:w="7960"/>
      </w:tblGrid>
      <w:tr>
        <w:trPr>
          <w:tblHeader/>
        </w:trPr>
        <w:tc>
          <w:tcPr>
            <w:tcW w:type="dxa" w:w="15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Max-width</w:t>
            </w:r>
          </w:p>
        </w:tc>
        <w:tc>
          <w:tcPr>
            <w:tcW w:type="dxa" w:w="796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changes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1080px</w:t>
            </w:r>
          </w:p>
        </w:tc>
        <w:tc>
          <w:tcPr>
            <w:tcW w:type="dxa" w:w="7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Navigation collapses to the hamburger toggle; primary nav becomes a fixed full-width dropdown panel.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960px</w:t>
            </w:r>
          </w:p>
        </w:tc>
        <w:tc>
          <w:tcPr>
            <w:tcW w:type="dxa" w:w="79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Hero drops to one column (stats card below, capped ~460px). Services / Projects / Team grids → 2 columns. About, Legal, Justice, Contact → 1 column. Sticky client card unpins. Flagship project cards stack their two halves.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720px</w:t>
            </w:r>
          </w:p>
        </w:tc>
        <w:tc>
          <w:tcPr>
            <w:tcW w:type="dxa" w:w="7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Services / Projects / Team → 1 column. Legal practice chips → 2 columns. Credentials-strip label wraps above the list. Footer stacks and centers.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520px</w:t>
            </w:r>
          </w:p>
        </w:tc>
        <w:tc>
          <w:tcPr>
            <w:tcW w:type="dxa" w:w="79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--header-h drops to 60px. Hero buttons go full-width and stack. Card padding tightens. Legal chips → 1 column. Wordmark subtitle hidden (shows “CAPC” only).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(feature) prefers-reduced-motion</w:t>
            </w:r>
          </w:p>
        </w:tc>
        <w:tc>
          <w:tcPr>
            <w:tcW w:type="dxa" w:w="79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All animation/transition durations ~0; reveal elements shown immediately; background video hidden.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(feature) print</w:t>
            </w:r>
          </w:p>
        </w:tc>
        <w:tc>
          <w:tcPr>
            <w:tcW w:type="dxa" w:w="79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Header, video, toggle, and contact form removed; colors flattened to black on white; cards avoid page breaks.</w:t>
            </w:r>
          </w:p>
        </w:tc>
      </w:tr>
    </w:tbl>
    <w:p>
      <w:pPr>
        <w:pStyle w:val="Heading2"/>
        <w:spacing w:after="120" w:before="240"/>
      </w:pPr>
      <w:r>
        <w:t xml:space="preserve">6.5 Layout techniques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CSS Grid for every multi-column region (grids named in §6.4). Flexbox for one-dimensional rows (header, stat list, info lines, footer).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Flagship project cards span the full grid with grid-column: 1 / -1.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Team cards use flex-direction: column with margin-top: auto on the credential list so credentials bottom-align regardless of bio length.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The client-relationships card is position: sticky; top: calc(var(--header-h) + 24px) on desktop, static below 960px.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Card hover: translateY(-3 to -4px) + --shadow-lift; service cards also reveal a 4px gold top rule via a scaleX transition on ::before.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Scroll-reveal: JS adds .reveal (opacity 0 / translateY(20px)); .is-visible transitions it in.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JavaScript Behavior (main.js)</w:t>
      </w:r>
    </w:p>
    <w:p>
      <w:pPr>
        <w:spacing w:after="120" w:line="300"/>
      </w:pPr>
      <w:r>
        <w:t xml:space="preserve">A single IIFE in strict mode, run from a &lt;script&gt; at the end of &lt;body&gt;. It reads a prefers-reduced-motion media query once and then wires five features. No feature throws if its target elements are absent.</w:t>
      </w:r>
    </w:p>
    <w:p>
      <w:pPr>
        <w:pStyle w:val="Heading3"/>
        <w:spacing w:after="100" w:before="180"/>
      </w:pPr>
      <w:r>
        <w:t xml:space="preserve">7.1 Mobile navigation toggle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Click on #navToggle adds/removes .nav-open on #siteHeader and flips aria-expanded plus the aria-label text.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CSS animates the three hamburger bars into an X and expands .primary-nav from max-height: 0 to the viewport height.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Menu closes on: any click landing on an &lt;a&gt; inside the nav; Escape keydown; window resize above 1080px.</w:t>
      </w:r>
    </w:p>
    <w:p>
      <w:pPr>
        <w:pStyle w:val="Heading3"/>
        <w:spacing w:after="100" w:before="180"/>
      </w:pPr>
      <w:r>
        <w:t xml:space="preserve">7.2 Active-link scrollspy</w:t>
      </w:r>
    </w:p>
    <w:p>
      <w:pPr>
        <w:spacing w:after="120" w:line="300"/>
      </w:pPr>
      <w:r>
        <w:t xml:space="preserve">An IntersectionObserver watches every </w:t>
      </w:r>
      <w:r>
        <w:rPr>
          <w:rFonts w:ascii="Consolas" w:cs="Consolas" w:eastAsia="Consolas" w:hAnsi="Consolas"/>
          <w:sz w:val="18"/>
          <w:szCs w:val="18"/>
        </w:rPr>
        <w:t xml:space="preserve">main section[id]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</w:rPr>
        <w:t xml:space="preserve">rootMargin: -45% 0px -50% 0px</w:t>
      </w:r>
      <w:r>
        <w:t xml:space="preserve">. When a section crosses the upper band, its matching </w:t>
      </w:r>
      <w:r>
        <w:rPr>
          <w:rFonts w:ascii="Consolas" w:cs="Consolas" w:eastAsia="Consolas" w:hAnsi="Consolas"/>
          <w:sz w:val="18"/>
          <w:szCs w:val="18"/>
        </w:rPr>
        <w:t xml:space="preserve">.nav-links a</w:t>
      </w:r>
      <w:r>
        <w:t xml:space="preserve"> gets </w:t>
      </w:r>
      <w:r>
        <w:rPr>
          <w:rFonts w:ascii="Consolas" w:cs="Consolas" w:eastAsia="Consolas" w:hAnsi="Consolas"/>
          <w:sz w:val="18"/>
          <w:szCs w:val="18"/>
        </w:rPr>
        <w:t xml:space="preserve">.is-active</w:t>
      </w:r>
      <w:r>
        <w:t xml:space="preserve"> (gold). Falls back silently if IntersectionObserver is unavailable.</w:t>
      </w:r>
    </w:p>
    <w:p>
      <w:pPr>
        <w:pStyle w:val="Heading3"/>
        <w:spacing w:after="100" w:before="180"/>
      </w:pPr>
      <w:r>
        <w:t xml:space="preserve">7.3 Contact form handler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On submit: preventDefault, then form.checkValidity(). If invalid, sets the status line and calls reportValidity() (native bubbles).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If valid: the submit button switches to a green “Message Sent” confirmation and is disabled; the status line thanks the user; form.reset() clears fields.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Front-end only — no data is transmitted. See §10 for wiring a backend.</w:t>
      </w:r>
    </w:p>
    <w:p>
      <w:pPr>
        <w:pStyle w:val="Heading3"/>
        <w:spacing w:after="100" w:before="180"/>
      </w:pPr>
      <w:r>
        <w:t xml:space="preserve">7.4 Scroll-reveal animations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Targets: .service-card, .project-item, .project-featured, .team-card, .justice-def-card (28 elements).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With reduced-motion or no IntersectionObserver: all elements get .reveal.is-visible at once.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Otherwise each element is observed (threshold 0.12); on intersect it gets .is-visible and is unobserved.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Failsafe: a 2,500ms setTimeout adds .is-visible to all targets so content can never remain hidden.</w:t>
      </w:r>
    </w:p>
    <w:p>
      <w:pPr>
        <w:pStyle w:val="Heading3"/>
        <w:spacing w:after="100" w:before="180"/>
      </w:pPr>
      <w:r>
        <w:t xml:space="preserve">7.5 Footer year</w:t>
      </w:r>
    </w:p>
    <w:p>
      <w:pPr>
        <w:spacing w:after="120" w:line="300"/>
      </w:pPr>
      <w:r>
        <w:rPr>
          <w:rFonts w:ascii="Consolas" w:cs="Consolas" w:eastAsia="Consolas" w:hAnsi="Consolas"/>
          <w:sz w:val="18"/>
          <w:szCs w:val="18"/>
        </w:rPr>
        <w:t xml:space="preserve">#footerYear</w:t>
      </w:r>
      <w:r>
        <w:t xml:space="preserve"> textContent is set to </w:t>
      </w:r>
      <w:r>
        <w:rPr>
          <w:rFonts w:ascii="Consolas" w:cs="Consolas" w:eastAsia="Consolas" w:hAnsi="Consolas"/>
          <w:sz w:val="18"/>
          <w:szCs w:val="18"/>
        </w:rPr>
        <w:t xml:space="preserve">new Date().getFullYear()</w:t>
      </w:r>
      <w:r>
        <w:t xml:space="preserve">.</w:t>
      </w:r>
    </w:p>
    <w:p>
      <w:pPr>
        <w:pStyle w:val="Heading2"/>
        <w:spacing w:after="120" w:before="240"/>
      </w:pPr>
      <w:r>
        <w:t xml:space="preserve">7.6 Required element IDs / hooks</w:t>
      </w:r>
    </w:p>
    <w:tbl>
      <w:tblPr>
        <w:tblW w:type="dxa" w:w="94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600"/>
        <w:gridCol w:w="5860"/>
      </w:tblGrid>
      <w:tr>
        <w:trPr>
          <w:tblHeader/>
        </w:trPr>
        <w:tc>
          <w:tcPr>
            <w:tcW w:type="dxa" w:w="36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Selector</w:t>
            </w:r>
          </w:p>
        </w:tc>
        <w:tc>
          <w:tcPr>
            <w:tcW w:type="dxa" w:w="586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#siteHeader</w:t>
            </w:r>
          </w:p>
        </w:tc>
        <w:tc>
          <w:tcPr>
            <w:tcW w:type="dxa" w:w="5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Receives .nav-open</w:t>
            </w:r>
          </w:p>
        </w:tc>
      </w:tr>
      <w:tr>
        <w:tc>
          <w:tcPr>
            <w:tcW w:type="dxa" w:w="3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#navToggle</w:t>
            </w:r>
          </w:p>
        </w:tc>
        <w:tc>
          <w:tcPr>
            <w:tcW w:type="dxa" w:w="58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Hamburger button (aria-expanded / aria-controls / aria-label)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#primaryNav</w:t>
            </w:r>
          </w:p>
        </w:tc>
        <w:tc>
          <w:tcPr>
            <w:tcW w:type="dxa" w:w="5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Collapsible nav container</w:t>
            </w:r>
          </w:p>
        </w:tc>
      </w:tr>
      <w:tr>
        <w:tc>
          <w:tcPr>
            <w:tcW w:type="dxa" w:w="3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.nav-links a</w:t>
            </w:r>
          </w:p>
        </w:tc>
        <w:tc>
          <w:tcPr>
            <w:tcW w:type="dxa" w:w="58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Scrollspy active-state targets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main section[id]</w:t>
            </w:r>
          </w:p>
        </w:tc>
        <w:tc>
          <w:tcPr>
            <w:tcW w:type="dxa" w:w="5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Scrollspy observed sections</w:t>
            </w:r>
          </w:p>
        </w:tc>
      </w:tr>
      <w:tr>
        <w:tc>
          <w:tcPr>
            <w:tcW w:type="dxa" w:w="3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.contact-form / button[type=submit] / #formStatus</w:t>
            </w:r>
          </w:p>
        </w:tc>
        <w:tc>
          <w:tcPr>
            <w:tcW w:type="dxa" w:w="58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Form handler + status region</w:t>
            </w:r>
          </w:p>
        </w:tc>
      </w:tr>
      <w:t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.service-card, .project-item, .project-featured, .team-card, .justice-def-card</w:t>
            </w:r>
          </w:p>
        </w:tc>
        <w:tc>
          <w:tcPr>
            <w:tcW w:type="dxa" w:w="5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Reveal-on-scroll targets</w:t>
            </w:r>
          </w:p>
        </w:tc>
      </w:tr>
      <w:tr>
        <w:tc>
          <w:tcPr>
            <w:tcW w:type="dxa" w:w="3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#footerYear</w:t>
            </w:r>
          </w:p>
        </w:tc>
        <w:tc>
          <w:tcPr>
            <w:tcW w:type="dxa" w:w="58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Auto year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8. Local Development</w:t>
      </w:r>
    </w:p>
    <w:p>
      <w:pPr>
        <w:spacing w:after="120" w:line="300"/>
      </w:pPr>
      <w:r>
        <w:t xml:space="preserve">The site must be served over HTTP — opening Index.html via file:// breaks relative asset paths and the web-font request. Any static server works; a zero-install option: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color="auto" w:val="clear"/>
        <w:spacing w:after="140" w:before="40" w:line="276"/>
      </w:pPr>
      <w:r>
        <w:rPr>
          <w:rFonts w:ascii="Consolas" w:cs="Consolas" w:eastAsia="Consolas" w:hAnsi="Consolas"/>
          <w:sz w:val="18"/>
          <w:szCs w:val="18"/>
        </w:rPr>
        <w:t xml:space="preserve">cd BernardCharbonnetPortfolio</w:t>
      </w:r>
      <w:r>
        <w:rPr>
          <w:rFonts w:ascii="Consolas" w:cs="Consolas" w:eastAsia="Consolas" w:hAnsi="Consolas"/>
          <w:sz w:val="18"/>
          <w:szCs w:val="18"/>
        </w:rPr>
        <w:br/>
        <w:t xml:space="preserve">python3 -m http.server 8000</w:t>
      </w:r>
      <w:r>
        <w:rPr>
          <w:rFonts w:ascii="Consolas" w:cs="Consolas" w:eastAsia="Consolas" w:hAnsi="Consolas"/>
          <w:sz w:val="18"/>
          <w:szCs w:val="18"/>
        </w:rPr>
        <w:br/>
        <w:t xml:space="preserve"># open http://localhost:8000/Index.html</w:t>
      </w:r>
    </w:p>
    <w:p>
      <w:pPr>
        <w:spacing w:after="120" w:line="300"/>
      </w:pPr>
      <w:r>
        <w:t xml:space="preserve">Alternatives: 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18"/>
          <w:szCs w:val="18"/>
        </w:rPr>
        <w:t xml:space="preserve">npx serve .   (Node)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18"/>
          <w:szCs w:val="18"/>
        </w:rPr>
        <w:t xml:space="preserve">php -S localhost:8000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sz w:val="18"/>
          <w:szCs w:val="18"/>
        </w:rPr>
        <w:t xml:space="preserve">VS Code “Live Server” extension (adds auto-reload)</w:t>
      </w:r>
    </w:p>
    <w:p>
      <w:pPr>
        <w:spacing w:after="120" w:line="300"/>
      </w:pPr>
      <w:r>
        <w:t xml:space="preserve">There is nothing to compile, install, or watch. Edit a source file and refresh the browser.</w:t>
      </w:r>
    </w:p>
    <w:p>
      <w:pPr>
        <w:pStyle w:val="Heading2"/>
        <w:spacing w:after="120" w:before="240"/>
      </w:pPr>
      <w:r>
        <w:t xml:space="preserve">8.1 Editing guide</w:t>
      </w:r>
    </w:p>
    <w:tbl>
      <w:tblPr>
        <w:tblW w:type="dxa" w:w="94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6260"/>
      </w:tblGrid>
      <w:tr>
        <w:trPr>
          <w:tblHeader/>
        </w:trPr>
        <w:tc>
          <w:tcPr>
            <w:tcW w:type="dxa" w:w="32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 change…</w:t>
            </w:r>
          </w:p>
        </w:tc>
        <w:tc>
          <w:tcPr>
            <w:tcW w:type="dxa" w:w="626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Edit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Colors / spacing / fonts globally</w:t>
            </w:r>
          </w:p>
        </w:tc>
        <w:tc>
          <w:tcPr>
            <w:tcW w:type="dxa" w:w="6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Styles.css §1 (:root tokens)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Any section’s copy or structure</w:t>
            </w:r>
          </w:p>
        </w:tc>
        <w:tc>
          <w:tcPr>
            <w:tcW w:type="dxa" w:w="62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Index.html — sections are commented and in visual order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 service / project / team entry</w:t>
            </w:r>
          </w:p>
        </w:tc>
        <w:tc>
          <w:tcPr>
            <w:tcW w:type="dxa" w:w="6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Duplicate an existing &lt;article&gt; card in the relevant grid in Index.html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Nav links</w:t>
            </w:r>
          </w:p>
        </w:tc>
        <w:tc>
          <w:tcPr>
            <w:tcW w:type="dxa" w:w="62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The &lt;ul class="nav-links"&gt; in the header and the mirror list in &lt;footer&gt;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Breakpoint behavior</w:t>
            </w:r>
          </w:p>
        </w:tc>
        <w:tc>
          <w:tcPr>
            <w:tcW w:type="dxa" w:w="6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Styles.css §16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Interactive behavior</w:t>
            </w:r>
          </w:p>
        </w:tc>
        <w:tc>
          <w:tcPr>
            <w:tcW w:type="dxa" w:w="62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main.js (five labeled blocks)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Background video</w:t>
            </w:r>
          </w:p>
        </w:tc>
        <w:tc>
          <w:tcPr>
            <w:tcW w:type="dxa" w:w="62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Replace ConstructionVideo.mp4 (keep the filename) or change the &lt;source&gt; in the hero</w:t>
            </w:r>
          </w:p>
        </w:tc>
      </w:tr>
    </w:tbl>
    <w:p>
      <w:pPr>
        <w:pStyle w:val="Heading1"/>
        <w:spacing w:after="160" w:before="320"/>
      </w:pPr>
      <w:r>
        <w:t xml:space="preserve">9. Deployment</w:t>
      </w:r>
    </w:p>
    <w:p>
      <w:pPr>
        <w:spacing w:after="120" w:line="300"/>
      </w:pPr>
      <w:r>
        <w:t xml:space="preserve">Publish by copying four files to any static host. No configuration, secrets, or runtime.</w:t>
      </w:r>
    </w:p>
    <w:p>
      <w:pPr>
        <w:pStyle w:val="Heading3"/>
        <w:spacing w:after="100" w:before="180"/>
      </w:pPr>
      <w:r>
        <w:t xml:space="preserve">GitHub Pages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color="auto" w:val="clear"/>
        <w:spacing w:after="140" w:before="40" w:line="276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  <w:r>
        <w:rPr>
          <w:rFonts w:ascii="Consolas" w:cs="Consolas" w:eastAsia="Consolas" w:hAnsi="Consolas"/>
          <w:sz w:val="18"/>
          <w:szCs w:val="18"/>
        </w:rPr>
        <w:br/>
        <w:t xml:space="preserve"># Repo → Settings → Pages → Source: main / root</w:t>
      </w:r>
      <w:r>
        <w:rPr>
          <w:rFonts w:ascii="Consolas" w:cs="Consolas" w:eastAsia="Consolas" w:hAnsi="Consolas"/>
          <w:sz w:val="18"/>
          <w:szCs w:val="18"/>
        </w:rPr>
        <w:br/>
        <w:t xml:space="preserve"># Rename Index.html to index.html, or add a redirect,</w:t>
      </w:r>
      <w:r>
        <w:rPr>
          <w:rFonts w:ascii="Consolas" w:cs="Consolas" w:eastAsia="Consolas" w:hAnsi="Consolas"/>
          <w:sz w:val="18"/>
          <w:szCs w:val="18"/>
        </w:rPr>
        <w:br/>
        <w:t xml:space="preserve"># since Pages expects a lowercase index.</w:t>
      </w:r>
    </w:p>
    <w:p>
      <w:pPr>
        <w:pStyle w:val="Heading3"/>
        <w:spacing w:after="100" w:before="180"/>
      </w:pPr>
      <w:r>
        <w:t xml:space="preserve">Netlify / Vercel (drag-and-drop or Git)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Build command: none. Publish directory: the repository root.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Set the site’s default document to Index.html if the platform assumes index.html.</w:t>
      </w:r>
    </w:p>
    <w:p>
      <w:pPr>
        <w:pStyle w:val="Heading3"/>
        <w:spacing w:after="100" w:before="180"/>
      </w:pPr>
      <w:r>
        <w:t xml:space="preserve">Traditional server (Apache / nginx)</w:t>
      </w:r>
    </w:p>
    <w:p>
      <w:pPr>
        <w:spacing w:after="120" w:line="300"/>
      </w:pPr>
      <w:r>
        <w:t xml:space="preserve">Upload the four files to the web root. Recommended: enable gzip/brotli for .html/.css/.js, send long-lived cache headers for the .mp4, and serve over HTTPS so the fonts and video load without mixed-content warnings.</w:t>
      </w:r>
    </w:p>
    <w:p>
      <w:pPr>
        <w:spacing w:after="120" w:line="300"/>
      </w:pPr>
      <w:r>
        <w:rPr>
          <w:b/>
          <w:bCs/>
        </w:rPr>
        <w:t xml:space="preserve">Pre-launch checklist: </w:t>
      </w:r>
      <w:r>
        <w:t xml:space="preserve">lowercase the entry filename for the host if needed · add a favicon · compress or add a poster image for the video · connect the contact form to a backend · have the firm review all copy, names, and figures for accuracy.</w:t>
      </w:r>
    </w:p>
    <w:p>
      <w:pPr>
        <w:pStyle w:val="Heading1"/>
        <w:spacing w:after="160" w:before="320"/>
      </w:pPr>
      <w:r>
        <w:t xml:space="preserve">10. Known Limitations &amp; Recommended Next Steps</w:t>
      </w:r>
    </w:p>
    <w:tbl>
      <w:tblPr>
        <w:tblW w:type="dxa" w:w="94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00"/>
        <w:gridCol w:w="3600"/>
        <w:gridCol w:w="4360"/>
      </w:tblGrid>
      <w:tr>
        <w:trPr>
          <w:tblHeader/>
        </w:trPr>
        <w:tc>
          <w:tcPr>
            <w:tcW w:type="dxa" w:w="15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6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436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Contact form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Captures input and shows a success state, but sends nothing.</w:t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Point the &lt;form&gt; at Formspree / Netlify Forms / EmailJS, or a small serverless function. Add spam protection (honeypot or hCaptcha).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Background video</w:t>
            </w:r>
          </w:p>
        </w:tc>
        <w:tc>
          <w:tcPr>
            <w:tcW w:type="dxa" w:w="3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~9 MB MP4, no poster frame.</w:t>
            </w:r>
          </w:p>
        </w:tc>
        <w:tc>
          <w:tcPr>
            <w:tcW w:type="dxa" w:w="43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Re-encode to ~1–2 MB (720p, CRF ~28), add a poster image, and consider a WebM source. Already hidden under prefers-reduced-motion.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Favicon / touch icons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None.</w:t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Add favicon.ico + a 180×180 apple-touch-icon and a small web manifest.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Entry filename</w:t>
            </w:r>
          </w:p>
        </w:tc>
        <w:tc>
          <w:tcPr>
            <w:tcW w:type="dxa" w:w="3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Index.html (capital I).</w:t>
            </w:r>
          </w:p>
        </w:tc>
        <w:tc>
          <w:tcPr>
            <w:tcW w:type="dxa" w:w="43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Rename to index.html for hosts that expect the lowercase default.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Single page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All content on one scroll; no deep links to individual bios or practice pages.</w:t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Optional: split Team and Legal into sub-pages if content grows; add structured data (Organization / LocalBusiness JSON-LD).</w:t>
            </w:r>
          </w:p>
        </w:tc>
      </w:tr>
      <w:tr>
        <w:tc>
          <w:tcPr>
            <w:tcW w:type="dxa" w:w="15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W w:type="dxa" w:w="36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None.</w:t>
            </w:r>
          </w:p>
        </w:tc>
        <w:tc>
          <w:tcPr>
            <w:tcW w:type="dxa" w:w="43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Add privacy-respecting analytics (e.g., Plausible/Fathom) if measurement is needed.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Content accuracy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Carried over from the existing draft.</w:t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Firm to verify all names, titles, dates, dollar figures, and client references before public launch.</w:t>
            </w:r>
          </w:p>
        </w:tc>
      </w:tr>
    </w:tbl>
    <w:p>
      <w:pPr>
        <w:pStyle w:val="Heading1"/>
        <w:spacing w:after="160" w:before="320"/>
      </w:pPr>
      <w:r>
        <w:t xml:space="preserve">11. Change Log</w:t>
      </w:r>
    </w:p>
    <w:tbl>
      <w:tblPr>
        <w:tblW w:type="dxa" w:w="94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400"/>
        <w:gridCol w:w="1400"/>
        <w:gridCol w:w="6660"/>
      </w:tblGrid>
      <w:tr>
        <w:trPr>
          <w:tblHeader/>
        </w:trPr>
        <w:tc>
          <w:tcPr>
            <w:tcW w:type="dxa" w:w="14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6660"/>
            <w:shd w:fill="0B1C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2026-09-05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77b5a55</w:t>
            </w:r>
          </w:p>
        </w:tc>
        <w:tc>
          <w:tcPr>
            <w:tcW w:type="dxa" w:w="6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Polish pass: mobile navigation, responsive alignment, unified max-width and fluid spacing, credentials strip replaces internal “Active Pursuits” banner, accessibility (skip link, focus states, reduced-motion, labeled form), grammar/typography, auto year, stylesheet-casing fix.</w:t>
            </w:r>
          </w:p>
        </w:tc>
      </w:tr>
      <w:tr>
        <w:tc>
          <w:tcPr>
            <w:tcW w:type="dxa" w:w="1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earlier</w:t>
            </w:r>
          </w:p>
        </w:tc>
        <w:tc>
          <w:tcPr>
            <w:tcW w:type="dxa" w:w="140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1ae43d3</w:t>
            </w:r>
          </w:p>
        </w:tc>
        <w:tc>
          <w:tcPr>
            <w:tcW w:type="dxa" w:w="6660"/>
            <w:shd w:fill="F5F5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Background video added; font sizing adjustments.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earlier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4491d2e</w:t>
            </w:r>
          </w:p>
        </w:tc>
        <w:tc>
          <w:tcPr>
            <w:tcW w:type="dxa" w:w="6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First draft of the website.</w:t>
            </w:r>
          </w:p>
        </w:tc>
      </w:tr>
    </w:tbl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4C" w:sz="6" w:space="6"/>
      </w:pBdr>
      <w:spacing w:after="160" w:before="340"/>
      <w:outlineLvl w:val="0"/>
    </w:pPr>
    <w:rPr>
      <w:rFonts w:ascii="Georgia" w:cs="Georgia" w:eastAsia="Georgia" w:hAnsi="Georgia"/>
      <w:b/>
      <w:bCs/>
      <w:color w:val="0B1C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0B1C3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Georgia" w:cs="Georgia" w:eastAsia="Georgia" w:hAnsi="Georgia"/>
      <w:b/>
      <w:bCs/>
      <w:color w:val="3A3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CAPC Website — Summary &amp; Technical Documentation</dc:title>
  <dc:creator>CAPC</dc:creator>
  <dc:description>Site overview, September 2026 polish pass, and complete build reference.</dc:description>
  <cp:lastModifiedBy>Un-named</cp:lastModifiedBy>
  <cp:revision>1</cp:revision>
  <dcterms:created xsi:type="dcterms:W3CDTF">2026-09-05T22:09:45.839Z</dcterms:created>
  <dcterms:modified xsi:type="dcterms:W3CDTF">2026-09-05T22:09:45.854Z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