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F7A3D"/>
          <w:sz w:val="18"/>
        </w:rPr>
        <w:t>HEMS · AUTOMATION GUIDE</w:t>
      </w:r>
    </w:p>
    <w:p>
      <w:pPr>
        <w:spacing w:before="40" w:after="80"/>
      </w:pPr>
      <w:r>
        <w:rPr>
          <w:b/>
          <w:color w:val="0F172A"/>
          <w:sz w:val="44"/>
        </w:rPr>
        <w:t>MacroDroid SMS Forwarder Setup</w:t>
      </w:r>
    </w:p>
    <w:p>
      <w:pPr>
        <w:spacing w:before="0" w:after="280"/>
      </w:pPr>
      <w:r>
        <w:rPr>
          <w:color w:val="64748B"/>
          <w:sz w:val="22"/>
        </w:rPr>
        <w:t>Automated Inflow Synchronization for Equity Bank, NCBA Bank, ABSA Bank &amp; M-Pesa</w:t>
      </w:r>
    </w:p>
    <w:tbl>
      <w:tblPr>
        <w:tblW w:type="auto" w:w="0"/>
        <w:jc w:val="center"/>
        <w:tblLayout w:type="fixed"/>
        <w:tblLook w:firstColumn="1" w:firstRow="1" w:lastColumn="0" w:lastRow="0" w:noHBand="0" w:noVBand="1" w:val="04A0"/>
      </w:tblPr>
      <w:tblGrid>
        <w:gridCol w:w="3216"/>
        <w:gridCol w:w="3216"/>
        <w:gridCol w:w="3216"/>
      </w:tblGrid>
      <w:tr>
        <w:tc>
          <w:tcPr>
            <w:tcW w:type="dxa" w:w="3168"/>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b/>
                <w:color w:val="64748B"/>
                <w:sz w:val="16"/>
              </w:rPr>
              <w:t>TARGET BUSINESS</w:t>
              <w:br/>
            </w:r>
            <w:r>
              <w:rPr>
                <w:b/>
                <w:color w:val="0F172A"/>
                <w:sz w:val="19"/>
              </w:rPr>
              <w:t>Haron Enterprise / Mulot</w:t>
            </w:r>
          </w:p>
        </w:tc>
        <w:tc>
          <w:tcPr>
            <w:tcW w:type="dxa" w:w="3168"/>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b/>
                <w:color w:val="64748B"/>
                <w:sz w:val="16"/>
              </w:rPr>
              <w:t>COMPLETION TIME</w:t>
              <w:br/>
            </w:r>
            <w:r>
              <w:rPr>
                <w:b/>
                <w:color w:val="0F172A"/>
                <w:sz w:val="19"/>
              </w:rPr>
              <w:t>3 Minutes (One-time)</w:t>
            </w:r>
          </w:p>
        </w:tc>
        <w:tc>
          <w:tcPr>
            <w:tcW w:type="dxa" w:w="3168"/>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b/>
                <w:color w:val="64748B"/>
                <w:sz w:val="16"/>
              </w:rPr>
              <w:t>CHANNELS SYNCED</w:t>
              <w:br/>
            </w:r>
            <w:r>
              <w:rPr>
                <w:b/>
                <w:color w:val="0F172A"/>
                <w:sz w:val="19"/>
              </w:rPr>
              <w:t>Equity, NCBA, ABSA, M-Pesa</w:t>
            </w:r>
          </w:p>
        </w:tc>
      </w:tr>
    </w:tbl>
    <w:p>
      <w:pPr>
        <w:spacing w:after="120"/>
      </w:pPr>
    </w:p>
    <w:p>
      <w:pPr>
        <w:spacing w:before="240" w:after="80"/>
      </w:pPr>
      <w:r>
        <w:rPr>
          <w:b/>
          <w:color w:val="0F172A"/>
          <w:sz w:val="26"/>
        </w:rPr>
        <w:t>Step 1: Install MacroDroid on the Business Phone</w:t>
      </w:r>
    </w:p>
    <w:p>
      <w:r>
        <w:t>1. Open the Google Play Store on the phone that receives the bank and M-Pesa payment SMS messages.</w:t>
        <w:br/>
        <w:t>2. Search for MacroDroid - Device Automation (by ArloSoft) and tap Install.</w:t>
        <w:br/>
        <w:t>3. Open the app and grant the required permissions when prompted:</w:t>
        <w:br/>
        <w:t xml:space="preserve">   • SMS Permission: Select Allow (required to detect payment SMS broadcasts).</w:t>
        <w:br/>
        <w:t xml:space="preserve">   • Notifications / Background: Select Allow.</w:t>
      </w:r>
    </w:p>
    <w:p>
      <w:pPr>
        <w:spacing w:before="240" w:after="80"/>
      </w:pPr>
      <w:r>
        <w:rPr>
          <w:b/>
          <w:color w:val="0F172A"/>
          <w:sz w:val="26"/>
        </w:rPr>
        <w:t>Step 2: Prevent Background Sleep (Crucial)</w:t>
      </w:r>
    </w:p>
    <w:p>
      <w:r>
        <w:t>Android power management will sleep background apps unless configured. Follow these steps so messages sync instantly even when the screen is locked:</w:t>
        <w:br/>
        <w:br/>
        <w:t>• Battery Optimization: When MacroDroid prompts, tap Don't Optimize (or Unrestricted).</w:t>
        <w:br/>
        <w:t>• For Xiaomi, Redmi, Poco, or Oppo Phones (MIUI / ColorOS):</w:t>
        <w:br/>
        <w:t xml:space="preserve">  1. Go to phone Settings → Apps → Manage Apps → MacroDroid.</w:t>
        <w:br/>
        <w:t xml:space="preserve">  2. Enable Autostart (toggle switch to ON).</w:t>
        <w:br/>
        <w:t xml:space="preserve">  3. Tap Battery Saver and choose No restrictions.</w:t>
      </w:r>
    </w:p>
    <w:p>
      <w:pPr>
        <w:spacing w:before="240" w:after="80"/>
      </w:pPr>
      <w:r>
        <w:rPr>
          <w:b/>
          <w:color w:val="0F172A"/>
          <w:sz w:val="26"/>
        </w:rPr>
        <w:t>Step 3: Create the Sync Macro Rule</w:t>
      </w:r>
    </w:p>
    <w:p>
      <w:r>
        <w:t>1. In MacroDroid, tap the large Add Macro tile (red plus).</w:t>
        <w:br/>
        <w:t>2. Enter the macro title at the very top: HEMS Payment Sync.</w:t>
      </w:r>
    </w:p>
    <w:tbl>
      <w:tblPr>
        <w:tblW w:type="auto" w:w="0"/>
        <w:jc w:val="center"/>
        <w:tblLook w:firstColumn="1" w:firstRow="1" w:lastColumn="0" w:lastRow="0" w:noHBand="0" w:noVBand="1" w:val="04A0"/>
      </w:tblPr>
      <w:tblGrid>
        <w:gridCol w:w="9648"/>
      </w:tblGrid>
      <w:tr>
        <w:tc>
          <w:tcPr>
            <w:tcW w:type="dxa" w:w="9792"/>
            <w:shd w:fill="F8FAFC"/>
            <w:tcMar>
              <w:top w:w="140" w:type="dxa"/>
              <w:bottom w:w="140" w:type="dxa"/>
              <w:left w:w="160" w:type="dxa"/>
              <w:right w:w="160" w:type="dxa"/>
            </w:tcMar>
            <w:tcBorders>
              <w:top w:val="single" w:sz="4" w:space="0" w:color="E2E8F0"/>
              <w:left w:val="single" w:sz="24" w:space="0" w:color="EF4444"/>
              <w:bottom w:val="single" w:sz="4" w:space="0" w:color="E2E8F0"/>
              <w:right w:val="single" w:sz="4" w:space="0" w:color="E2E8F0"/>
            </w:tcBorders>
          </w:tcPr>
          <w:p>
            <w:pPr>
              <w:spacing w:after="40"/>
            </w:pPr>
            <w:r>
              <w:rPr>
                <w:b/>
                <w:color w:val="DC2626"/>
                <w:sz w:val="20"/>
              </w:rPr>
              <w:t>PART A — ADD TRIGGER (Red Box +)</w:t>
              <w:br/>
            </w:r>
          </w:p>
          <w:p>
            <w:pPr>
              <w:spacing w:before="40" w:after="0"/>
            </w:pPr>
            <w:r>
              <w:t>1. Tap the + icon on the red Triggers section.</w:t>
              <w:br/>
              <w:t>2. Select Connectivity (or Device Events) → SMS → SMS Received.</w:t>
              <w:br/>
              <w:t>3. Choose 'Monitor inbox' (critical for Android 11+ and Xiaomi devices).</w:t>
              <w:br/>
              <w:t>4. In the SMS options screen:</w:t>
              <w:br/>
              <w:t xml:space="preserve">   • Select: Any Content</w:t>
              <w:br/>
              <w:t xml:space="preserve">   • Select: Any Number / Any Contact</w:t>
              <w:br/>
              <w:t>5. Tap OK to save the trigger.</w:t>
            </w:r>
          </w:p>
        </w:tc>
      </w:tr>
    </w:tbl>
    <w:p>
      <w:pPr>
        <w:spacing w:after="80"/>
      </w:pPr>
    </w:p>
    <w:tbl>
      <w:tblPr>
        <w:tblW w:type="auto" w:w="0"/>
        <w:jc w:val="center"/>
        <w:tblLook w:firstColumn="1" w:firstRow="1" w:lastColumn="0" w:lastRow="0" w:noHBand="0" w:noVBand="1" w:val="04A0"/>
      </w:tblPr>
      <w:tblGrid>
        <w:gridCol w:w="9648"/>
      </w:tblGrid>
      <w:tr>
        <w:tc>
          <w:tcPr>
            <w:tcW w:type="dxa" w:w="9792"/>
            <w:shd w:fill="F8FAFC"/>
            <w:tcMar>
              <w:top w:w="140" w:type="dxa"/>
              <w:bottom w:w="140" w:type="dxa"/>
              <w:left w:w="160" w:type="dxa"/>
              <w:right w:w="160" w:type="dxa"/>
            </w:tcMar>
            <w:tcBorders>
              <w:top w:val="single" w:sz="4" w:space="0" w:color="E2E8F0"/>
              <w:left w:val="single" w:sz="24" w:space="0" w:color="2563EB"/>
              <w:bottom w:val="single" w:sz="4" w:space="0" w:color="E2E8F0"/>
              <w:right w:val="single" w:sz="4" w:space="0" w:color="E2E8F0"/>
            </w:tcBorders>
          </w:tcPr>
          <w:p>
            <w:pPr>
              <w:spacing w:after="40"/>
            </w:pPr>
            <w:r>
              <w:rPr>
                <w:b/>
                <w:color w:val="2563EB"/>
                <w:sz w:val="20"/>
              </w:rPr>
              <w:t>PART B — ADD ACTION (Blue Box +)</w:t>
              <w:br/>
            </w:r>
          </w:p>
          <w:p>
            <w:pPr>
              <w:spacing w:before="40" w:after="80"/>
            </w:pPr>
            <w:r>
              <w:t>1. Tap the + icon on the blue Actions section.</w:t>
              <w:br/>
              <w:t>2. Select Connectivity → HTTP Request.</w:t>
              <w:br/>
              <w:t>3. Fill in the parameters as follows:</w:t>
              <w:br/>
              <w:br/>
              <w:t xml:space="preserve">   • Request Method: POST</w:t>
              <w:br/>
              <w:t xml:space="preserve">   • URL (Copy exactly):</w:t>
              <w:br/>
            </w:r>
          </w:p>
          <w:p>
            <w:pPr>
              <w:spacing w:before="40" w:after="80"/>
              <w:ind w:left="288"/>
            </w:pPr>
            <w:r>
              <w:rPr>
                <w:rFonts w:ascii="Consolas" w:hAnsi="Consolas"/>
                <w:b/>
                <w:color w:val="1E293B"/>
                <w:sz w:val="19"/>
              </w:rPr>
              <w:t>https://hems-gamma.vercel.app/api/payments/sms-forwarder</w:t>
            </w:r>
          </w:p>
          <w:p>
            <w:pPr>
              <w:spacing w:before="40" w:after="40"/>
            </w:pPr>
            <w:r>
              <w:t xml:space="preserve">   • Content Type: Select application/json</w:t>
              <w:br/>
              <w:t xml:space="preserve">   • Request Body (Text): Paste this JSON template:</w:t>
            </w:r>
          </w:p>
          <w:p>
            <w:pPr>
              <w:spacing w:before="40" w:after="120"/>
              <w:ind w:left="288"/>
            </w:pPr>
            <w:r>
              <w:rPr>
                <w:rFonts w:ascii="Consolas" w:hAnsi="Consolas"/>
                <w:color w:val="0F172A"/>
                <w:sz w:val="18"/>
              </w:rPr>
              <w:t>{</w:t>
              <w:br/>
              <w:t xml:space="preserve">  "from": "[sms_origin]",</w:t>
              <w:br/>
              <w:t xml:space="preserve">  "text": "[sms_message]",</w:t>
              <w:br/>
              <w:t xml:space="preserve">  "timestamp": "[timestamp]"</w:t>
              <w:br/>
              <w:t>}</w:t>
            </w:r>
          </w:p>
          <w:p>
            <w:pPr>
              <w:spacing w:before="0" w:after="0"/>
            </w:pPr>
            <w:r>
              <w:t>4. Tap the checkmark ✓ (or OK) to save the HTTP Request action.</w:t>
            </w:r>
          </w:p>
        </w:tc>
      </w:tr>
    </w:tbl>
    <w:p>
      <w:pPr>
        <w:spacing w:after="80"/>
      </w:pPr>
    </w:p>
    <w:p>
      <w:pPr>
        <w:spacing w:before="160" w:after="80"/>
      </w:pPr>
      <w:r>
        <w:rPr>
          <w:b/>
          <w:color w:val="0F172A"/>
          <w:sz w:val="22"/>
        </w:rPr>
        <w:t>PART C &amp; D — 5-Second Connection Test and Enable</w:t>
      </w:r>
    </w:p>
    <w:p>
      <w:r>
        <w:t>1. Quick Test: Tap directly on the blue box that says HTTP Request (POST).</w:t>
        <w:br/>
        <w:t>2. A small menu will appear → tap Test Action.</w:t>
        <w:br/>
        <w:t>3. Look at the bottom of the screen: it should display 'Response code: 200' (or 200 OK).</w:t>
        <w:br/>
        <w:t>4. Save: Tap the white checkmark / disk save icon in the bottom right corner.</w:t>
        <w:br/>
        <w:t>5. Main Screen: Ensure the toggle switch on MacroDroid's home screen is set to ON (green).</w:t>
      </w:r>
    </w:p>
    <w:p>
      <w:pPr>
        <w:spacing w:before="240" w:after="80"/>
      </w:pPr>
      <w:r>
        <w:rPr>
          <w:b/>
          <w:color w:val="0F172A"/>
          <w:sz w:val="26"/>
        </w:rPr>
        <w:t>Supported Real Payment Channels &amp; Formats</w:t>
      </w:r>
    </w:p>
    <w:p>
      <w:r>
        <w:t>HEMS automatically parses and reconciles transactions across all the client's channels:</w:t>
      </w:r>
    </w:p>
    <w:tbl>
      <w:tblPr>
        <w:tblW w:type="auto" w:w="0"/>
        <w:jc w:val="center"/>
        <w:tblLayout w:type="fixed"/>
        <w:tblLook w:firstColumn="1" w:firstRow="1" w:lastColumn="0" w:lastRow="0" w:noHBand="0" w:noVBand="1" w:val="04A0"/>
      </w:tblPr>
      <w:tblGrid>
        <w:gridCol w:w="3216"/>
        <w:gridCol w:w="3216"/>
        <w:gridCol w:w="3216"/>
      </w:tblGrid>
      <w:tr>
        <w:tc>
          <w:tcPr>
            <w:tcW w:type="dxa" w:w="2160"/>
            <w:shd w:fill="0F172A"/>
            <w:tcMar>
              <w:top w:w="100" w:type="dxa"/>
              <w:bottom w:w="100" w:type="dxa"/>
              <w:left w:w="120" w:type="dxa"/>
              <w:right w:w="120" w:type="dxa"/>
            </w:tcMar>
          </w:tcPr>
          <w:p>
            <w:r>
              <w:rPr>
                <w:b/>
                <w:color w:val="FFFFFF"/>
                <w:sz w:val="17"/>
              </w:rPr>
              <w:t>Bank / Provider</w:t>
            </w:r>
          </w:p>
        </w:tc>
        <w:tc>
          <w:tcPr>
            <w:tcW w:type="dxa" w:w="5472"/>
            <w:shd w:fill="0F172A"/>
            <w:tcMar>
              <w:top w:w="100" w:type="dxa"/>
              <w:bottom w:w="100" w:type="dxa"/>
              <w:left w:w="120" w:type="dxa"/>
              <w:right w:w="120" w:type="dxa"/>
            </w:tcMar>
          </w:tcPr>
          <w:p>
            <w:r>
              <w:rPr>
                <w:b/>
                <w:color w:val="FFFFFF"/>
                <w:sz w:val="17"/>
              </w:rPr>
              <w:t>Sample Real SMS Pattern</w:t>
            </w:r>
          </w:p>
        </w:tc>
        <w:tc>
          <w:tcPr>
            <w:tcW w:type="dxa" w:w="2160"/>
            <w:shd w:fill="0F172A"/>
            <w:tcMar>
              <w:top w:w="100" w:type="dxa"/>
              <w:bottom w:w="100" w:type="dxa"/>
              <w:left w:w="120" w:type="dxa"/>
              <w:right w:w="120" w:type="dxa"/>
            </w:tcMar>
          </w:tcPr>
          <w:p>
            <w:r>
              <w:rPr>
                <w:b/>
                <w:color w:val="FFFFFF"/>
                <w:sz w:val="17"/>
              </w:rPr>
              <w:t>Attribution</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b/>
                <w:color w:val="0F172A"/>
                <w:sz w:val="17"/>
              </w:rPr>
              <w:t>Equity Bank</w:t>
            </w:r>
          </w:p>
        </w:tc>
        <w:tc>
          <w:tcPr>
            <w:tcW w:type="dxa" w:w="54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color w:val="1E293B"/>
                <w:sz w:val="17"/>
              </w:rPr>
              <w:t>Confirmed KES. 16,000.00 to HARON ENTERPRISE MULOT A/C Ref.Number 650166 Via MPESA Ref UJFA5AWCDW by NORAH CHELANGAT TANGUS Phone...</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color w:val="1E293B"/>
                <w:sz w:val="17"/>
              </w:rPr>
              <w:t>Account 650166</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b/>
                <w:color w:val="0F172A"/>
                <w:sz w:val="17"/>
              </w:rPr>
              <w:t>NCBA Bank</w:t>
            </w:r>
          </w:p>
        </w:tc>
        <w:tc>
          <w:tcPr>
            <w:tcW w:type="dxa" w:w="54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color w:val="1E293B"/>
                <w:sz w:val="17"/>
              </w:rPr>
              <w:t>Dear HARON M a transaction of KES 2,850.00 for 650166 has been received from TABITHA CHEPNGETICH... M-Pesa Ref: UJF2CADSKZ. NCBA, Go for it.</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color w:val="1E293B"/>
                <w:sz w:val="17"/>
              </w:rPr>
              <w:t>Account 650166</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b/>
                <w:color w:val="0F172A"/>
                <w:sz w:val="17"/>
              </w:rPr>
              <w:t>ABSA Bank</w:t>
            </w:r>
          </w:p>
        </w:tc>
        <w:tc>
          <w:tcPr>
            <w:tcW w:type="dxa" w:w="54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color w:val="1E293B"/>
                <w:sz w:val="17"/>
              </w:rPr>
              <w:t>Dear HARON ENTERPRISE MULOT, you have received KES10000.0 MPESA ref: UJFRM9EKOU to your account XX6709 from MELDA ATIENO ODONGO- 254728...</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color w:val="1E293B"/>
                <w:sz w:val="17"/>
              </w:rPr>
              <w:t>Account XX6709</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b/>
                <w:color w:val="0F172A"/>
                <w:sz w:val="17"/>
              </w:rPr>
              <w:t>M-Pesa (Till/Pochi)</w:t>
            </w:r>
          </w:p>
        </w:tc>
        <w:tc>
          <w:tcPr>
            <w:tcW w:type="dxa" w:w="54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color w:val="1E293B"/>
                <w:sz w:val="17"/>
              </w:rPr>
              <w:t>UJELS9NVU2 Confirmed.You have received Ksh1,400.00 from Caren Chepkemoi 0700***522... / Till 4968133</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r>
              <w:rPr>
                <w:color w:val="1E293B"/>
                <w:sz w:val="17"/>
              </w:rPr>
              <w:t>Haron Fashion</w:t>
            </w:r>
          </w:p>
        </w:tc>
      </w:tr>
    </w:tbl>
    <w:p>
      <w:pPr>
        <w:spacing w:after="160"/>
      </w:pPr>
    </w:p>
    <w:p>
      <w:pPr>
        <w:spacing w:before="160" w:after="0"/>
      </w:pPr>
      <w:r>
        <w:rPr>
          <w:b/>
          <w:color w:val="1F7A3D"/>
          <w:sz w:val="19"/>
        </w:rPr>
        <w:t>Security &amp; Duplicate Protection:</w:t>
      </w:r>
    </w:p>
    <w:p>
      <w:r>
        <w:t>All transactions are strictly deduplicated in the database by unique receipt reference code. If the phone loses internet connection and sends queued messages in bulk upon reconnecting, HEMS safely recognizes existing records and prevents duplicate crediting.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