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4"/>
          <w:szCs w:val="44"/>
        </w:rPr>
        <w:t xml:space="preserve">SozoGraph LoCoMo Autopsy</w:t>
      </w:r>
    </w:p>
    <w:p>
      <w:pPr>
        <w:spacing w:after="40"/>
      </w:pPr>
      <w:r>
        <w:rPr>
          <w:color w:val="6B6B6B"/>
          <w:sz w:val="24"/>
          <w:szCs w:val="24"/>
        </w:rPr>
        <w:t xml:space="preserve">The atomic observation layer: what it fixed, what still loses, and how to close the rest</w:t>
      </w:r>
    </w:p>
    <w:p>
      <w:pPr>
        <w:pBdr>
          <w:bottom w:val="single" w:color="1A1A1A" w:sz="6"/>
        </w:pBdr>
        <w:spacing w:after="60"/>
      </w:pPr>
      <w:r>
        <w:rPr>
          <w:color w:val="6B6B6B"/>
          <w:sz w:val="18"/>
          <w:szCs w:val="18"/>
        </w:rPr>
        <w:t xml:space="preserve">2026-08-26  ·  local Llama-3.1-8B backbone and judge  ·  matched six-conversation eval</w:t>
      </w:r>
    </w:p>
    <w:p>
      <w:pPr>
        <w:pStyle w:val="Heading1"/>
        <w:spacing w:after="140" w:before="340"/>
      </w:pPr>
      <w:r>
        <w:rPr>
          <w:b/>
          <w:bCs/>
          <w:color w:val="1A1A1A"/>
          <w:sz w:val="30"/>
          <w:szCs w:val="30"/>
        </w:rPr>
        <w:t xml:space="preserve">The result</w:t>
      </w:r>
    </w:p>
    <w:p>
      <w:pPr>
        <w:spacing w:after="140" w:line="276"/>
      </w:pPr>
      <w:r>
        <w:rPr>
          <w:color w:val="1A1A1A"/>
          <w:sz w:val="21"/>
          <w:szCs w:val="21"/>
        </w:rPr>
        <w:t xml:space="preserve">Adding an atomic observation layer doubled sozograph’s accuracy on the six matched LoCoMo conversations, from </w:t>
      </w:r>
      <w:r>
        <w:rPr>
          <w:b/>
          <w:bCs/>
          <w:color w:val="1A1A1A"/>
          <w:sz w:val="21"/>
          <w:szCs w:val="21"/>
        </w:rPr>
        <w:t xml:space="preserve">13.22% to 26.67%</w:t>
      </w:r>
      <w:r>
        <w:rPr>
          <w:color w:val="1A1A1A"/>
          <w:sz w:val="21"/>
          <w:szCs w:val="21"/>
        </w:rPr>
        <w:t xml:space="preserve">, on the identical 8B backbone and identical flags. The only change was the library. Token cost stayed near </w:t>
      </w:r>
      <w:r>
        <w:rPr>
          <w:b/>
          <w:bCs/>
          <w:color w:val="1A1A1A"/>
          <w:sz w:val="21"/>
          <w:szCs w:val="21"/>
        </w:rPr>
        <w:t xml:space="preserve">one eleventh of full context</w:t>
      </w:r>
      <w:r>
        <w:rPr>
          <w:color w:val="1A1A1A"/>
          <w:sz w:val="21"/>
          <w:szCs w:val="21"/>
        </w:rPr>
        <w:t xml:space="preserve">. Portability held: no vectors, no embeddings, no weights.</w:t>
      </w:r>
    </w:p>
    <w:tbl>
      <w:tblPr>
        <w:tblW w:type="dxa" w:w="9360"/>
        <w:tblBorders>
          <w:top w:val="single" w:color="C9C9C9" w:sz="2"/>
          <w:left w:val="none"/>
          <w:bottom w:val="single" w:color="C9C9C9" w:sz="2"/>
          <w:right w:val="none"/>
          <w:insideH w:val="single" w:color="C9C9C9" w:sz="1"/>
          <w:insideV w:val="none"/>
        </w:tblBorders>
      </w:tblPr>
      <w:tblGrid>
        <w:gridCol w:w="3120"/>
        <w:gridCol w:w="1560"/>
        <w:gridCol w:w="1560"/>
        <w:gridCol w:w="1560"/>
        <w:gridCol w:w="1560"/>
      </w:tblGrid>
      <w:tr>
        <w:tc>
          <w:tcPr>
            <w:tcW w:type="dxa" w:w="3120"/>
            <w:shd w:fill="ECECEC" w:color="auto" w:val="clear"/>
            <w:tcMar>
              <w:top w:type="dxa" w:w="60"/>
              <w:left w:type="dxa" w:w="110"/>
              <w:bottom w:type="dxa" w:w="60"/>
              <w:right w:type="dxa" w:w="110"/>
            </w:tcMar>
          </w:tcPr>
          <w:p>
            <w:pPr>
              <w:jc w:val="left"/>
            </w:pPr>
            <w:r>
              <w:rPr>
                <w:b/>
                <w:bCs/>
                <w:color w:val="1A1A1A"/>
                <w:sz w:val="19"/>
                <w:szCs w:val="19"/>
              </w:rPr>
              <w:t xml:space="preserve">System (all 6 conversations, 885 questions)</w:t>
            </w:r>
          </w:p>
        </w:tc>
        <w:tc>
          <w:tcPr>
            <w:tcW w:type="dxa" w:w="1560"/>
            <w:shd w:fill="ECECEC" w:color="auto" w:val="clear"/>
            <w:tcMar>
              <w:top w:type="dxa" w:w="60"/>
              <w:left w:type="dxa" w:w="110"/>
              <w:bottom w:type="dxa" w:w="60"/>
              <w:right w:type="dxa" w:w="110"/>
            </w:tcMar>
          </w:tcPr>
          <w:p>
            <w:pPr>
              <w:jc w:val="right"/>
            </w:pPr>
            <w:r>
              <w:rPr>
                <w:b/>
                <w:bCs/>
                <w:color w:val="1A1A1A"/>
                <w:sz w:val="19"/>
                <w:szCs w:val="19"/>
              </w:rPr>
              <w:t xml:space="preserve">Accuracy</w:t>
            </w:r>
          </w:p>
        </w:tc>
        <w:tc>
          <w:tcPr>
            <w:tcW w:type="dxa" w:w="1560"/>
            <w:shd w:fill="ECECEC" w:color="auto" w:val="clear"/>
            <w:tcMar>
              <w:top w:type="dxa" w:w="60"/>
              <w:left w:type="dxa" w:w="110"/>
              <w:bottom w:type="dxa" w:w="60"/>
              <w:right w:type="dxa" w:w="110"/>
            </w:tcMar>
          </w:tcPr>
          <w:p>
            <w:pPr>
              <w:jc w:val="right"/>
            </w:pPr>
            <w:r>
              <w:rPr>
                <w:b/>
                <w:bCs/>
                <w:color w:val="1A1A1A"/>
                <w:sz w:val="19"/>
                <w:szCs w:val="19"/>
              </w:rPr>
              <w:t xml:space="preserve">Abstained</w:t>
            </w:r>
          </w:p>
        </w:tc>
        <w:tc>
          <w:tcPr>
            <w:tcW w:type="dxa" w:w="1560"/>
            <w:shd w:fill="ECECEC" w:color="auto" w:val="clear"/>
            <w:tcMar>
              <w:top w:type="dxa" w:w="60"/>
              <w:left w:type="dxa" w:w="110"/>
              <w:bottom w:type="dxa" w:w="60"/>
              <w:right w:type="dxa" w:w="110"/>
            </w:tcMar>
          </w:tcPr>
          <w:p>
            <w:pPr>
              <w:jc w:val="right"/>
            </w:pPr>
            <w:r>
              <w:rPr>
                <w:b/>
                <w:bCs/>
                <w:color w:val="1A1A1A"/>
                <w:sz w:val="19"/>
                <w:szCs w:val="19"/>
              </w:rPr>
              <w:t xml:space="preserve">Tokens</w:t>
            </w:r>
          </w:p>
        </w:tc>
        <w:tc>
          <w:tcPr>
            <w:tcW w:type="dxa" w:w="1560"/>
            <w:shd w:fill="ECECEC" w:color="auto" w:val="clear"/>
            <w:tcMar>
              <w:top w:type="dxa" w:w="60"/>
              <w:left w:type="dxa" w:w="110"/>
              <w:bottom w:type="dxa" w:w="60"/>
              <w:right w:type="dxa" w:w="110"/>
            </w:tcMar>
          </w:tcPr>
          <w:p>
            <w:pPr>
              <w:jc w:val="right"/>
            </w:pPr>
            <w:r>
              <w:rPr>
                <w:b/>
                <w:bCs/>
                <w:color w:val="1A1A1A"/>
                <w:sz w:val="19"/>
                <w:szCs w:val="19"/>
              </w:rPr>
              <w:t xml:space="preserve">Single-hop</w:t>
            </w:r>
          </w:p>
        </w:tc>
      </w:tr>
      <w:tr>
        <w:tc>
          <w:tcPr>
            <w:tcW w:type="dxa" w:w="3120"/>
            <w:tcMar>
              <w:top w:type="dxa" w:w="60"/>
              <w:left w:type="dxa" w:w="110"/>
              <w:bottom w:type="dxa" w:w="60"/>
              <w:right w:type="dxa" w:w="110"/>
            </w:tcMar>
          </w:tcPr>
          <w:p>
            <w:pPr>
              <w:jc w:val="left"/>
            </w:pPr>
            <w:r>
              <w:rPr>
                <w:b w:val="false"/>
                <w:bCs w:val="false"/>
                <w:color w:val="1A1A1A"/>
                <w:sz w:val="19"/>
                <w:szCs w:val="19"/>
              </w:rPr>
              <w:t xml:space="preserve">caba001 (observation-less)</w:t>
            </w:r>
          </w:p>
        </w:tc>
        <w:tc>
          <w:tcPr>
            <w:tcW w:type="dxa" w:w="1560"/>
            <w:tcMar>
              <w:top w:type="dxa" w:w="60"/>
              <w:left w:type="dxa" w:w="110"/>
              <w:bottom w:type="dxa" w:w="60"/>
              <w:right w:type="dxa" w:w="110"/>
            </w:tcMar>
          </w:tcPr>
          <w:p>
            <w:pPr>
              <w:jc w:val="right"/>
            </w:pPr>
            <w:r>
              <w:rPr>
                <w:b w:val="false"/>
                <w:bCs w:val="false"/>
                <w:color w:val="1A1A1A"/>
                <w:sz w:val="19"/>
                <w:szCs w:val="19"/>
              </w:rPr>
              <w:t xml:space="preserve">13.22%</w:t>
            </w:r>
          </w:p>
        </w:tc>
        <w:tc>
          <w:tcPr>
            <w:tcW w:type="dxa" w:w="1560"/>
            <w:tcMar>
              <w:top w:type="dxa" w:w="60"/>
              <w:left w:type="dxa" w:w="110"/>
              <w:bottom w:type="dxa" w:w="60"/>
              <w:right w:type="dxa" w:w="110"/>
            </w:tcMar>
          </w:tcPr>
          <w:p>
            <w:pPr>
              <w:jc w:val="right"/>
            </w:pPr>
            <w:r>
              <w:rPr>
                <w:b w:val="false"/>
                <w:bCs w:val="false"/>
                <w:color w:val="1A1A1A"/>
                <w:sz w:val="19"/>
                <w:szCs w:val="19"/>
              </w:rPr>
              <w:t xml:space="preserve">68%</w:t>
            </w:r>
          </w:p>
        </w:tc>
        <w:tc>
          <w:tcPr>
            <w:tcW w:type="dxa" w:w="1560"/>
            <w:tcMar>
              <w:top w:type="dxa" w:w="60"/>
              <w:left w:type="dxa" w:w="110"/>
              <w:bottom w:type="dxa" w:w="60"/>
              <w:right w:type="dxa" w:w="110"/>
            </w:tcMar>
          </w:tcPr>
          <w:p>
            <w:pPr>
              <w:jc w:val="right"/>
            </w:pPr>
            <w:r>
              <w:rPr>
                <w:b w:val="false"/>
                <w:bCs w:val="false"/>
                <w:color w:val="1A1A1A"/>
                <w:sz w:val="19"/>
                <w:szCs w:val="19"/>
              </w:rPr>
              <w:t xml:space="preserve">1.6M</w:t>
            </w:r>
          </w:p>
        </w:tc>
        <w:tc>
          <w:tcPr>
            <w:tcW w:type="dxa" w:w="1560"/>
            <w:tcMar>
              <w:top w:type="dxa" w:w="60"/>
              <w:left w:type="dxa" w:w="110"/>
              <w:bottom w:type="dxa" w:w="60"/>
              <w:right w:type="dxa" w:w="110"/>
            </w:tcMar>
          </w:tcPr>
          <w:p>
            <w:pPr>
              <w:jc w:val="right"/>
            </w:pPr>
            <w:r>
              <w:rPr>
                <w:b w:val="false"/>
                <w:bCs w:val="false"/>
                <w:color w:val="1A1A1A"/>
                <w:sz w:val="19"/>
                <w:szCs w:val="19"/>
              </w:rPr>
              <w:t xml:space="preserve">15%</w:t>
            </w:r>
          </w:p>
        </w:tc>
      </w:tr>
      <w:tr>
        <w:tc>
          <w:tcPr>
            <w:tcW w:type="dxa" w:w="3120"/>
            <w:shd w:fill="E8F1EA" w:color="auto" w:val="clear"/>
            <w:tcMar>
              <w:top w:type="dxa" w:w="60"/>
              <w:left w:type="dxa" w:w="110"/>
              <w:bottom w:type="dxa" w:w="60"/>
              <w:right w:type="dxa" w:w="110"/>
            </w:tcMar>
          </w:tcPr>
          <w:p>
            <w:pPr>
              <w:jc w:val="left"/>
            </w:pPr>
            <w:r>
              <w:rPr>
                <w:b/>
                <w:bCs/>
                <w:color w:val="1A1A1A"/>
                <w:sz w:val="19"/>
                <w:szCs w:val="19"/>
              </w:rPr>
              <w:t xml:space="preserve">atomic observations</w:t>
            </w:r>
          </w:p>
        </w:tc>
        <w:tc>
          <w:tcPr>
            <w:tcW w:type="dxa" w:w="1560"/>
            <w:shd w:fill="E8F1EA" w:color="auto" w:val="clear"/>
            <w:tcMar>
              <w:top w:type="dxa" w:w="60"/>
              <w:left w:type="dxa" w:w="110"/>
              <w:bottom w:type="dxa" w:w="60"/>
              <w:right w:type="dxa" w:w="110"/>
            </w:tcMar>
          </w:tcPr>
          <w:p>
            <w:pPr>
              <w:jc w:val="right"/>
            </w:pPr>
            <w:r>
              <w:rPr>
                <w:b/>
                <w:bCs/>
                <w:color w:val="1E7A46"/>
                <w:sz w:val="19"/>
                <w:szCs w:val="19"/>
              </w:rPr>
              <w:t xml:space="preserve">26.67%</w:t>
            </w:r>
          </w:p>
        </w:tc>
        <w:tc>
          <w:tcPr>
            <w:tcW w:type="dxa" w:w="1560"/>
            <w:shd w:fill="E8F1EA" w:color="auto" w:val="clear"/>
            <w:tcMar>
              <w:top w:type="dxa" w:w="60"/>
              <w:left w:type="dxa" w:w="110"/>
              <w:bottom w:type="dxa" w:w="60"/>
              <w:right w:type="dxa" w:w="110"/>
            </w:tcMar>
          </w:tcPr>
          <w:p>
            <w:pPr>
              <w:jc w:val="right"/>
            </w:pPr>
            <w:r>
              <w:rPr>
                <w:b w:val="false"/>
                <w:bCs w:val="false"/>
                <w:color w:val="1A1A1A"/>
                <w:sz w:val="19"/>
                <w:szCs w:val="19"/>
              </w:rPr>
              <w:t xml:space="preserve">42%</w:t>
            </w:r>
          </w:p>
        </w:tc>
        <w:tc>
          <w:tcPr>
            <w:tcW w:type="dxa" w:w="1560"/>
            <w:shd w:fill="E8F1EA" w:color="auto" w:val="clear"/>
            <w:tcMar>
              <w:top w:type="dxa" w:w="60"/>
              <w:left w:type="dxa" w:w="110"/>
              <w:bottom w:type="dxa" w:w="60"/>
              <w:right w:type="dxa" w:w="110"/>
            </w:tcMar>
          </w:tcPr>
          <w:p>
            <w:pPr>
              <w:jc w:val="right"/>
            </w:pPr>
            <w:r>
              <w:rPr>
                <w:b w:val="false"/>
                <w:bCs w:val="false"/>
                <w:color w:val="1A1A1A"/>
                <w:sz w:val="19"/>
                <w:szCs w:val="19"/>
              </w:rPr>
              <w:t xml:space="preserve">1.74M</w:t>
            </w:r>
          </w:p>
        </w:tc>
        <w:tc>
          <w:tcPr>
            <w:tcW w:type="dxa" w:w="1560"/>
            <w:shd w:fill="E8F1EA" w:color="auto" w:val="clear"/>
            <w:tcMar>
              <w:top w:type="dxa" w:w="60"/>
              <w:left w:type="dxa" w:w="110"/>
              <w:bottom w:type="dxa" w:w="60"/>
              <w:right w:type="dxa" w:w="110"/>
            </w:tcMar>
          </w:tcPr>
          <w:p>
            <w:pPr>
              <w:jc w:val="right"/>
            </w:pPr>
            <w:r>
              <w:rPr>
                <w:b/>
                <w:bCs/>
                <w:color w:val="1E7A46"/>
                <w:sz w:val="19"/>
                <w:szCs w:val="19"/>
              </w:rPr>
              <w:t xml:space="preserve">36%</w:t>
            </w:r>
          </w:p>
        </w:tc>
      </w:tr>
      <w:tr>
        <w:tc>
          <w:tcPr>
            <w:tcW w:type="dxa" w:w="3120"/>
            <w:tcMar>
              <w:top w:type="dxa" w:w="60"/>
              <w:left w:type="dxa" w:w="110"/>
              <w:bottom w:type="dxa" w:w="60"/>
              <w:right w:type="dxa" w:w="110"/>
            </w:tcMar>
          </w:tcPr>
          <w:p>
            <w:pPr>
              <w:jc w:val="left"/>
            </w:pPr>
            <w:r>
              <w:rPr>
                <w:b w:val="false"/>
                <w:bCs w:val="false"/>
                <w:color w:val="1A1A1A"/>
                <w:sz w:val="19"/>
                <w:szCs w:val="19"/>
              </w:rPr>
              <w:t xml:space="preserve">full_context (ceiling)</w:t>
            </w:r>
          </w:p>
        </w:tc>
        <w:tc>
          <w:tcPr>
            <w:tcW w:type="dxa" w:w="1560"/>
            <w:tcMar>
              <w:top w:type="dxa" w:w="60"/>
              <w:left w:type="dxa" w:w="110"/>
              <w:bottom w:type="dxa" w:w="60"/>
              <w:right w:type="dxa" w:w="110"/>
            </w:tcMar>
          </w:tcPr>
          <w:p>
            <w:pPr>
              <w:jc w:val="right"/>
            </w:pPr>
            <w:r>
              <w:rPr>
                <w:b w:val="false"/>
                <w:bCs w:val="false"/>
                <w:color w:val="1A1A1A"/>
                <w:sz w:val="19"/>
                <w:szCs w:val="19"/>
              </w:rPr>
              <w:t xml:space="preserve">49.27%</w:t>
            </w:r>
          </w:p>
        </w:tc>
        <w:tc>
          <w:tcPr>
            <w:tcW w:type="dxa" w:w="1560"/>
            <w:tcMar>
              <w:top w:type="dxa" w:w="60"/>
              <w:left w:type="dxa" w:w="110"/>
              <w:bottom w:type="dxa" w:w="60"/>
              <w:right w:type="dxa" w:w="110"/>
            </w:tcMar>
          </w:tcPr>
          <w:p>
            <w:pPr>
              <w:jc w:val="right"/>
            </w:pPr>
            <w:r>
              <w:rPr>
                <w:b w:val="false"/>
                <w:bCs w:val="false"/>
                <w:color w:val="1A1A1A"/>
                <w:sz w:val="19"/>
                <w:szCs w:val="19"/>
              </w:rPr>
              <w:t xml:space="preserve">17%</w:t>
            </w:r>
          </w:p>
        </w:tc>
        <w:tc>
          <w:tcPr>
            <w:tcW w:type="dxa" w:w="1560"/>
            <w:tcMar>
              <w:top w:type="dxa" w:w="60"/>
              <w:left w:type="dxa" w:w="110"/>
              <w:bottom w:type="dxa" w:w="60"/>
              <w:right w:type="dxa" w:w="110"/>
            </w:tcMar>
          </w:tcPr>
          <w:p>
            <w:pPr>
              <w:jc w:val="right"/>
            </w:pPr>
            <w:r>
              <w:rPr>
                <w:b w:val="false"/>
                <w:bCs w:val="false"/>
                <w:color w:val="1A1A1A"/>
                <w:sz w:val="19"/>
                <w:szCs w:val="19"/>
              </w:rPr>
              <w:t xml:space="preserve">18.9M</w:t>
            </w:r>
          </w:p>
        </w:tc>
        <w:tc>
          <w:tcPr>
            <w:tcW w:type="dxa" w:w="1560"/>
            <w:tcMar>
              <w:top w:type="dxa" w:w="60"/>
              <w:left w:type="dxa" w:w="110"/>
              <w:bottom w:type="dxa" w:w="60"/>
              <w:right w:type="dxa" w:w="110"/>
            </w:tcMar>
          </w:tcPr>
          <w:p>
            <w:pPr>
              <w:jc w:val="right"/>
            </w:pPr>
            <w:r>
              <w:rPr>
                <w:b w:val="false"/>
                <w:bCs w:val="false"/>
                <w:color w:val="1A1A1A"/>
                <w:sz w:val="19"/>
                <w:szCs w:val="19"/>
              </w:rPr>
              <w:t xml:space="preserve">68%</w:t>
            </w:r>
          </w:p>
        </w:tc>
      </w:tr>
    </w:tbl>
    <w:p>
      <w:pPr>
        <w:spacing w:after="160" w:before="80"/>
      </w:pPr>
      <w:r>
        <w:rPr>
          <w:i/>
          <w:iCs/>
          <w:color w:val="6B6B6B"/>
          <w:sz w:val="21"/>
          <w:szCs w:val="21"/>
        </w:rPr>
        <w:t xml:space="preserve">sozograph reaches 54% of full context’s accuracy at 9% of its token cost. The compression works. Accuracy was the open problem, and this closed 40% of the gap.</w:t>
      </w:r>
    </w:p>
    <w:p>
      <w:pPr>
        <w:pStyle w:val="Heading1"/>
        <w:spacing w:after="140" w:before="340"/>
      </w:pPr>
      <w:r>
        <w:rPr>
          <w:b/>
          <w:bCs/>
          <w:color w:val="1A1A1A"/>
          <w:sz w:val="30"/>
          <w:szCs w:val="30"/>
        </w:rPr>
        <w:t xml:space="preserve">Why it worked</w:t>
      </w:r>
    </w:p>
    <w:p>
      <w:pPr>
        <w:spacing w:after="140" w:line="276"/>
      </w:pPr>
      <w:r>
        <w:rPr>
          <w:color w:val="1A1A1A"/>
          <w:sz w:val="21"/>
          <w:szCs w:val="21"/>
        </w:rPr>
        <w:t xml:space="preserve">The prior run failed one way, overwhelmingly. sozograph answered “Not mentioned” to 68% of questions. It was not reasoning badly. The answer was not in the rendered memory. The extractor was told to keep “beliefs, not quotes... only what is stable or actionable,” so the incidental detail a single-hop question asks for was discarded before it could ever be retrieved.</w:t>
      </w:r>
    </w:p>
    <w:p>
      <w:pPr>
        <w:spacing w:after="140" w:line="276"/>
      </w:pPr>
      <w:r>
        <w:rPr>
          <w:color w:val="1A1A1A"/>
          <w:sz w:val="21"/>
          <w:szCs w:val="21"/>
        </w:rPr>
        <w:t xml:space="preserve">The fix is the portable form of the atomic-fact memory that leads the LoCoMo recall benchmarks. Extraction now emits observations alongside the belief state: self-contained third-person statements, one per line, ranked against the question by the same pure-Python BM25 and rendered under </w:t>
      </w:r>
      <w:r>
        <w:rPr>
          <w:i/>
          <w:iCs/>
          <w:color w:val="1A1A1A"/>
          <w:sz w:val="21"/>
          <w:szCs w:val="21"/>
        </w:rPr>
        <w:t xml:space="preserve">Details recalled</w:t>
      </w:r>
      <w:r>
        <w:rPr>
          <w:color w:val="1A1A1A"/>
          <w:sz w:val="21"/>
          <w:szCs w:val="21"/>
        </w:rPr>
        <w:t xml:space="preserve">. Abstention fell from 68% to 42%. Single-hop recall more than doubled, 15% to 36%. That category is the bulk of LoCoMo and it drove the gain.</w:t>
      </w:r>
    </w:p>
    <w:p>
      <w:pPr>
        <w:pStyle w:val="Heading1"/>
        <w:spacing w:after="140" w:before="340"/>
      </w:pPr>
      <w:r>
        <w:rPr>
          <w:b/>
          <w:bCs/>
          <w:color w:val="1A1A1A"/>
          <w:sz w:val="30"/>
          <w:szCs w:val="30"/>
        </w:rPr>
        <w:t xml:space="preserve">Where accuracy still leaks</w:t>
      </w:r>
    </w:p>
    <w:p>
      <w:pPr>
        <w:spacing w:after="140" w:line="276"/>
      </w:pPr>
      <w:r>
        <w:rPr>
          <w:color w:val="1A1A1A"/>
          <w:sz w:val="21"/>
          <w:szCs w:val="21"/>
        </w:rPr>
        <w:t xml:space="preserve">The remaining 22-point gap to full context is not uniform. Each category fails its own way.</w:t>
      </w:r>
    </w:p>
    <w:tbl>
      <w:tblPr>
        <w:tblW w:type="dxa" w:w="9360"/>
        <w:tblBorders>
          <w:top w:val="single" w:color="C9C9C9" w:sz="2"/>
          <w:left w:val="none"/>
          <w:bottom w:val="single" w:color="C9C9C9" w:sz="2"/>
          <w:right w:val="none"/>
          <w:insideH w:val="single" w:color="C9C9C9" w:sz="1"/>
          <w:insideV w:val="none"/>
        </w:tblBorders>
      </w:tblPr>
      <w:tblGrid>
        <w:gridCol w:w="2040"/>
        <w:gridCol w:w="1200"/>
        <w:gridCol w:w="1200"/>
        <w:gridCol w:w="1400"/>
        <w:gridCol w:w="1560"/>
        <w:gridCol w:w="1960"/>
      </w:tblGrid>
      <w:tr>
        <w:tc>
          <w:tcPr>
            <w:tcW w:type="dxa" w:w="2040"/>
            <w:shd w:fill="ECECEC" w:color="auto" w:val="clear"/>
            <w:tcMar>
              <w:top w:type="dxa" w:w="60"/>
              <w:left w:type="dxa" w:w="110"/>
              <w:bottom w:type="dxa" w:w="60"/>
              <w:right w:type="dxa" w:w="110"/>
            </w:tcMar>
          </w:tcPr>
          <w:p>
            <w:pPr>
              <w:jc w:val="left"/>
            </w:pPr>
            <w:r>
              <w:rPr>
                <w:b/>
                <w:bCs/>
                <w:color w:val="1A1A1A"/>
                <w:sz w:val="19"/>
                <w:szCs w:val="19"/>
              </w:rPr>
              <w:t xml:space="preserve">Category</w:t>
            </w:r>
          </w:p>
        </w:tc>
        <w:tc>
          <w:tcPr>
            <w:tcW w:type="dxa" w:w="1200"/>
            <w:shd w:fill="ECECEC" w:color="auto" w:val="clear"/>
            <w:tcMar>
              <w:top w:type="dxa" w:w="60"/>
              <w:left w:type="dxa" w:w="110"/>
              <w:bottom w:type="dxa" w:w="60"/>
              <w:right w:type="dxa" w:w="110"/>
            </w:tcMar>
          </w:tcPr>
          <w:p>
            <w:pPr>
              <w:jc w:val="right"/>
            </w:pPr>
            <w:r>
              <w:rPr>
                <w:b/>
                <w:bCs/>
                <w:color w:val="1A1A1A"/>
                <w:sz w:val="19"/>
                <w:szCs w:val="19"/>
              </w:rPr>
              <w:t xml:space="preserve">Correct</w:t>
            </w:r>
          </w:p>
        </w:tc>
        <w:tc>
          <w:tcPr>
            <w:tcW w:type="dxa" w:w="1200"/>
            <w:shd w:fill="ECECEC" w:color="auto" w:val="clear"/>
            <w:tcMar>
              <w:top w:type="dxa" w:w="60"/>
              <w:left w:type="dxa" w:w="110"/>
              <w:bottom w:type="dxa" w:w="60"/>
              <w:right w:type="dxa" w:w="110"/>
            </w:tcMar>
          </w:tcPr>
          <w:p>
            <w:pPr>
              <w:jc w:val="right"/>
            </w:pPr>
            <w:r>
              <w:rPr>
                <w:b/>
                <w:bCs/>
                <w:color w:val="1A1A1A"/>
                <w:sz w:val="19"/>
                <w:szCs w:val="19"/>
              </w:rPr>
              <w:t xml:space="preserve">Abstained</w:t>
            </w:r>
          </w:p>
        </w:tc>
        <w:tc>
          <w:tcPr>
            <w:tcW w:type="dxa" w:w="1400"/>
            <w:shd w:fill="ECECEC" w:color="auto" w:val="clear"/>
            <w:tcMar>
              <w:top w:type="dxa" w:w="60"/>
              <w:left w:type="dxa" w:w="110"/>
              <w:bottom w:type="dxa" w:w="60"/>
              <w:right w:type="dxa" w:w="110"/>
            </w:tcMar>
          </w:tcPr>
          <w:p>
            <w:pPr>
              <w:jc w:val="right"/>
            </w:pPr>
            <w:r>
              <w:rPr>
                <w:b/>
                <w:bCs/>
                <w:color w:val="1A1A1A"/>
                <w:sz w:val="19"/>
                <w:szCs w:val="19"/>
              </w:rPr>
              <w:t xml:space="preserve">Wrong (tried)</w:t>
            </w:r>
          </w:p>
        </w:tc>
        <w:tc>
          <w:tcPr>
            <w:tcW w:type="dxa" w:w="1560"/>
            <w:shd w:fill="ECECEC" w:color="auto" w:val="clear"/>
            <w:tcMar>
              <w:top w:type="dxa" w:w="60"/>
              <w:left w:type="dxa" w:w="110"/>
              <w:bottom w:type="dxa" w:w="60"/>
              <w:right w:type="dxa" w:w="110"/>
            </w:tcMar>
          </w:tcPr>
          <w:p>
            <w:pPr>
              <w:jc w:val="right"/>
            </w:pPr>
            <w:r>
              <w:rPr>
                <w:b/>
                <w:bCs/>
                <w:color w:val="1A1A1A"/>
                <w:sz w:val="19"/>
                <w:szCs w:val="19"/>
              </w:rPr>
              <w:t xml:space="preserve">Recoverable</w:t>
            </w:r>
          </w:p>
        </w:tc>
        <w:tc>
          <w:tcPr>
            <w:tcW w:type="dxa" w:w="1960"/>
            <w:shd w:fill="ECECEC" w:color="auto" w:val="clear"/>
            <w:tcMar>
              <w:top w:type="dxa" w:w="60"/>
              <w:left w:type="dxa" w:w="110"/>
              <w:bottom w:type="dxa" w:w="60"/>
              <w:right w:type="dxa" w:w="110"/>
            </w:tcMar>
          </w:tcPr>
          <w:p>
            <w:pPr>
              <w:jc w:val="right"/>
            </w:pPr>
            <w:r>
              <w:rPr>
                <w:b/>
                <w:bCs/>
                <w:color w:val="1A1A1A"/>
                <w:sz w:val="19"/>
                <w:szCs w:val="19"/>
              </w:rPr>
              <w:t xml:space="preserve">full_context</w:t>
            </w:r>
          </w:p>
        </w:tc>
      </w:tr>
      <w:tr>
        <w:tc>
          <w:tcPr>
            <w:tcW w:type="dxa" w:w="2040"/>
            <w:tcMar>
              <w:top w:type="dxa" w:w="60"/>
              <w:left w:type="dxa" w:w="110"/>
              <w:bottom w:type="dxa" w:w="60"/>
              <w:right w:type="dxa" w:w="110"/>
            </w:tcMar>
          </w:tcPr>
          <w:p>
            <w:pPr>
              <w:jc w:val="left"/>
            </w:pPr>
            <w:r>
              <w:rPr>
                <w:b w:val="false"/>
                <w:bCs w:val="false"/>
                <w:color w:val="1A1A1A"/>
                <w:sz w:val="19"/>
                <w:szCs w:val="19"/>
              </w:rPr>
              <w:t xml:space="preserve">single-hop (480)</w:t>
            </w:r>
          </w:p>
        </w:tc>
        <w:tc>
          <w:tcPr>
            <w:tcW w:type="dxa" w:w="1200"/>
            <w:tcMar>
              <w:top w:type="dxa" w:w="60"/>
              <w:left w:type="dxa" w:w="110"/>
              <w:bottom w:type="dxa" w:w="60"/>
              <w:right w:type="dxa" w:w="110"/>
            </w:tcMar>
          </w:tcPr>
          <w:p>
            <w:pPr>
              <w:jc w:val="right"/>
            </w:pPr>
            <w:r>
              <w:rPr>
                <w:b w:val="false"/>
                <w:bCs w:val="false"/>
                <w:color w:val="1E7A46"/>
                <w:sz w:val="19"/>
                <w:szCs w:val="19"/>
              </w:rPr>
              <w:t xml:space="preserve">36%</w:t>
            </w:r>
          </w:p>
        </w:tc>
        <w:tc>
          <w:tcPr>
            <w:tcW w:type="dxa" w:w="1200"/>
            <w:tcMar>
              <w:top w:type="dxa" w:w="60"/>
              <w:left w:type="dxa" w:w="110"/>
              <w:bottom w:type="dxa" w:w="60"/>
              <w:right w:type="dxa" w:w="110"/>
            </w:tcMar>
          </w:tcPr>
          <w:p>
            <w:pPr>
              <w:jc w:val="right"/>
            </w:pPr>
            <w:r>
              <w:rPr>
                <w:b w:val="false"/>
                <w:bCs w:val="false"/>
                <w:color w:val="1A1A1A"/>
                <w:sz w:val="19"/>
                <w:szCs w:val="19"/>
              </w:rPr>
              <w:t xml:space="preserve">33%</w:t>
            </w:r>
          </w:p>
        </w:tc>
        <w:tc>
          <w:tcPr>
            <w:tcW w:type="dxa" w:w="1400"/>
            <w:tcMar>
              <w:top w:type="dxa" w:w="60"/>
              <w:left w:type="dxa" w:w="110"/>
              <w:bottom w:type="dxa" w:w="60"/>
              <w:right w:type="dxa" w:w="110"/>
            </w:tcMar>
          </w:tcPr>
          <w:p>
            <w:pPr>
              <w:jc w:val="right"/>
            </w:pPr>
            <w:r>
              <w:rPr>
                <w:b w:val="false"/>
                <w:bCs w:val="false"/>
                <w:color w:val="1A1A1A"/>
                <w:sz w:val="19"/>
                <w:szCs w:val="19"/>
              </w:rPr>
              <w:t xml:space="preserve">31%</w:t>
            </w:r>
          </w:p>
        </w:tc>
        <w:tc>
          <w:tcPr>
            <w:tcW w:type="dxa" w:w="1560"/>
            <w:tcMar>
              <w:top w:type="dxa" w:w="60"/>
              <w:left w:type="dxa" w:w="110"/>
              <w:bottom w:type="dxa" w:w="60"/>
              <w:right w:type="dxa" w:w="110"/>
            </w:tcMar>
          </w:tcPr>
          <w:p>
            <w:pPr>
              <w:jc w:val="right"/>
            </w:pPr>
            <w:r>
              <w:rPr>
                <w:b w:val="false"/>
                <w:bCs w:val="false"/>
                <w:color w:val="1A1A1A"/>
                <w:sz w:val="19"/>
                <w:szCs w:val="19"/>
              </w:rPr>
              <w:t xml:space="preserve">39%</w:t>
            </w:r>
          </w:p>
        </w:tc>
        <w:tc>
          <w:tcPr>
            <w:tcW w:type="dxa" w:w="1960"/>
            <w:tcMar>
              <w:top w:type="dxa" w:w="60"/>
              <w:left w:type="dxa" w:w="110"/>
              <w:bottom w:type="dxa" w:w="60"/>
              <w:right w:type="dxa" w:w="110"/>
            </w:tcMar>
          </w:tcPr>
          <w:p>
            <w:pPr>
              <w:jc w:val="right"/>
            </w:pPr>
            <w:r>
              <w:rPr>
                <w:b w:val="false"/>
                <w:bCs w:val="false"/>
                <w:color w:val="1A1A1A"/>
                <w:sz w:val="19"/>
                <w:szCs w:val="19"/>
              </w:rPr>
              <w:t xml:space="preserve">68%</w:t>
            </w:r>
          </w:p>
        </w:tc>
      </w:tr>
      <w:tr>
        <w:tc>
          <w:tcPr>
            <w:tcW w:type="dxa" w:w="2040"/>
            <w:tcMar>
              <w:top w:type="dxa" w:w="60"/>
              <w:left w:type="dxa" w:w="110"/>
              <w:bottom w:type="dxa" w:w="60"/>
              <w:right w:type="dxa" w:w="110"/>
            </w:tcMar>
          </w:tcPr>
          <w:p>
            <w:pPr>
              <w:jc w:val="left"/>
            </w:pPr>
            <w:r>
              <w:rPr>
                <w:b w:val="false"/>
                <w:bCs w:val="false"/>
                <w:color w:val="1A1A1A"/>
                <w:sz w:val="19"/>
                <w:szCs w:val="19"/>
              </w:rPr>
              <w:t xml:space="preserve">multi-hop (172)</w:t>
            </w:r>
          </w:p>
        </w:tc>
        <w:tc>
          <w:tcPr>
            <w:tcW w:type="dxa" w:w="1200"/>
            <w:tcMar>
              <w:top w:type="dxa" w:w="60"/>
              <w:left w:type="dxa" w:w="110"/>
              <w:bottom w:type="dxa" w:w="60"/>
              <w:right w:type="dxa" w:w="110"/>
            </w:tcMar>
          </w:tcPr>
          <w:p>
            <w:pPr>
              <w:jc w:val="right"/>
            </w:pPr>
            <w:r>
              <w:rPr>
                <w:b w:val="false"/>
                <w:bCs w:val="false"/>
                <w:color w:val="1A1A1A"/>
                <w:sz w:val="19"/>
                <w:szCs w:val="19"/>
              </w:rPr>
              <w:t xml:space="preserve">17%</w:t>
            </w:r>
          </w:p>
        </w:tc>
        <w:tc>
          <w:tcPr>
            <w:tcW w:type="dxa" w:w="1200"/>
            <w:tcMar>
              <w:top w:type="dxa" w:w="60"/>
              <w:left w:type="dxa" w:w="110"/>
              <w:bottom w:type="dxa" w:w="60"/>
              <w:right w:type="dxa" w:w="110"/>
            </w:tcMar>
          </w:tcPr>
          <w:p>
            <w:pPr>
              <w:jc w:val="right"/>
            </w:pPr>
            <w:r>
              <w:rPr>
                <w:b w:val="false"/>
                <w:bCs w:val="false"/>
                <w:color w:val="A6321E"/>
                <w:sz w:val="19"/>
                <w:szCs w:val="19"/>
              </w:rPr>
              <w:t xml:space="preserve">44%</w:t>
            </w:r>
          </w:p>
        </w:tc>
        <w:tc>
          <w:tcPr>
            <w:tcW w:type="dxa" w:w="1400"/>
            <w:tcMar>
              <w:top w:type="dxa" w:w="60"/>
              <w:left w:type="dxa" w:w="110"/>
              <w:bottom w:type="dxa" w:w="60"/>
              <w:right w:type="dxa" w:w="110"/>
            </w:tcMar>
          </w:tcPr>
          <w:p>
            <w:pPr>
              <w:jc w:val="right"/>
            </w:pPr>
            <w:r>
              <w:rPr>
                <w:b w:val="false"/>
                <w:bCs w:val="false"/>
                <w:color w:val="A6321E"/>
                <w:sz w:val="19"/>
                <w:szCs w:val="19"/>
              </w:rPr>
              <w:t xml:space="preserve">40%</w:t>
            </w:r>
          </w:p>
        </w:tc>
        <w:tc>
          <w:tcPr>
            <w:tcW w:type="dxa" w:w="1560"/>
            <w:tcMar>
              <w:top w:type="dxa" w:w="60"/>
              <w:left w:type="dxa" w:w="110"/>
              <w:bottom w:type="dxa" w:w="60"/>
              <w:right w:type="dxa" w:w="110"/>
            </w:tcMar>
          </w:tcPr>
          <w:p>
            <w:pPr>
              <w:jc w:val="right"/>
            </w:pPr>
            <w:r>
              <w:rPr>
                <w:b w:val="false"/>
                <w:bCs w:val="false"/>
                <w:color w:val="1A1A1A"/>
                <w:sz w:val="19"/>
                <w:szCs w:val="19"/>
              </w:rPr>
              <w:t xml:space="preserve">24%</w:t>
            </w:r>
          </w:p>
        </w:tc>
        <w:tc>
          <w:tcPr>
            <w:tcW w:type="dxa" w:w="1960"/>
            <w:tcMar>
              <w:top w:type="dxa" w:w="60"/>
              <w:left w:type="dxa" w:w="110"/>
              <w:bottom w:type="dxa" w:w="60"/>
              <w:right w:type="dxa" w:w="110"/>
            </w:tcMar>
          </w:tcPr>
          <w:p>
            <w:pPr>
              <w:jc w:val="right"/>
            </w:pPr>
            <w:r>
              <w:rPr>
                <w:b w:val="false"/>
                <w:bCs w:val="false"/>
                <w:color w:val="1A1A1A"/>
                <w:sz w:val="19"/>
                <w:szCs w:val="19"/>
              </w:rPr>
              <w:t xml:space="preserve">34%</w:t>
            </w:r>
          </w:p>
        </w:tc>
      </w:tr>
      <w:tr>
        <w:tc>
          <w:tcPr>
            <w:tcW w:type="dxa" w:w="2040"/>
            <w:tcMar>
              <w:top w:type="dxa" w:w="60"/>
              <w:left w:type="dxa" w:w="110"/>
              <w:bottom w:type="dxa" w:w="60"/>
              <w:right w:type="dxa" w:w="110"/>
            </w:tcMar>
          </w:tcPr>
          <w:p>
            <w:pPr>
              <w:jc w:val="left"/>
            </w:pPr>
            <w:r>
              <w:rPr>
                <w:b w:val="false"/>
                <w:bCs w:val="false"/>
                <w:color w:val="1A1A1A"/>
                <w:sz w:val="19"/>
                <w:szCs w:val="19"/>
              </w:rPr>
              <w:t xml:space="preserve">temporal (180)</w:t>
            </w:r>
          </w:p>
        </w:tc>
        <w:tc>
          <w:tcPr>
            <w:tcW w:type="dxa" w:w="1200"/>
            <w:tcMar>
              <w:top w:type="dxa" w:w="60"/>
              <w:left w:type="dxa" w:w="110"/>
              <w:bottom w:type="dxa" w:w="60"/>
              <w:right w:type="dxa" w:w="110"/>
            </w:tcMar>
          </w:tcPr>
          <w:p>
            <w:pPr>
              <w:jc w:val="right"/>
            </w:pPr>
            <w:r>
              <w:rPr>
                <w:b w:val="false"/>
                <w:bCs w:val="false"/>
                <w:color w:val="1A1A1A"/>
                <w:sz w:val="19"/>
                <w:szCs w:val="19"/>
              </w:rPr>
              <w:t xml:space="preserve">15%</w:t>
            </w:r>
          </w:p>
        </w:tc>
        <w:tc>
          <w:tcPr>
            <w:tcW w:type="dxa" w:w="1200"/>
            <w:tcMar>
              <w:top w:type="dxa" w:w="60"/>
              <w:left w:type="dxa" w:w="110"/>
              <w:bottom w:type="dxa" w:w="60"/>
              <w:right w:type="dxa" w:w="110"/>
            </w:tcMar>
          </w:tcPr>
          <w:p>
            <w:pPr>
              <w:jc w:val="right"/>
            </w:pPr>
            <w:r>
              <w:rPr>
                <w:b w:val="false"/>
                <w:bCs w:val="false"/>
                <w:color w:val="A6321E"/>
                <w:sz w:val="19"/>
                <w:szCs w:val="19"/>
              </w:rPr>
              <w:t xml:space="preserve">57%</w:t>
            </w:r>
          </w:p>
        </w:tc>
        <w:tc>
          <w:tcPr>
            <w:tcW w:type="dxa" w:w="1400"/>
            <w:tcMar>
              <w:top w:type="dxa" w:w="60"/>
              <w:left w:type="dxa" w:w="110"/>
              <w:bottom w:type="dxa" w:w="60"/>
              <w:right w:type="dxa" w:w="110"/>
            </w:tcMar>
          </w:tcPr>
          <w:p>
            <w:pPr>
              <w:jc w:val="right"/>
            </w:pPr>
            <w:r>
              <w:rPr>
                <w:b w:val="false"/>
                <w:bCs w:val="false"/>
                <w:color w:val="1A1A1A"/>
                <w:sz w:val="19"/>
                <w:szCs w:val="19"/>
              </w:rPr>
              <w:t xml:space="preserve">28%</w:t>
            </w:r>
          </w:p>
        </w:tc>
        <w:tc>
          <w:tcPr>
            <w:tcW w:type="dxa" w:w="1560"/>
            <w:tcMar>
              <w:top w:type="dxa" w:w="60"/>
              <w:left w:type="dxa" w:w="110"/>
              <w:bottom w:type="dxa" w:w="60"/>
              <w:right w:type="dxa" w:w="110"/>
            </w:tcMar>
          </w:tcPr>
          <w:p>
            <w:pPr>
              <w:jc w:val="right"/>
            </w:pPr>
            <w:r>
              <w:rPr>
                <w:b w:val="false"/>
                <w:bCs w:val="false"/>
                <w:color w:val="1A1A1A"/>
                <w:sz w:val="19"/>
                <w:szCs w:val="19"/>
              </w:rPr>
              <w:t xml:space="preserve">17%</w:t>
            </w:r>
          </w:p>
        </w:tc>
        <w:tc>
          <w:tcPr>
            <w:tcW w:type="dxa" w:w="1960"/>
            <w:tcMar>
              <w:top w:type="dxa" w:w="60"/>
              <w:left w:type="dxa" w:w="110"/>
              <w:bottom w:type="dxa" w:w="60"/>
              <w:right w:type="dxa" w:w="110"/>
            </w:tcMar>
          </w:tcPr>
          <w:p>
            <w:pPr>
              <w:jc w:val="right"/>
            </w:pPr>
            <w:r>
              <w:rPr>
                <w:b w:val="false"/>
                <w:bCs w:val="false"/>
                <w:color w:val="1A1A1A"/>
                <w:sz w:val="19"/>
                <w:szCs w:val="19"/>
              </w:rPr>
              <w:t xml:space="preserve">24%</w:t>
            </w:r>
          </w:p>
        </w:tc>
      </w:tr>
      <w:tr>
        <w:tc>
          <w:tcPr>
            <w:tcW w:type="dxa" w:w="2040"/>
            <w:tcMar>
              <w:top w:type="dxa" w:w="60"/>
              <w:left w:type="dxa" w:w="110"/>
              <w:bottom w:type="dxa" w:w="60"/>
              <w:right w:type="dxa" w:w="110"/>
            </w:tcMar>
          </w:tcPr>
          <w:p>
            <w:pPr>
              <w:jc w:val="left"/>
            </w:pPr>
            <w:r>
              <w:rPr>
                <w:b w:val="false"/>
                <w:bCs w:val="false"/>
                <w:color w:val="1A1A1A"/>
                <w:sz w:val="19"/>
                <w:szCs w:val="19"/>
              </w:rPr>
              <w:t xml:space="preserve">open-domain (53)</w:t>
            </w:r>
          </w:p>
        </w:tc>
        <w:tc>
          <w:tcPr>
            <w:tcW w:type="dxa" w:w="1200"/>
            <w:tcMar>
              <w:top w:type="dxa" w:w="60"/>
              <w:left w:type="dxa" w:w="110"/>
              <w:bottom w:type="dxa" w:w="60"/>
              <w:right w:type="dxa" w:w="110"/>
            </w:tcMar>
          </w:tcPr>
          <w:p>
            <w:pPr>
              <w:jc w:val="right"/>
            </w:pPr>
            <w:r>
              <w:rPr>
                <w:b w:val="false"/>
                <w:bCs w:val="false"/>
                <w:color w:val="1A1A1A"/>
                <w:sz w:val="19"/>
                <w:szCs w:val="19"/>
              </w:rPr>
              <w:t xml:space="preserve">17%</w:t>
            </w:r>
          </w:p>
        </w:tc>
        <w:tc>
          <w:tcPr>
            <w:tcW w:type="dxa" w:w="1200"/>
            <w:tcMar>
              <w:top w:type="dxa" w:w="60"/>
              <w:left w:type="dxa" w:w="110"/>
              <w:bottom w:type="dxa" w:w="60"/>
              <w:right w:type="dxa" w:w="110"/>
            </w:tcMar>
          </w:tcPr>
          <w:p>
            <w:pPr>
              <w:jc w:val="right"/>
            </w:pPr>
            <w:r>
              <w:rPr>
                <w:b w:val="false"/>
                <w:bCs w:val="false"/>
                <w:color w:val="1A1A1A"/>
                <w:sz w:val="19"/>
                <w:szCs w:val="19"/>
              </w:rPr>
              <w:t xml:space="preserve">58%</w:t>
            </w:r>
          </w:p>
        </w:tc>
        <w:tc>
          <w:tcPr>
            <w:tcW w:type="dxa" w:w="1400"/>
            <w:tcMar>
              <w:top w:type="dxa" w:w="60"/>
              <w:left w:type="dxa" w:w="110"/>
              <w:bottom w:type="dxa" w:w="60"/>
              <w:right w:type="dxa" w:w="110"/>
            </w:tcMar>
          </w:tcPr>
          <w:p>
            <w:pPr>
              <w:jc w:val="right"/>
            </w:pPr>
            <w:r>
              <w:rPr>
                <w:b w:val="false"/>
                <w:bCs w:val="false"/>
                <w:color w:val="1A1A1A"/>
                <w:sz w:val="19"/>
                <w:szCs w:val="19"/>
              </w:rPr>
              <w:t xml:space="preserve">25%</w:t>
            </w:r>
          </w:p>
        </w:tc>
        <w:tc>
          <w:tcPr>
            <w:tcW w:type="dxa" w:w="1560"/>
            <w:tcMar>
              <w:top w:type="dxa" w:w="60"/>
              <w:left w:type="dxa" w:w="110"/>
              <w:bottom w:type="dxa" w:w="60"/>
              <w:right w:type="dxa" w:w="110"/>
            </w:tcMar>
          </w:tcPr>
          <w:p>
            <w:pPr>
              <w:jc w:val="right"/>
            </w:pPr>
            <w:r>
              <w:rPr>
                <w:b w:val="false"/>
                <w:bCs w:val="false"/>
                <w:color w:val="1A1A1A"/>
                <w:sz w:val="19"/>
                <w:szCs w:val="19"/>
              </w:rPr>
              <w:t xml:space="preserve">6%</w:t>
            </w:r>
          </w:p>
        </w:tc>
        <w:tc>
          <w:tcPr>
            <w:tcW w:type="dxa" w:w="1960"/>
            <w:tcMar>
              <w:top w:type="dxa" w:w="60"/>
              <w:left w:type="dxa" w:w="110"/>
              <w:bottom w:type="dxa" w:w="60"/>
              <w:right w:type="dxa" w:w="110"/>
            </w:tcMar>
          </w:tcPr>
          <w:p>
            <w:pPr>
              <w:jc w:val="right"/>
            </w:pPr>
            <w:r>
              <w:rPr>
                <w:b w:val="false"/>
                <w:bCs w:val="false"/>
                <w:color w:val="1A1A1A"/>
                <w:sz w:val="19"/>
                <w:szCs w:val="19"/>
              </w:rPr>
              <w:t xml:space="preserve">17%</w:t>
            </w:r>
          </w:p>
        </w:tc>
      </w:tr>
    </w:tbl>
    <w:p>
      <w:pPr>
        <w:spacing w:after="160" w:before="80"/>
      </w:pPr>
      <w:r>
        <w:rPr>
          <w:i/>
          <w:iCs/>
          <w:color w:val="6B6B6B"/>
          <w:sz w:val="21"/>
          <w:szCs w:val="21"/>
        </w:rPr>
        <w:t xml:space="preserve">Recoverable = sozograph wrong, full_context right on the same question. It is the accuracy still on the table for a better memory pipeline. open-domain is near zero recoverable: full context fails it too, so it is a backbone knowledge limit, not a memory one.</w:t>
      </w:r>
    </w:p>
    <w:p>
      <w:pPr>
        <w:pStyle w:val="Heading2"/>
        <w:spacing w:after="100" w:before="240"/>
      </w:pPr>
      <w:r>
        <w:rPr>
          <w:b/>
          <w:bCs/>
          <w:color w:val="1A1A1A"/>
          <w:sz w:val="24"/>
          <w:szCs w:val="24"/>
        </w:rPr>
        <w:t xml:space="preserve">Five loss mechanisms</w:t>
      </w:r>
    </w:p>
    <w:p>
      <w:pPr>
        <w:spacing w:after="140" w:line="276"/>
      </w:pPr>
      <w:r>
        <w:rPr>
          <w:b/>
          <w:bCs/>
          <w:color w:val="1A1A1A"/>
          <w:sz w:val="21"/>
          <w:szCs w:val="21"/>
        </w:rPr>
        <w:t xml:space="preserve">1. Extraction recall. </w:t>
      </w:r>
      <w:r>
        <w:rPr>
          <w:color w:val="1A1A1A"/>
          <w:sz w:val="21"/>
          <w:szCs w:val="21"/>
        </w:rPr>
        <w:t xml:space="preserve">The 8B under-emits observations. “What ingredient did Nate use to make the ice cream lactose-free?” (coconut milk) and “When did John meet his teammates?” (Aug 15th) are single facts the extractor simply never wrote down. This is the largest single-hop bucket, 33% abstention, and the literature is blunt about it: extraction quality is the ceiling. AtomMem fine-tuned a 14B model for exactly this.</w:t>
      </w:r>
    </w:p>
    <w:p>
      <w:pPr>
        <w:spacing w:after="140" w:line="276"/>
      </w:pPr>
      <w:r>
        <w:rPr>
          <w:b/>
          <w:bCs/>
          <w:color w:val="1A1A1A"/>
          <w:sz w:val="21"/>
          <w:szCs w:val="21"/>
        </w:rPr>
        <w:t xml:space="preserve">2. Multi-hop aggregation. </w:t>
      </w:r>
      <w:r>
        <w:rPr>
          <w:color w:val="1A1A1A"/>
          <w:sz w:val="21"/>
          <w:szCs w:val="21"/>
        </w:rPr>
        <w:t xml:space="preserve">The answer is spread across several observations and retrieval surfaces one. “What items has Audrey bought for her dogs?” expects “dog tags, toys, dog beds, collars.” sozograph answers “Toys.” It found one observation and stopped. A single BM25 query ranks the best-matching line first; a list answer needs the union of many.</w:t>
      </w:r>
    </w:p>
    <w:p>
      <w:pPr>
        <w:spacing w:after="140" w:line="276"/>
      </w:pPr>
      <w:r>
        <w:rPr>
          <w:b/>
          <w:bCs/>
          <w:color w:val="1A1A1A"/>
          <w:sz w:val="21"/>
          <w:szCs w:val="21"/>
        </w:rPr>
        <w:t xml:space="preserve">3. Temporal has no event date. </w:t>
      </w:r>
      <w:r>
        <w:rPr>
          <w:color w:val="1A1A1A"/>
          <w:sz w:val="21"/>
          <w:szCs w:val="21"/>
        </w:rPr>
        <w:t xml:space="preserve">An observation’s timestamp is when it was discussed, not when the event happened. “When did John go on a European vacation?” (November 2023) abstains even when the vacation was captured, because the date is buried in prose the query cannot filter on. Temporal abstains 57% of the time, the worst of any category.</w:t>
      </w:r>
    </w:p>
    <w:p>
      <w:pPr>
        <w:spacing w:after="140" w:line="276"/>
      </w:pPr>
      <w:r>
        <w:rPr>
          <w:b/>
          <w:bCs/>
          <w:color w:val="1A1A1A"/>
          <w:sz w:val="21"/>
          <w:szCs w:val="21"/>
        </w:rPr>
        <w:t xml:space="preserve">4. Wrong-record disambiguation. </w:t>
      </w:r>
      <w:r>
        <w:rPr>
          <w:color w:val="1A1A1A"/>
          <w:sz w:val="21"/>
          <w:szCs w:val="21"/>
        </w:rPr>
        <w:t xml:space="preserve">“What flavor did Nate make on 25 February 2022?” expects “chocolate and vanilla swirl.” sozograph answers “coconut milk,” a different ice-cream observation. Many similar records exist and ranking picked the wrong one because the date constraint in the question was never used to rank.</w:t>
      </w:r>
    </w:p>
    <w:p>
      <w:pPr>
        <w:spacing w:after="140" w:line="276"/>
      </w:pPr>
      <w:r>
        <w:rPr>
          <w:b/>
          <w:bCs/>
          <w:color w:val="1A1A1A"/>
          <w:sz w:val="21"/>
          <w:szCs w:val="21"/>
        </w:rPr>
        <w:t xml:space="preserve">5. Confident garbage on thin context. </w:t>
      </w:r>
      <w:r>
        <w:rPr>
          <w:color w:val="1A1A1A"/>
          <w:sz w:val="21"/>
          <w:szCs w:val="21"/>
        </w:rPr>
        <w:t xml:space="preserve">“When did Jon start learning marketing?” answered “title.” “When did Maria go hiking?” answered “classic.” When the context holds nothing useful, the weak model emits a stray token instead of abstaining. It does not lower the ceiling, it just turns a clean miss into noise that is harder to read.</w:t>
      </w:r>
    </w:p>
    <w:p>
      <w:r>
        <w:br w:type="page"/>
      </w:r>
    </w:p>
    <w:p>
      <w:pPr>
        <w:pStyle w:val="Heading1"/>
        <w:spacing w:after="140" w:before="340"/>
      </w:pPr>
      <w:r>
        <w:rPr>
          <w:b/>
          <w:bCs/>
          <w:color w:val="1A1A1A"/>
          <w:sz w:val="30"/>
          <w:szCs w:val="30"/>
        </w:rPr>
        <w:t xml:space="preserve">How to improve</w:t>
      </w:r>
    </w:p>
    <w:p>
      <w:pPr>
        <w:spacing w:after="140" w:line="276"/>
      </w:pPr>
      <w:r>
        <w:rPr>
          <w:color w:val="1A1A1A"/>
          <w:sz w:val="21"/>
          <w:szCs w:val="21"/>
        </w:rPr>
        <w:t xml:space="preserve">Ranked by expected accuracy per unit of effort. Every item holds the portability line: pydantic records ranked in pure Python, no vectors, no embeddings, no weights.</w:t>
      </w:r>
    </w:p>
    <w:p>
      <w:pPr>
        <w:pStyle w:val="ListParagraph"/>
        <w:numPr>
          <w:ilvl w:val="0"/>
          <w:numId w:val="2"/>
        </w:numPr>
        <w:spacing w:after="120" w:line="270"/>
      </w:pPr>
      <w:r>
        <w:rPr>
          <w:b/>
          <w:bCs/>
          <w:color w:val="1A1A1A"/>
          <w:sz w:val="21"/>
          <w:szCs w:val="21"/>
        </w:rPr>
        <w:t xml:space="preserve">Event-dated observations. </w:t>
      </w:r>
      <w:r>
        <w:rPr>
          <w:color w:val="1A1A1A"/>
          <w:sz w:val="21"/>
          <w:szCs w:val="21"/>
        </w:rPr>
        <w:t xml:space="preserve">Add an optional absolute date to an observation, the day the event happened, which the extractor already resolves in prose. Temporal queries then filter and sort on it, and the ice-cream-by-date disambiguation works. One datetime field. Highest leverage for the worst category.</w:t>
      </w:r>
    </w:p>
    <w:p>
      <w:pPr>
        <w:pStyle w:val="ListParagraph"/>
        <w:numPr>
          <w:ilvl w:val="0"/>
          <w:numId w:val="2"/>
        </w:numPr>
        <w:spacing w:after="120" w:line="270"/>
      </w:pPr>
      <w:r>
        <w:rPr>
          <w:b/>
          <w:bCs/>
          <w:color w:val="1A1A1A"/>
          <w:sz w:val="21"/>
          <w:szCs w:val="21"/>
        </w:rPr>
        <w:t xml:space="preserve">Entity-expanded retrieval. </w:t>
      </w:r>
      <w:r>
        <w:rPr>
          <w:color w:val="1A1A1A"/>
          <w:sz w:val="21"/>
          <w:szCs w:val="21"/>
        </w:rPr>
        <w:t xml:space="preserve">When a question names a person or thing, pull every observation about that entity through the participant index, then rank. This surfaces the union a list answer needs and attacks multi-hop’s 40% wrong-attempt rate. This is Mem0’s entity signal, in pure Python.</w:t>
      </w:r>
    </w:p>
    <w:p>
      <w:pPr>
        <w:pStyle w:val="ListParagraph"/>
        <w:numPr>
          <w:ilvl w:val="0"/>
          <w:numId w:val="2"/>
        </w:numPr>
        <w:spacing w:after="120" w:line="270"/>
      </w:pPr>
      <w:r>
        <w:rPr>
          <w:b/>
          <w:bCs/>
          <w:color w:val="1A1A1A"/>
          <w:sz w:val="21"/>
          <w:szCs w:val="21"/>
        </w:rPr>
        <w:t xml:space="preserve">Raise the render budget. </w:t>
      </w:r>
      <w:r>
        <w:rPr>
          <w:color w:val="1A1A1A"/>
          <w:sz w:val="21"/>
          <w:szCs w:val="21"/>
        </w:rPr>
        <w:t xml:space="preserve">multi-hop and temporal abstain most, which means too few records reach the prompt. Sweep budget-chars past 6000. Cheapest test of the aggregation hypothesis.</w:t>
      </w:r>
    </w:p>
    <w:p>
      <w:pPr>
        <w:pStyle w:val="ListParagraph"/>
        <w:numPr>
          <w:ilvl w:val="0"/>
          <w:numId w:val="2"/>
        </w:numPr>
        <w:spacing w:after="120" w:line="270"/>
      </w:pPr>
      <w:r>
        <w:rPr>
          <w:b/>
          <w:bCs/>
          <w:color w:val="1A1A1A"/>
          <w:sz w:val="21"/>
          <w:szCs w:val="21"/>
        </w:rPr>
        <w:t xml:space="preserve">Lift extraction recall. </w:t>
      </w:r>
      <w:r>
        <w:rPr>
          <w:color w:val="1A1A1A"/>
          <w:sz w:val="21"/>
          <w:szCs w:val="21"/>
        </w:rPr>
        <w:t xml:space="preserve">Few-shot the extractor with examples of good atomic observations, shrink segments so each is covered more densely, and raise the observation cap. The durable version is a stronger extraction backbone. Extraction quality is the ceiling, so this is the biggest long-run lever.</w:t>
      </w:r>
    </w:p>
    <w:p>
      <w:pPr>
        <w:pStyle w:val="ListParagraph"/>
        <w:numPr>
          <w:ilvl w:val="0"/>
          <w:numId w:val="2"/>
        </w:numPr>
        <w:spacing w:after="120" w:line="270"/>
      </w:pPr>
      <w:r>
        <w:rPr>
          <w:b/>
          <w:bCs/>
          <w:color w:val="1A1A1A"/>
          <w:sz w:val="21"/>
          <w:szCs w:val="21"/>
        </w:rPr>
        <w:t xml:space="preserve">Harden the answer prompt. </w:t>
      </w:r>
      <w:r>
        <w:rPr>
          <w:color w:val="1A1A1A"/>
          <w:sz w:val="21"/>
          <w:szCs w:val="21"/>
        </w:rPr>
        <w:t xml:space="preserve">Instruct the QA step to answer exactly “Not mentioned” when the detail is absent. Removes the “title” / “classic” garbage. It buys honesty and cleaner analysis more than raw points.</w:t>
      </w:r>
    </w:p>
    <w:p>
      <w:pPr>
        <w:pStyle w:val="ListParagraph"/>
        <w:numPr>
          <w:ilvl w:val="0"/>
          <w:numId w:val="2"/>
        </w:numPr>
        <w:spacing w:after="120" w:line="270"/>
      </w:pPr>
      <w:r>
        <w:rPr>
          <w:b/>
          <w:bCs/>
          <w:color w:val="1A1A1A"/>
          <w:sz w:val="21"/>
          <w:szCs w:val="21"/>
        </w:rPr>
        <w:t xml:space="preserve">Fair-fight backbone. </w:t>
      </w:r>
      <w:r>
        <w:rPr>
          <w:color w:val="1A1A1A"/>
          <w:sz w:val="21"/>
          <w:szCs w:val="21"/>
        </w:rPr>
        <w:t xml:space="preserve">full context reaches only 49% on this 8B. A GPT-4o-mini-class model scores around 73% on LightMem’s own table. Much of the residual is the model, not the architecture. A stronger backbone lifts extraction and answering together.</w:t>
      </w:r>
    </w:p>
    <w:p>
      <w:pPr>
        <w:pStyle w:val="Heading1"/>
        <w:spacing w:after="140" w:before="340"/>
      </w:pPr>
      <w:r>
        <w:rPr>
          <w:b/>
          <w:bCs/>
          <w:color w:val="1A1A1A"/>
          <w:sz w:val="30"/>
          <w:szCs w:val="30"/>
        </w:rPr>
        <w:t xml:space="preserve">Bottom line</w:t>
      </w:r>
    </w:p>
    <w:p>
      <w:pPr>
        <w:spacing w:after="140" w:line="276"/>
      </w:pPr>
      <w:r>
        <w:rPr>
          <w:color w:val="1A1A1A"/>
          <w:sz w:val="21"/>
          <w:szCs w:val="21"/>
        </w:rPr>
        <w:t xml:space="preserve">The regression was extraction coverage, and the atomic observation layer fixed the largest part of it: single-hop recall, at a doubling of overall accuracy and no change to the install surface. What remains splits cleanly. Temporal needs a date on each observation. Multi-hop needs the union of an entity’s observations. Both are small, portable changes. The rest is backbone. Read 26.67% as directional. The architecture is now sound enough that the next honest number needs a real model behind it.</w:t>
      </w:r>
    </w:p>
    <w:p>
      <w:pPr>
        <w:pStyle w:val="Heading2"/>
        <w:spacing w:after="100" w:before="240"/>
      </w:pPr>
      <w:r>
        <w:rPr>
          <w:b/>
          <w:bCs/>
          <w:color w:val="1A1A1A"/>
          <w:sz w:val="24"/>
          <w:szCs w:val="24"/>
        </w:rPr>
        <w:t xml:space="preserve">Methodology</w:t>
      </w:r>
    </w:p>
    <w:p>
      <w:pPr>
        <w:pStyle w:val="ListParagraph"/>
        <w:numPr>
          <w:ilvl w:val="0"/>
          <w:numId w:val="3"/>
        </w:numPr>
        <w:spacing w:after="90" w:line="270"/>
      </w:pPr>
      <w:r>
        <w:rPr>
          <w:color w:val="1A1A1A"/>
          <w:sz w:val="21"/>
          <w:szCs w:val="21"/>
        </w:rPr>
        <w:t xml:space="preserve">Data: LoCoMo, conversations 0–5 (conv-26, 30, 41, 42, 43, 44), four non-adversarial categories, 885 questions.</w:t>
      </w:r>
    </w:p>
    <w:p>
      <w:pPr>
        <w:pStyle w:val="ListParagraph"/>
        <w:numPr>
          <w:ilvl w:val="0"/>
          <w:numId w:val="3"/>
        </w:numPr>
        <w:spacing w:after="90" w:line="270"/>
      </w:pPr>
      <w:r>
        <w:rPr>
          <w:color w:val="1A1A1A"/>
          <w:sz w:val="21"/>
          <w:szCs w:val="21"/>
        </w:rPr>
        <w:t xml:space="preserve">Backbone and judge: Unsloth Llama-3.1-8B-Instruct Q4_K_M, served by Ollama on a Kaggle GPU. Same model for memory, answering, and grading.</w:t>
      </w:r>
    </w:p>
    <w:p>
      <w:pPr>
        <w:pStyle w:val="ListParagraph"/>
        <w:numPr>
          <w:ilvl w:val="0"/>
          <w:numId w:val="3"/>
        </w:numPr>
        <w:spacing w:after="90" w:line="270"/>
      </w:pPr>
      <w:r>
        <w:rPr>
          <w:color w:val="1A1A1A"/>
          <w:sz w:val="21"/>
          <w:szCs w:val="21"/>
        </w:rPr>
        <w:t xml:space="preserve">Flags held constant across the before and after runs: budget-chars 6000, segment-tokens 800, num-ctx 8192 (sozograph) / 32768 (full_context). Only the library commit changed.</w:t>
      </w:r>
    </w:p>
    <w:p>
      <w:pPr>
        <w:pStyle w:val="ListParagraph"/>
        <w:numPr>
          <w:ilvl w:val="0"/>
          <w:numId w:val="3"/>
        </w:numPr>
        <w:spacing w:after="90" w:line="270"/>
      </w:pPr>
      <w:r>
        <w:rPr>
          <w:color w:val="1A1A1A"/>
          <w:sz w:val="21"/>
          <w:szCs w:val="21"/>
        </w:rPr>
        <w:t xml:space="preserve">Fixes measured: atomic observation layer (b4a81e4) and per-segment ingest guard (96a88dc), branch atomic-observations. The guard let all six conversations complete; the prior run lost conv-44 to one segment’s extraction failure.</w:t>
      </w:r>
    </w:p>
    <w:p>
      <w:pPr>
        <w:pStyle w:val="ListParagraph"/>
        <w:numPr>
          <w:ilvl w:val="0"/>
          <w:numId w:val="3"/>
        </w:numPr>
        <w:spacing w:after="90" w:line="270"/>
      </w:pPr>
      <w:r>
        <w:rPr>
          <w:color w:val="1A1A1A"/>
          <w:sz w:val="21"/>
          <w:szCs w:val="21"/>
        </w:rPr>
        <w:t xml:space="preserve">Cost: sozograph 1.74M tokens (0.42M memory build, 1.32M answering), full_context 18.9M tokens. 10.9x cheaper.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2026-08-26T10:09:42.222Z</dcterms:created>
  <dcterms:modified xsi:type="dcterms:W3CDTF">2026-08-26T10:09:42.223Z</dcterms:modified>
</cp:coreProperties>
</file>

<file path=docProps/custom.xml><?xml version="1.0" encoding="utf-8"?>
<Properties xmlns="http://schemas.openxmlformats.org/officeDocument/2006/custom-properties" xmlns:vt="http://schemas.openxmlformats.org/officeDocument/2006/docPropsVTypes"/>
</file>