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ENGINEERING STRATEGY</w:t>
      </w:r>
    </w:p>
    <w:p>
      <w:pPr>
        <w:pStyle w:val="Title"/>
      </w:pPr>
      <w:r>
        <w:t>SozoGraph Portable Memory Passport Engineering Plan</w:t>
      </w:r>
    </w:p>
    <w:p>
      <w:pPr>
        <w:pStyle w:val="Subtitle"/>
      </w:pPr>
      <w:r>
        <w:t>Architecture Mathematics Benchmarks and Delivery Plan</w:t>
      </w:r>
    </w:p>
    <w:p>
      <w:pPr>
        <w:pStyle w:val="Smalllabel"/>
      </w:pPr>
      <w:r>
        <w:t>6 September 2026</w:t>
      </w:r>
    </w:p>
    <w:p>
      <w:pPr>
        <w:spacing w:after="360"/>
      </w:pPr>
    </w:p>
    <w:p>
      <w:pPr>
        <w:spacing w:before="100" w:after="140"/>
      </w:pPr>
      <w:r>
        <w:rPr>
          <w:b/>
          <w:color w:val="000000"/>
        </w:rPr>
        <w:t xml:space="preserve">Decision  </w:t>
      </w:r>
      <w:r>
        <w:t>We will build the passport as a governed source of truth. We will compile it into fast retrieval sidecars. This structure preserves portability and gives us room to beat systems that bind memory to one model or database.</w:t>
      </w:r>
    </w:p>
    <w:p>
      <w:pPr>
        <w:spacing w:after="240"/>
      </w:pPr>
    </w:p>
    <w:p>
      <w:r>
        <w:t>The target is a local first memory system with deterministic state, strong evidence, temporal truth, secure sharing, and measured answer quality. Every advanced component remains optional. A valid passport stays readable without a server, vector database, or language model.</w:t>
      </w:r>
    </w:p>
    <w:p>
      <w:r>
        <w:t>This plan covers the product shape, mathematical model, optimization sequence, benchmark program, security controls, interoperability contract, and sixteen week delivery path.</w:t>
      </w:r>
    </w:p>
    <w:p>
      <w:r>
        <w:br w:type="page"/>
      </w:r>
    </w:p>
    <w:p>
      <w:pPr>
        <w:pStyle w:val="Heading1"/>
      </w:pPr>
      <w:r>
        <w:t>Contents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0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8"/>
              </w:rPr>
              <w:t>Section</w:t>
            </w:r>
          </w:p>
        </w:tc>
        <w:tc>
          <w:tcPr>
            <w:tcW w:type="dxa" w:w="777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8"/>
              </w:rPr>
              <w:t>Subject</w:t>
            </w:r>
          </w:p>
        </w:tc>
        <w:tc>
          <w:tcPr>
            <w:tcW w:type="dxa" w:w="86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8"/>
              </w:rPr>
              <w:t>Page</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Executive decision</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3</w:t>
            </w:r>
          </w:p>
        </w:tc>
      </w:tr>
      <w:tr>
        <w:trPr>
          <w:cantSplit/>
        </w:trPr>
        <w:tc>
          <w:tcPr>
            <w:tcW w:type="dxa" w:w="10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2</w:t>
            </w:r>
          </w:p>
        </w:tc>
        <w:tc>
          <w:tcPr>
            <w:tcW w:type="dxa" w:w="77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Current SozoGraph baseline</w:t>
            </w:r>
          </w:p>
        </w:tc>
        <w:tc>
          <w:tcPr>
            <w:tcW w:type="dxa" w:w="8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4</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3</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Frontier systems and lessons</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5</w:t>
            </w:r>
          </w:p>
        </w:tc>
      </w:tr>
      <w:tr>
        <w:trPr>
          <w:cantSplit/>
        </w:trPr>
        <w:tc>
          <w:tcPr>
            <w:tcW w:type="dxa" w:w="10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4</w:t>
            </w:r>
          </w:p>
        </w:tc>
        <w:tc>
          <w:tcPr>
            <w:tcW w:type="dxa" w:w="77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Target architecture</w:t>
            </w:r>
          </w:p>
        </w:tc>
        <w:tc>
          <w:tcPr>
            <w:tcW w:type="dxa" w:w="8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6</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5</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Passport 3 data model</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7</w:t>
            </w:r>
          </w:p>
        </w:tc>
      </w:tr>
      <w:tr>
        <w:trPr>
          <w:cantSplit/>
        </w:trPr>
        <w:tc>
          <w:tcPr>
            <w:tcW w:type="dxa" w:w="10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6</w:t>
            </w:r>
          </w:p>
        </w:tc>
        <w:tc>
          <w:tcPr>
            <w:tcW w:type="dxa" w:w="77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Mathematical design</w:t>
            </w:r>
          </w:p>
        </w:tc>
        <w:tc>
          <w:tcPr>
            <w:tcW w:type="dxa" w:w="8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9</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7</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Optimization strategy</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15</w:t>
            </w:r>
          </w:p>
        </w:tc>
      </w:tr>
      <w:tr>
        <w:trPr>
          <w:cantSplit/>
        </w:trPr>
        <w:tc>
          <w:tcPr>
            <w:tcW w:type="dxa" w:w="10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8</w:t>
            </w:r>
          </w:p>
        </w:tc>
        <w:tc>
          <w:tcPr>
            <w:tcW w:type="dxa" w:w="77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Benchmark and release gates</w:t>
            </w:r>
          </w:p>
        </w:tc>
        <w:tc>
          <w:tcPr>
            <w:tcW w:type="dxa" w:w="8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16</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9</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Delivery plan</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18</w:t>
            </w:r>
          </w:p>
        </w:tc>
      </w:tr>
      <w:tr>
        <w:trPr>
          <w:cantSplit/>
        </w:trPr>
        <w:tc>
          <w:tcPr>
            <w:tcW w:type="dxa" w:w="10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10</w:t>
            </w:r>
          </w:p>
        </w:tc>
        <w:tc>
          <w:tcPr>
            <w:tcW w:type="dxa" w:w="77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Risks and decisions</w:t>
            </w:r>
          </w:p>
        </w:tc>
        <w:tc>
          <w:tcPr>
            <w:tcW w:type="dxa" w:w="8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20</w:t>
            </w:r>
          </w:p>
        </w:tc>
      </w:tr>
      <w:tr>
        <w:trPr>
          <w:cantSplit/>
        </w:trPr>
        <w:tc>
          <w:tcPr>
            <w:tcW w:type="dxa" w:w="10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11</w:t>
            </w:r>
          </w:p>
        </w:tc>
        <w:tc>
          <w:tcPr>
            <w:tcW w:type="dxa" w:w="77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References</w:t>
            </w:r>
          </w:p>
        </w:tc>
        <w:tc>
          <w:tcPr>
            <w:tcW w:type="dxa" w:w="8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8"/>
              </w:rPr>
              <w:t>21</w:t>
            </w:r>
          </w:p>
        </w:tc>
      </w:tr>
      <w:tr>
        <w:tc>
          <w:tcPr>
            <w:tcW w:type="dxa" w:w="1008"/>
            <w:vAlign w:val="center"/>
            <w:tcBorders>
              <w:top w:val="single" w:sz="4" w:color="D9D9D9"/>
              <w:start w:val="single" w:sz="4" w:color="D9D9D9"/>
              <w:bottom w:val="single" w:sz="4" w:color="D9D9D9"/>
              <w:end w:val="single" w:sz="4" w:color="D9D9D9"/>
              <w:insideH w:val="single" w:sz="4" w:color="D9D9D9"/>
              <w:insideV w:val="single" w:sz="4" w:color="D9D9D9"/>
            </w:tcBorders>
          </w:tcPr>
          <w:p>
            <w:pPr>
              <w:jc w:val="center"/>
            </w:pPr>
            <w:r>
              <w:t>Appendix</w:t>
            </w:r>
          </w:p>
        </w:tc>
        <w:tc>
          <w:tcPr>
            <w:tcW w:type="dxa" w:w="7776"/>
            <w:vAlign w:val="center"/>
            <w:tcBorders>
              <w:top w:val="single" w:sz="4" w:color="D9D9D9"/>
              <w:start w:val="single" w:sz="4" w:color="D9D9D9"/>
              <w:bottom w:val="single" w:sz="4" w:color="D9D9D9"/>
              <w:end w:val="single" w:sz="4" w:color="D9D9D9"/>
              <w:insideH w:val="single" w:sz="4" w:color="D9D9D9"/>
              <w:insideV w:val="single" w:sz="4" w:color="D9D9D9"/>
            </w:tcBorders>
          </w:tcPr>
          <w:p>
            <w:pPr>
              <w:jc w:val="left"/>
            </w:pPr>
            <w:r>
              <w:t>Implementation status September 2026</w:t>
            </w:r>
          </w:p>
        </w:tc>
        <w:tc>
          <w:tcPr>
            <w:tcW w:type="dxa" w:w="864"/>
            <w:vAlign w:val="center"/>
            <w:tcBorders>
              <w:top w:val="single" w:sz="4" w:color="D9D9D9"/>
              <w:start w:val="single" w:sz="4" w:color="D9D9D9"/>
              <w:bottom w:val="single" w:sz="4" w:color="D9D9D9"/>
              <w:end w:val="single" w:sz="4" w:color="D9D9D9"/>
              <w:insideH w:val="single" w:sz="4" w:color="D9D9D9"/>
              <w:insideV w:val="single" w:sz="4" w:color="D9D9D9"/>
            </w:tcBorders>
          </w:tcPr>
          <w:p>
            <w:pPr>
              <w:jc w:val="center"/>
            </w:pPr>
            <w:r>
              <w:t>22</w:t>
            </w:r>
          </w:p>
        </w:tc>
      </w:tr>
      <w:tr>
        <w:tc>
          <w:tcPr>
            <w:tcW w:type="dxa" w:w="3293"/>
          </w:tcPr>
          <w:p>
            <w:r>
              <w:t>12</w:t>
            </w:r>
          </w:p>
        </w:tc>
        <w:tc>
          <w:tcPr>
            <w:tcW w:type="dxa" w:w="3293"/>
          </w:tcPr>
          <w:p>
            <w:r>
              <w:t>Vector meaning strategy</w:t>
            </w:r>
          </w:p>
        </w:tc>
        <w:tc>
          <w:tcPr>
            <w:tcW w:type="dxa" w:w="3293"/>
          </w:tcPr>
          <w:p>
            <w:r>
              <w:t>24</w:t>
            </w:r>
          </w:p>
        </w:tc>
      </w:tr>
    </w:tbl>
    <w:p>
      <w:pPr>
        <w:spacing w:after="20"/>
      </w:pPr>
    </w:p>
    <w:p>
      <w:pPr>
        <w:pStyle w:val="Heading2"/>
      </w:pPr>
      <w:r>
        <w:t>Reading guide</w:t>
      </w:r>
    </w:p>
    <w:p>
      <w:r>
        <w:t>The first five sections define the system. Section six gives the mathematical model. Section seven turns the mathematics into an optimization sequence. Sections eight and nine define proof and delivery.</w:t>
      </w:r>
    </w:p>
    <w:p>
      <w:r>
        <w:br w:type="page"/>
      </w:r>
    </w:p>
    <w:p>
      <w:pPr>
        <w:pStyle w:val="Heading1"/>
      </w:pPr>
      <w:r>
        <w:t>1 Executive decision</w:t>
      </w:r>
    </w:p>
    <w:p>
      <w:pPr>
        <w:spacing w:before="100" w:after="140"/>
      </w:pPr>
      <w:r>
        <w:rPr>
          <w:b/>
          <w:color w:val="000000"/>
        </w:rPr>
        <w:t xml:space="preserve">Product claim  </w:t>
      </w:r>
      <w:r>
        <w:t>A SozoGraph passport is a portable memory authority. It carries facts, preferences, events, procedures, relations, policy, evidence, history, and deletion state. It can be compiled into any retrieval engine.</w:t>
      </w:r>
    </w:p>
    <w:p>
      <w:pPr>
        <w:pStyle w:val="Heading2"/>
      </w:pPr>
      <w:r>
        <w:t>What winning means</w:t>
      </w:r>
    </w:p>
    <w:p>
      <w:pPr>
        <w:pStyle w:val="ListBullet"/>
        <w:spacing w:after="60"/>
      </w:pPr>
      <w:r>
        <w:t>Answer quality reaches or exceeds the strongest published memory systems on LoCoMo, LongMemEval, and BEAM.</w:t>
      </w:r>
    </w:p>
    <w:p>
      <w:pPr>
        <w:pStyle w:val="ListBullet"/>
        <w:spacing w:after="60"/>
      </w:pPr>
      <w:r>
        <w:t>Evidence recall stays above 97 percent before answer generation.</w:t>
      </w:r>
    </w:p>
    <w:p>
      <w:pPr>
        <w:pStyle w:val="ListBullet"/>
        <w:spacing w:after="60"/>
      </w:pPr>
      <w:r>
        <w:t>The canonical file round trips and merges deterministically.</w:t>
      </w:r>
    </w:p>
    <w:p>
      <w:pPr>
        <w:pStyle w:val="ListBullet"/>
        <w:spacing w:after="60"/>
      </w:pPr>
      <w:r>
        <w:t>Deletion reaches every derived index and cache.</w:t>
      </w:r>
    </w:p>
    <w:p>
      <w:pPr>
        <w:pStyle w:val="ListBullet"/>
        <w:spacing w:after="60"/>
      </w:pPr>
      <w:r>
        <w:t>Imported text cannot raise its own authority.</w:t>
      </w:r>
    </w:p>
    <w:p>
      <w:pPr>
        <w:pStyle w:val="ListBullet"/>
        <w:spacing w:after="60"/>
      </w:pPr>
      <w:r>
        <w:t>A basic reader works with one file and no network service.</w:t>
      </w:r>
    </w:p>
    <w:p>
      <w:pPr>
        <w:pStyle w:val="Heading2"/>
      </w:pPr>
      <w:r>
        <w:t>Strategic rule</w:t>
      </w:r>
    </w:p>
    <w:p>
      <w:r>
        <w:t>The canonical layer owns truth, identity, provenance, policy, and history. Sidecars own speed and learned ranking. Sidecars can be rebuilt. The passport remains stable.</w:t>
      </w:r>
    </w:p>
    <w:p>
      <w:pPr>
        <w:pStyle w:val="Heading2"/>
      </w:pPr>
      <w:r>
        <w:t>Why this can win</w:t>
      </w:r>
    </w:p>
    <w:p>
      <w:r>
        <w:t>Current leaders optimize memory extraction, graph retrieval, temporal reasoning, and token cost. Portability efforts optimize interchange and deletion. SozoGraph can combine both lines. The combination is still rare in public systems.</w:t>
      </w:r>
    </w:p>
    <w:p>
      <w:r>
        <w:t>The strongest engineering advantage is measurable separation. We can locate a failure in writing, projection, retrieval, context selection, reasoning, or evaluation. Each layer receives its own metric and release gate.</w:t>
      </w:r>
    </w:p>
    <w:p>
      <w:r>
        <w:br w:type="page"/>
      </w:r>
    </w:p>
    <w:p>
      <w:pPr>
        <w:pStyle w:val="Heading1"/>
      </w:pPr>
      <w:r>
        <w:t>2 Current SozoGraph baseline</w:t>
      </w:r>
    </w:p>
    <w:p>
      <w:r>
        <w:t>SozoGraph already has a useful base. Version 0.2.1 stores facts, preferences, observations, entities, sources, and metadata. It can render compact context and retrieve with lexical ranking. The test suite passes under the module runner with 181 passing tests and 4 skipped live provider tests.</w:t>
      </w:r>
    </w:p>
    <w:p>
      <w:pPr>
        <w:pStyle w:val="Heading2"/>
      </w:pPr>
      <w:r>
        <w:t>Strengths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Area</w:t>
            </w:r>
          </w:p>
        </w:tc>
        <w:tc>
          <w:tcPr>
            <w:tcW w:type="dxa" w:w="446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Present capability</w:t>
            </w:r>
          </w:p>
        </w:tc>
        <w:tc>
          <w:tcPr>
            <w:tcW w:type="dxa" w:w="374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Value</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Portability</w:t>
            </w:r>
          </w:p>
        </w:tc>
        <w:tc>
          <w:tcPr>
            <w:tcW w:type="dxa" w:w="44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Single readable JSON passport</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Simple inspection and transfer</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Retrieval</w:t>
            </w:r>
          </w:p>
        </w:tc>
        <w:tc>
          <w:tcPr>
            <w:tcW w:type="dxa" w:w="44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BM25 style lexical ranking and entity expansion</w:t>
            </w:r>
          </w:p>
        </w:tc>
        <w:tc>
          <w:tcPr>
            <w:tcW w:type="dxa" w:w="374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Strong local baseline</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Rendering</w:t>
            </w:r>
          </w:p>
        </w:tc>
        <w:tc>
          <w:tcPr>
            <w:tcW w:type="dxa" w:w="44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Budgeted plain text context</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Low integration cost</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Schema</w:t>
            </w:r>
          </w:p>
        </w:tc>
        <w:tc>
          <w:tcPr>
            <w:tcW w:type="dxa" w:w="44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Typed facts preferences observations entities and sources</w:t>
            </w:r>
          </w:p>
        </w:tc>
        <w:tc>
          <w:tcPr>
            <w:tcW w:type="dxa" w:w="374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Clear initial model</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Prompts</w:t>
            </w:r>
          </w:p>
        </w:tc>
        <w:tc>
          <w:tcPr>
            <w:tcW w:type="dxa" w:w="44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Extraction and update prompts</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Working ingestion path</w:t>
            </w:r>
          </w:p>
        </w:tc>
      </w:tr>
    </w:tbl>
    <w:p>
      <w:pPr>
        <w:spacing w:after="20"/>
      </w:pPr>
    </w:p>
    <w:p>
      <w:pPr>
        <w:pStyle w:val="Heading2"/>
      </w:pPr>
      <w:r>
        <w:t>Limits that block state of the art</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Gap</w:t>
            </w:r>
          </w:p>
        </w:tc>
        <w:tc>
          <w:tcPr>
            <w:tcW w:type="dxa" w:w="388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Current effect</w:t>
            </w:r>
          </w:p>
        </w:tc>
        <w:tc>
          <w:tcPr>
            <w:tcW w:type="dxa" w:w="403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Required change</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Stable identity</w:t>
            </w:r>
          </w:p>
        </w:tc>
        <w:tc>
          <w:tcPr>
            <w:tcW w:type="dxa" w:w="388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Facts and preferences lack durable record identifiers</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Add immutable IDs and event history</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Time</w:t>
            </w:r>
          </w:p>
        </w:tc>
        <w:tc>
          <w:tcPr>
            <w:tcW w:type="dxa" w:w="388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Observations carry one date</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Add valid time and transaction time intervals</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Evidence</w:t>
            </w:r>
          </w:p>
        </w:tc>
        <w:tc>
          <w:tcPr>
            <w:tcW w:type="dxa" w:w="388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Source links are coarse</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Add exact evidence spans and derivation links</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Lifecycle</w:t>
            </w:r>
          </w:p>
        </w:tc>
        <w:tc>
          <w:tcPr>
            <w:tcW w:type="dxa" w:w="388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No supersession expiry or tombstones</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Add explicit state transitions and deletion propagation</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Relations</w:t>
            </w:r>
          </w:p>
        </w:tc>
        <w:tc>
          <w:tcPr>
            <w:tcW w:type="dxa" w:w="388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Entities lack a typed relation graph</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Add relation records and graph projections</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Memory classes</w:t>
            </w:r>
          </w:p>
        </w:tc>
        <w:tc>
          <w:tcPr>
            <w:tcW w:type="dxa" w:w="388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No procedures episodes outcomes or policy records</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Expand the type system</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Security</w:t>
            </w:r>
          </w:p>
        </w:tc>
        <w:tc>
          <w:tcPr>
            <w:tcW w:type="dxa" w:w="388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No authority or sensitivity gate</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Bind authority to origin and filter before ranking</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Portability</w:t>
            </w:r>
          </w:p>
        </w:tc>
        <w:tc>
          <w:tcPr>
            <w:tcW w:type="dxa" w:w="388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Unknown fields move under metadata</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Preserve unknown fields and unknown kinds exactly</w:t>
            </w:r>
          </w:p>
        </w:tc>
      </w:tr>
    </w:tbl>
    <w:p>
      <w:pPr>
        <w:spacing w:after="20"/>
      </w:pPr>
    </w:p>
    <w:p>
      <w:pPr>
        <w:pStyle w:val="Heading2"/>
      </w:pPr>
      <w:r>
        <w:t>Baseline decision</w:t>
      </w:r>
    </w:p>
    <w:p>
      <w:r>
        <w:t>Keep the compact JSON profile as a friendly view. Add an append only event form as the canonical state. Generate the compact profile from that log. Existing users retain a simple file. Advanced users gain audit, merge, deletion, and temporal reconstruction.</w:t>
      </w:r>
    </w:p>
    <w:p>
      <w:r>
        <w:br w:type="page"/>
      </w:r>
    </w:p>
    <w:p>
      <w:pPr>
        <w:pStyle w:val="Heading1"/>
      </w:pPr>
      <w:r>
        <w:t>3 Frontier systems and lessons</w:t>
      </w:r>
    </w:p>
    <w:p>
      <w:r>
        <w:t>The literature points to six useful mechanisms. Each solves a distinct failure mode. We should combine them through clear interfaces.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Approach</w:t>
            </w:r>
          </w:p>
        </w:tc>
        <w:tc>
          <w:tcPr>
            <w:tcW w:type="dxa" w:w="417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Core mechanism</w:t>
            </w:r>
          </w:p>
        </w:tc>
        <w:tc>
          <w:tcPr>
            <w:tcW w:type="dxa" w:w="403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Lesson for SozoGraph</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Mem0</w:t>
            </w:r>
          </w:p>
        </w:tc>
        <w:tc>
          <w:tcPr>
            <w:tcW w:type="dxa" w:w="41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LLM extracts candidate memories and selects add update delete or no operation</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Use explicit write actions and a verifier. Keep the policy pluggable. [1] [2]</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LightMem</w:t>
            </w:r>
          </w:p>
        </w:tc>
        <w:tc>
          <w:tcPr>
            <w:tcW w:type="dxa" w:w="41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Token compression topic segmentation and deferred consolidation</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Separate online capture from offline maintenance. Measure calls and tokens. [3]</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MEM</w:t>
            </w:r>
          </w:p>
        </w:tc>
        <w:tc>
          <w:tcPr>
            <w:tcW w:type="dxa" w:w="41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Atomic notes gain tags embeddings links and evolving context</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Create small records and enrich them through background projections. [4]</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AtomMem</w:t>
            </w:r>
          </w:p>
        </w:tc>
        <w:tc>
          <w:tcPr>
            <w:tcW w:type="dxa" w:w="41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learned CRUD policy receives task outcome reward</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Learn write policy after deterministic telemetry is strong. [5]</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HippoRAG 2</w:t>
            </w:r>
          </w:p>
        </w:tc>
        <w:tc>
          <w:tcPr>
            <w:tcW w:type="dxa" w:w="41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Knowledge graph retrieval uses query seeding and Personalized PageRank</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graph propagation for associative and multi hop questions. [6]</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Graphiti</w:t>
            </w:r>
          </w:p>
        </w:tc>
        <w:tc>
          <w:tcPr>
            <w:tcW w:type="dxa" w:w="417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bitemporal graph tracks changing facts and provenance</w:t>
            </w:r>
          </w:p>
        </w:tc>
        <w:tc>
          <w:tcPr>
            <w:tcW w:type="dxa" w:w="40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Represent valid time and ingestion time on every claim. [7] [8]</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LangMem</w:t>
            </w:r>
          </w:p>
        </w:tc>
        <w:tc>
          <w:tcPr>
            <w:tcW w:type="dxa" w:w="417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Semantic episodic and procedural memories have separate roles</w:t>
            </w:r>
          </w:p>
        </w:tc>
        <w:tc>
          <w:tcPr>
            <w:tcW w:type="dxa" w:w="40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Use distinct record classes and retrieval plans. [9]</w:t>
            </w:r>
          </w:p>
        </w:tc>
      </w:tr>
    </w:tbl>
    <w:p>
      <w:pPr>
        <w:spacing w:after="20"/>
      </w:pPr>
    </w:p>
    <w:p>
      <w:pPr>
        <w:pStyle w:val="Heading2"/>
      </w:pPr>
      <w:r>
        <w:t>Published frontier</w:t>
      </w:r>
    </w:p>
    <w:p>
      <w:r>
        <w:t>Mem0 reports 92.5 on LoCoMo, 94.4 on LongMemEval, 64.1 on BEAM at one million tokens, and 48.6 on BEAM at ten million tokens for its managed April 2026 system. The same report gives a median latency range of 0.88 to 1.05 seconds and a context size near 7,000 tokens. These numbers are our public reference line. They come from a proprietary managed implementation. [1]</w:t>
      </w:r>
    </w:p>
    <w:p>
      <w:r>
        <w:t>Graphiti reports 94.8 on its deep memory retrieval measure and up to 18.5 percent improvement on LongMemEval, with large latency reductions in its reported setup. [7] HippoRAG 2 reports a seven point gain in associative memory against its strongest embedding baseline. [6]</w:t>
      </w:r>
    </w:p>
    <w:p>
      <w:pPr>
        <w:pStyle w:val="Heading2"/>
      </w:pPr>
      <w:r>
        <w:t>Portability projects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Project</w:t>
            </w:r>
          </w:p>
        </w:tc>
        <w:tc>
          <w:tcPr>
            <w:tcW w:type="dxa" w:w="460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Useful contract</w:t>
            </w:r>
          </w:p>
        </w:tc>
        <w:tc>
          <w:tcPr>
            <w:tcW w:type="dxa" w:w="331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Adoption plan</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Portable Memory</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Canonical JSONL bundle checksums evidence bitemporal fields tombstones signatures and conformance levels</w:t>
            </w:r>
          </w:p>
        </w:tc>
        <w:tc>
          <w:tcPr>
            <w:tcW w:type="dxa" w:w="331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Implement levels zero through two as an import and export profile. Preserve unknown fields. [15]</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OAMP</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JSON Schema Protobuf provenance privacy export and deletion</w:t>
            </w:r>
          </w:p>
        </w:tc>
        <w:tc>
          <w:tcPr>
            <w:tcW w:type="dxa" w:w="331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Map the core schema and publish adapters. [16]</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OMIR</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Interchange record concepts for agent memory</w:t>
            </w:r>
          </w:p>
        </w:tc>
        <w:tc>
          <w:tcPr>
            <w:tcW w:type="dxa" w:w="331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Track field mappings and conformance tests. [17]</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PAM</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Portable personal memory concepts</w:t>
            </w:r>
          </w:p>
        </w:tc>
        <w:tc>
          <w:tcPr>
            <w:tcW w:type="dxa" w:w="331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Use as a compatibility signal. [18]</w:t>
            </w:r>
          </w:p>
        </w:tc>
      </w:tr>
    </w:tbl>
    <w:p>
      <w:pPr>
        <w:spacing w:after="20"/>
      </w:pPr>
    </w:p>
    <w:p>
      <w:r>
        <w:br w:type="page"/>
      </w:r>
    </w:p>
    <w:p>
      <w:pPr>
        <w:pStyle w:val="Heading1"/>
      </w:pPr>
      <w:r>
        <w:t>4 Target architecture</w:t>
      </w:r>
    </w:p>
    <w:p>
      <w:pPr>
        <w:spacing w:before="160"/>
      </w:pPr>
      <w:r>
        <w:t>The architecture has one canonical stream and several disposable projections.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7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Stage</w:t>
            </w:r>
          </w:p>
        </w:tc>
        <w:tc>
          <w:tcPr>
            <w:tcW w:type="dxa" w:w="532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Purpose</w:t>
            </w:r>
          </w:p>
        </w:tc>
        <w:tc>
          <w:tcPr>
            <w:tcW w:type="dxa" w:w="244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Persistent output</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1 Origin bound ingestion</w:t>
            </w:r>
          </w:p>
        </w:tc>
        <w:tc>
          <w:tcPr>
            <w:tcW w:type="dxa" w:w="53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Capture text events files and tool results with issuer and trust context</w:t>
            </w:r>
          </w:p>
        </w:tc>
        <w:tc>
          <w:tcPr>
            <w:tcW w:type="dxa" w:w="244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Raw evidence and import receipt</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2 Immutable event ledger</w:t>
            </w:r>
          </w:p>
        </w:tc>
        <w:tc>
          <w:tcPr>
            <w:tcW w:type="dxa" w:w="53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Record create amend supersede retract expire and delete events</w:t>
            </w:r>
          </w:p>
        </w:tc>
        <w:tc>
          <w:tcPr>
            <w:tcW w:type="dxa" w:w="244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Canonical passport stream</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3 Typed projections</w:t>
            </w:r>
          </w:p>
        </w:tc>
        <w:tc>
          <w:tcPr>
            <w:tcW w:type="dxa" w:w="53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Build claims episodes procedures relations policies and resource references</w:t>
            </w:r>
          </w:p>
        </w:tc>
        <w:tc>
          <w:tcPr>
            <w:tcW w:type="dxa" w:w="244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Materialized portable views</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4 Retrieval sidecars</w:t>
            </w:r>
          </w:p>
        </w:tc>
        <w:tc>
          <w:tcPr>
            <w:tcW w:type="dxa" w:w="53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Build lexical dense graph temporal and entity indexes</w:t>
            </w:r>
          </w:p>
        </w:tc>
        <w:tc>
          <w:tcPr>
            <w:tcW w:type="dxa" w:w="244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Rebuildable local indexes</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5 Query planning</w:t>
            </w:r>
          </w:p>
        </w:tc>
        <w:tc>
          <w:tcPr>
            <w:tcW w:type="dxa" w:w="53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Select intent specific retrievers and evidence windows</w:t>
            </w:r>
          </w:p>
        </w:tc>
        <w:tc>
          <w:tcPr>
            <w:tcW w:type="dxa" w:w="244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Candidate set with trace</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6 Policy and context</w:t>
            </w:r>
          </w:p>
        </w:tc>
        <w:tc>
          <w:tcPr>
            <w:tcW w:type="dxa" w:w="53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Apply access rules deduplicate diversify and fit the token budget</w:t>
            </w:r>
          </w:p>
        </w:tc>
        <w:tc>
          <w:tcPr>
            <w:tcW w:type="dxa" w:w="244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Evidence packet for the model</w:t>
            </w:r>
          </w:p>
        </w:tc>
      </w:tr>
    </w:tbl>
    <w:p>
      <w:pPr>
        <w:spacing w:after="20"/>
      </w:pPr>
    </w:p>
    <w:p>
      <w:pPr>
        <w:pStyle w:val="Heading2"/>
      </w:pPr>
      <w:r>
        <w:t>Canonical boundary</w:t>
      </w:r>
    </w:p>
    <w:p>
      <w:r>
        <w:t>The ledger is the authority. Every projection records its source event IDs and build version. A damaged index can be removed and rebuilt. A disputed claim can be traced to exact evidence. A deletion event can enumerate every affected artifact.</w:t>
      </w:r>
    </w:p>
    <w:p>
      <w:pPr>
        <w:pStyle w:val="Heading2"/>
      </w:pPr>
      <w:r>
        <w:t>Query plans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Intent</w:t>
            </w:r>
          </w:p>
        </w:tc>
        <w:tc>
          <w:tcPr>
            <w:tcW w:type="dxa" w:w="504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Primary route</w:t>
            </w:r>
          </w:p>
        </w:tc>
        <w:tc>
          <w:tcPr>
            <w:tcW w:type="dxa" w:w="288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Special rule</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Current state</w:t>
            </w:r>
          </w:p>
        </w:tc>
        <w:tc>
          <w:tcPr>
            <w:tcW w:type="dxa" w:w="50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Valid claims plus latest transaction state</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Exclude superseded and expired claims</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Historical state</w:t>
            </w:r>
          </w:p>
        </w:tc>
        <w:tc>
          <w:tcPr>
            <w:tcW w:type="dxa" w:w="50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Bitemporal interval filter plus evidence</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Answer from the requested valid time</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Timeline</w:t>
            </w:r>
          </w:p>
        </w:tc>
        <w:tc>
          <w:tcPr>
            <w:tcW w:type="dxa" w:w="50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Event and episode retrieval</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Order by valid time and preserve uncertainty</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Associative</w:t>
            </w:r>
          </w:p>
        </w:tc>
        <w:tc>
          <w:tcPr>
            <w:tcW w:type="dxa" w:w="50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Dense seeds plus graph propagation</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Return supporting paths</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Multi hop</w:t>
            </w:r>
          </w:p>
        </w:tc>
        <w:tc>
          <w:tcPr>
            <w:tcW w:type="dxa" w:w="50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Entity and relation expansion plus reranking</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Require evidence for each edge</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Preference</w:t>
            </w:r>
          </w:p>
        </w:tc>
        <w:tc>
          <w:tcPr>
            <w:tcW w:type="dxa" w:w="50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Scoped preference records</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Honor audience purpose and recency</w:t>
            </w:r>
          </w:p>
        </w:tc>
      </w:tr>
      <w:tr>
        <w:trPr>
          <w:cantSplit/>
        </w:trPr>
        <w:tc>
          <w:tcPr>
            <w:tcW w:type="dxa" w:w="172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Procedure</w:t>
            </w:r>
          </w:p>
        </w:tc>
        <w:tc>
          <w:tcPr>
            <w:tcW w:type="dxa" w:w="50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Procedure and outcome retrieval</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Prefer verified successful variants</w:t>
            </w:r>
          </w:p>
        </w:tc>
      </w:tr>
      <w:tr>
        <w:trPr>
          <w:cantSplit/>
        </w:trPr>
        <w:tc>
          <w:tcPr>
            <w:tcW w:type="dxa" w:w="172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Unknown</w:t>
            </w:r>
          </w:p>
        </w:tc>
        <w:tc>
          <w:tcPr>
            <w:tcW w:type="dxa" w:w="50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Broad hybrid search</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Abstain when evidence coverage is low</w:t>
            </w:r>
          </w:p>
        </w:tc>
      </w:tr>
    </w:tbl>
    <w:p>
      <w:pPr>
        <w:spacing w:after="20"/>
      </w:pPr>
    </w:p>
    <w:p>
      <w:pPr>
        <w:pStyle w:val="Heading2"/>
      </w:pPr>
      <w:r>
        <w:t>Deployment shape</w:t>
      </w:r>
    </w:p>
    <w:p>
      <w:pPr>
        <w:pStyle w:val="ListBullet"/>
        <w:spacing w:after="60"/>
      </w:pPr>
      <w:r>
        <w:t>Core package reads validates merges and renders the passport.</w:t>
      </w:r>
    </w:p>
    <w:p>
      <w:pPr>
        <w:pStyle w:val="ListBullet"/>
        <w:spacing w:after="60"/>
      </w:pPr>
      <w:r>
        <w:t>Local sidecar adds SQLite FTS dense vectors and graph adjacency.</w:t>
      </w:r>
    </w:p>
    <w:p>
      <w:pPr>
        <w:pStyle w:val="ListBullet"/>
        <w:spacing w:after="60"/>
      </w:pPr>
      <w:r>
        <w:t>MCP surface exposes search inspect write correct delete export and audit.</w:t>
      </w:r>
    </w:p>
    <w:p>
      <w:pPr>
        <w:pStyle w:val="ListBullet"/>
        <w:spacing w:after="60"/>
      </w:pPr>
      <w:r>
        <w:t>Cloud services can add stronger embedding reranking and policy learning.</w:t>
      </w:r>
    </w:p>
    <w:p>
      <w:pPr>
        <w:pStyle w:val="ListBullet"/>
        <w:spacing w:after="60"/>
      </w:pPr>
      <w:r>
        <w:t>Every cloud feature has a local fallback and a declared capability flag.</w:t>
      </w:r>
    </w:p>
    <w:p>
      <w:pPr>
        <w:pStyle w:val="Heading1"/>
      </w:pPr>
      <w:r>
        <w:t>5 Passport 3 data model</w:t>
      </w:r>
    </w:p>
    <w:p>
      <w:r>
        <w:t>Every memory item carries identity, meaning, time, evidence, authority, policy, lifecycle, and integrity.</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1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Field group</w:t>
            </w:r>
          </w:p>
        </w:tc>
        <w:tc>
          <w:tcPr>
            <w:tcW w:type="dxa" w:w="763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7"/>
              </w:rPr>
              <w:t>Required content</w:t>
            </w:r>
          </w:p>
        </w:tc>
      </w:tr>
      <w:tr>
        <w:trPr>
          <w:cantSplit/>
        </w:trPr>
        <w:tc>
          <w:tcPr>
            <w:tcW w:type="dxa" w:w="201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Identity</w:t>
            </w:r>
          </w:p>
        </w:tc>
        <w:tc>
          <w:tcPr>
            <w:tcW w:type="dxa" w:w="76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id type schema version namespace</w:t>
            </w:r>
          </w:p>
        </w:tc>
      </w:tr>
      <w:tr>
        <w:trPr>
          <w:cantSplit/>
        </w:trPr>
        <w:tc>
          <w:tcPr>
            <w:tcW w:type="dxa" w:w="201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Meaning</w:t>
            </w:r>
          </w:p>
        </w:tc>
        <w:tc>
          <w:tcPr>
            <w:tcW w:type="dxa" w:w="76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subject predicate object content tags entities</w:t>
            </w:r>
          </w:p>
        </w:tc>
      </w:tr>
      <w:tr>
        <w:trPr>
          <w:cantSplit/>
        </w:trPr>
        <w:tc>
          <w:tcPr>
            <w:tcW w:type="dxa" w:w="201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Time</w:t>
            </w:r>
          </w:p>
        </w:tc>
        <w:tc>
          <w:tcPr>
            <w:tcW w:type="dxa" w:w="76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created at observed at valid from valid to transaction interval</w:t>
            </w:r>
          </w:p>
        </w:tc>
      </w:tr>
      <w:tr>
        <w:trPr>
          <w:cantSplit/>
        </w:trPr>
        <w:tc>
          <w:tcPr>
            <w:tcW w:type="dxa" w:w="201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Evidence</w:t>
            </w:r>
          </w:p>
        </w:tc>
        <w:tc>
          <w:tcPr>
            <w:tcW w:type="dxa" w:w="76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source id exact span content digest extraction method</w:t>
            </w:r>
          </w:p>
        </w:tc>
      </w:tr>
      <w:tr>
        <w:trPr>
          <w:cantSplit/>
        </w:trPr>
        <w:tc>
          <w:tcPr>
            <w:tcW w:type="dxa" w:w="201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Authority</w:t>
            </w:r>
          </w:p>
        </w:tc>
        <w:tc>
          <w:tcPr>
            <w:tcW w:type="dxa" w:w="76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issuer origin actor authority class confidence basis</w:t>
            </w:r>
          </w:p>
        </w:tc>
      </w:tr>
      <w:tr>
        <w:trPr>
          <w:cantSplit/>
        </w:trPr>
        <w:tc>
          <w:tcPr>
            <w:tcW w:type="dxa" w:w="201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Policy</w:t>
            </w:r>
          </w:p>
        </w:tc>
        <w:tc>
          <w:tcPr>
            <w:tcW w:type="dxa" w:w="76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audience purpose sensitivity consent expiry</w:t>
            </w:r>
          </w:p>
        </w:tc>
      </w:tr>
      <w:tr>
        <w:trPr>
          <w:cantSplit/>
        </w:trPr>
        <w:tc>
          <w:tcPr>
            <w:tcW w:type="dxa" w:w="201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Lifecycle</w:t>
            </w:r>
          </w:p>
        </w:tc>
        <w:tc>
          <w:tcPr>
            <w:tcW w:type="dxa" w:w="763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active superseded retracted expired deleted and links to prior records</w:t>
            </w:r>
          </w:p>
        </w:tc>
      </w:tr>
      <w:tr>
        <w:trPr>
          <w:cantSplit/>
        </w:trPr>
        <w:tc>
          <w:tcPr>
            <w:tcW w:type="dxa" w:w="201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Integrity</w:t>
            </w:r>
          </w:p>
        </w:tc>
        <w:tc>
          <w:tcPr>
            <w:tcW w:type="dxa" w:w="763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7"/>
              </w:rPr>
              <w:t>canonical content hash signature and extension preservation</w:t>
            </w:r>
          </w:p>
        </w:tc>
      </w:tr>
    </w:tbl>
    <w:p>
      <w:pPr>
        <w:spacing w:after="20"/>
      </w:pPr>
    </w:p>
    <w:p>
      <w:pPr>
        <w:pStyle w:val="Heading2"/>
      </w:pPr>
      <w:r>
        <w:t>Memory types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58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Type</w:t>
            </w:r>
          </w:p>
        </w:tc>
        <w:tc>
          <w:tcPr>
            <w:tcW w:type="dxa" w:w="4608"/>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Meaning</w:t>
            </w:r>
          </w:p>
        </w:tc>
        <w:tc>
          <w:tcPr>
            <w:tcW w:type="dxa" w:w="345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Example use</w:t>
            </w:r>
          </w:p>
        </w:tc>
      </w:tr>
      <w:tr>
        <w:trPr>
          <w:cantSplit/>
        </w:trPr>
        <w:tc>
          <w:tcPr>
            <w:tcW w:type="dxa" w:w="158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Claim</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proposition with evidence and time</w:t>
            </w:r>
          </w:p>
        </w:tc>
        <w:tc>
          <w:tcPr>
            <w:tcW w:type="dxa" w:w="34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Current employer</w:t>
            </w:r>
          </w:p>
        </w:tc>
      </w:tr>
      <w:tr>
        <w:trPr>
          <w:cantSplit/>
        </w:trPr>
        <w:tc>
          <w:tcPr>
            <w:tcW w:type="dxa" w:w="158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Preference</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scoped choice with strength and conditions</w:t>
            </w:r>
          </w:p>
        </w:tc>
        <w:tc>
          <w:tcPr>
            <w:tcW w:type="dxa" w:w="34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Writing style</w:t>
            </w:r>
          </w:p>
        </w:tc>
      </w:tr>
      <w:tr>
        <w:trPr>
          <w:cantSplit/>
        </w:trPr>
        <w:tc>
          <w:tcPr>
            <w:tcW w:type="dxa" w:w="158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Correction</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 explicit replacement or rejection</w:t>
            </w:r>
          </w:p>
        </w:tc>
        <w:tc>
          <w:tcPr>
            <w:tcW w:type="dxa" w:w="34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Name spelling</w:t>
            </w:r>
          </w:p>
        </w:tc>
      </w:tr>
      <w:tr>
        <w:trPr>
          <w:cantSplit/>
        </w:trPr>
        <w:tc>
          <w:tcPr>
            <w:tcW w:type="dxa" w:w="158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Episode</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 event with participants and outcome</w:t>
            </w:r>
          </w:p>
        </w:tc>
        <w:tc>
          <w:tcPr>
            <w:tcW w:type="dxa" w:w="34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Meeting decision</w:t>
            </w:r>
          </w:p>
        </w:tc>
      </w:tr>
      <w:tr>
        <w:trPr>
          <w:cantSplit/>
        </w:trPr>
        <w:tc>
          <w:tcPr>
            <w:tcW w:type="dxa" w:w="158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Observation</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sensed or reported state</w:t>
            </w:r>
          </w:p>
        </w:tc>
        <w:tc>
          <w:tcPr>
            <w:tcW w:type="dxa" w:w="34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Device state</w:t>
            </w:r>
          </w:p>
        </w:tc>
      </w:tr>
      <w:tr>
        <w:trPr>
          <w:cantSplit/>
        </w:trPr>
        <w:tc>
          <w:tcPr>
            <w:tcW w:type="dxa" w:w="158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Goal</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desired state and open loop</w:t>
            </w:r>
          </w:p>
        </w:tc>
        <w:tc>
          <w:tcPr>
            <w:tcW w:type="dxa" w:w="34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Finish a migration</w:t>
            </w:r>
          </w:p>
        </w:tc>
      </w:tr>
      <w:tr>
        <w:trPr>
          <w:cantSplit/>
        </w:trPr>
        <w:tc>
          <w:tcPr>
            <w:tcW w:type="dxa" w:w="158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Procedure</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reusable sequence and success evidence</w:t>
            </w:r>
          </w:p>
        </w:tc>
        <w:tc>
          <w:tcPr>
            <w:tcW w:type="dxa" w:w="34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Release process</w:t>
            </w:r>
          </w:p>
        </w:tc>
      </w:tr>
      <w:tr>
        <w:trPr>
          <w:cantSplit/>
        </w:trPr>
        <w:tc>
          <w:tcPr>
            <w:tcW w:type="dxa" w:w="158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Relation</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typed edge between entities</w:t>
            </w:r>
          </w:p>
        </w:tc>
        <w:tc>
          <w:tcPr>
            <w:tcW w:type="dxa" w:w="34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Works at</w:t>
            </w:r>
          </w:p>
        </w:tc>
      </w:tr>
      <w:tr>
        <w:trPr>
          <w:cantSplit/>
        </w:trPr>
        <w:tc>
          <w:tcPr>
            <w:tcW w:type="dxa" w:w="158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Policy</w:t>
            </w:r>
          </w:p>
        </w:tc>
        <w:tc>
          <w:tcPr>
            <w:tcW w:type="dxa" w:w="4608"/>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rule for use disclosure or retention</w:t>
            </w:r>
          </w:p>
        </w:tc>
        <w:tc>
          <w:tcPr>
            <w:tcW w:type="dxa" w:w="34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Private to one workspace</w:t>
            </w:r>
          </w:p>
        </w:tc>
      </w:tr>
      <w:tr>
        <w:trPr>
          <w:cantSplit/>
        </w:trPr>
        <w:tc>
          <w:tcPr>
            <w:tcW w:type="dxa" w:w="158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Resource</w:t>
            </w:r>
          </w:p>
        </w:tc>
        <w:tc>
          <w:tcPr>
            <w:tcW w:type="dxa" w:w="4608"/>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 durable reference to an external artifact</w:t>
            </w:r>
          </w:p>
        </w:tc>
        <w:tc>
          <w:tcPr>
            <w:tcW w:type="dxa" w:w="34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Document or repository</w:t>
            </w:r>
          </w:p>
        </w:tc>
      </w:tr>
    </w:tbl>
    <w:p>
      <w:pPr>
        <w:spacing w:after="20"/>
      </w:pPr>
    </w:p>
    <w:p>
      <w:r>
        <w:br w:type="page"/>
      </w:r>
    </w:p>
    <w:p>
      <w:pPr>
        <w:pStyle w:val="Heading2"/>
      </w:pPr>
      <w:r>
        <w:t>Normative record sketch</w:t>
      </w:r>
    </w:p>
    <w:p>
      <w:pPr>
        <w:pStyle w:val="Codeblock"/>
        <w:shd w:fill="F5F7FA"/>
      </w:pPr>
      <w:r>
        <w:t>{ "id": "mem_01...", "type": "claim", "schema": "3.0",</w:t>
      </w:r>
    </w:p>
    <w:p>
      <w:pPr>
        <w:pStyle w:val="Codeblock"/>
        <w:shd w:fill="F5F7FA"/>
      </w:pPr>
      <w:r>
        <w:t xml:space="preserve">  "subject": "entity:user", "predicate": "prefers_style",</w:t>
      </w:r>
    </w:p>
    <w:p>
      <w:pPr>
        <w:pStyle w:val="Codeblock"/>
        <w:shd w:fill="F5F7FA"/>
      </w:pPr>
      <w:r>
        <w:t xml:space="preserve">  "object": "simple spare declarative prose",</w:t>
      </w:r>
    </w:p>
    <w:p>
      <w:pPr>
        <w:pStyle w:val="Codeblock"/>
        <w:shd w:fill="F5F7FA"/>
      </w:pPr>
      <w:r>
        <w:t xml:space="preserve">  "valid": {"from": "2026-09-05", "to": null},</w:t>
      </w:r>
    </w:p>
    <w:p>
      <w:pPr>
        <w:pStyle w:val="Codeblock"/>
        <w:shd w:fill="F5F7FA"/>
      </w:pPr>
      <w:r>
        <w:t xml:space="preserve">  "transaction": {"from": "2026-09-05T08:15:00Z", "to": null},</w:t>
      </w:r>
    </w:p>
    <w:p>
      <w:pPr>
        <w:pStyle w:val="Codeblock"/>
        <w:shd w:fill="F5F7FA"/>
      </w:pPr>
      <w:r>
        <w:t xml:space="preserve">  "evidence": [{"source": "src_01", "start": 41, "end": 91}],</w:t>
      </w:r>
    </w:p>
    <w:p>
      <w:pPr>
        <w:pStyle w:val="Codeblock"/>
        <w:shd w:fill="F5F7FA"/>
      </w:pPr>
      <w:r>
        <w:t xml:space="preserve">  "authority": {"origin": "user", "class": "self_asserted"},</w:t>
      </w:r>
    </w:p>
    <w:p>
      <w:pPr>
        <w:pStyle w:val="Codeblock"/>
        <w:shd w:fill="F5F7FA"/>
      </w:pPr>
      <w:r>
        <w:t xml:space="preserve">  "policy": {"audience": ["owner"], "sensitivity": "personal"},</w:t>
      </w:r>
    </w:p>
    <w:p>
      <w:pPr>
        <w:pStyle w:val="Codeblock"/>
        <w:shd w:fill="F5F7FA"/>
      </w:pPr>
      <w:r>
        <w:t xml:space="preserve">  "status": "active", "supersedes": [], "extensions": {} }</w:t>
      </w:r>
    </w:p>
    <w:p>
      <w:pPr>
        <w:pStyle w:val="Heading2"/>
      </w:pPr>
      <w:r>
        <w:t>Determinism rules</w:t>
      </w:r>
    </w:p>
    <w:p>
      <w:pPr>
        <w:pStyle w:val="ListBullet"/>
        <w:spacing w:after="60"/>
      </w:pPr>
      <w:r>
        <w:t>Canonical JSON uses RFC 8785 serialization. [19]</w:t>
      </w:r>
    </w:p>
    <w:p>
      <w:pPr>
        <w:pStyle w:val="ListBullet"/>
        <w:spacing w:after="60"/>
      </w:pPr>
      <w:r>
        <w:t>Schema validation uses JSON Schema 2020 12. [20]</w:t>
      </w:r>
    </w:p>
    <w:p>
      <w:pPr>
        <w:pStyle w:val="ListBullet"/>
        <w:spacing w:after="60"/>
      </w:pPr>
      <w:r>
        <w:t>IDs are stable and content hashes exclude mutable transport fields.</w:t>
      </w:r>
    </w:p>
    <w:p>
      <w:pPr>
        <w:pStyle w:val="ListBullet"/>
        <w:spacing w:after="60"/>
      </w:pPr>
      <w:r>
        <w:t>Unknown fields and unknown kinds survive import export and merge.</w:t>
      </w:r>
    </w:p>
    <w:p>
      <w:pPr>
        <w:pStyle w:val="ListBullet"/>
        <w:spacing w:after="60"/>
      </w:pPr>
      <w:r>
        <w:t>Merge order uses hybrid logical time actor ID and event ID.</w:t>
      </w:r>
    </w:p>
    <w:p>
      <w:pPr>
        <w:pStyle w:val="ListBullet"/>
        <w:spacing w:after="60"/>
      </w:pPr>
      <w:r>
        <w:t>Tombstones win over stale replicas after the deletion authority check.</w:t>
      </w:r>
    </w:p>
    <w:p>
      <w:r>
        <w:br w:type="page"/>
      </w:r>
    </w:p>
    <w:p>
      <w:pPr>
        <w:pStyle w:val="Heading1"/>
      </w:pPr>
      <w:r>
        <w:t>6 Mathematical design</w:t>
      </w:r>
    </w:p>
    <w:p>
      <w:pPr>
        <w:pStyle w:val="Heading2"/>
      </w:pPr>
      <w:r>
        <w:t>6 1 Global objective</w:t>
      </w:r>
    </w:p>
    <w:p>
      <w:pPr>
        <w:keepNext/>
        <w:jc w:val="center"/>
      </w:pPr>
      <w:r>
        <w:drawing>
          <wp:inline xmlns:a="http://schemas.openxmlformats.org/drawingml/2006/main" xmlns:pic="http://schemas.openxmlformats.org/drawingml/2006/picture">
            <wp:extent cx="6172200" cy="678941"/>
            <wp:docPr id="1" name="Picture 1" descr="Equation 1 Constrained system objective" title="Equation 1 Constrained system objective"/>
            <wp:cNvGraphicFramePr>
              <a:graphicFrameLocks noChangeAspect="1"/>
            </wp:cNvGraphicFramePr>
            <a:graphic>
              <a:graphicData uri="http://schemas.openxmlformats.org/drawingml/2006/picture">
                <pic:pic>
                  <pic:nvPicPr>
                    <pic:cNvPr id="0" name="objective.png"/>
                    <pic:cNvPicPr/>
                  </pic:nvPicPr>
                  <pic:blipFill>
                    <a:blip r:embed="rId11"/>
                    <a:stretch>
                      <a:fillRect/>
                    </a:stretch>
                  </pic:blipFill>
                  <pic:spPr>
                    <a:xfrm>
                      <a:off x="0" y="0"/>
                      <a:ext cx="6172200" cy="678941"/>
                    </a:xfrm>
                    <a:prstGeom prst="rect"/>
                  </pic:spPr>
                </pic:pic>
              </a:graphicData>
            </a:graphic>
          </wp:inline>
        </w:drawing>
      </w:r>
    </w:p>
    <w:p>
      <w:pPr>
        <w:keepNext/>
        <w:spacing w:after="60"/>
        <w:jc w:val="center"/>
      </w:pPr>
      <w:r>
        <w:rPr>
          <w:i/>
          <w:color w:val="5B6573"/>
          <w:sz w:val="16"/>
        </w:rPr>
        <w:t>Equation 1 Constrained system objective</w:t>
      </w:r>
    </w:p>
    <w:p>
      <w:r>
        <w:t>T is token cost. A is answer latency. L is learned model cost. S is storage cost. R is security and governance risk. Q is benchmark quality. D is deterministic conformance. P is deletion and policy conformance. The attack success rate stays below epsilon.</w:t>
      </w:r>
    </w:p>
    <w:p>
      <w:r>
        <w:t>This objective forces every optimization to carry its full cost. A small quality gain can lose if it raises latency, operating cost, or risk beyond the release envelope.</w:t>
      </w:r>
    </w:p>
    <w:p>
      <w:pPr>
        <w:pStyle w:val="Heading2"/>
      </w:pPr>
      <w:r>
        <w:t>6 2 Write pipeline</w:t>
      </w:r>
    </w:p>
    <w:p>
      <w:pPr>
        <w:keepNext/>
        <w:jc w:val="center"/>
      </w:pPr>
      <w:r>
        <w:drawing>
          <wp:inline xmlns:a="http://schemas.openxmlformats.org/drawingml/2006/main" xmlns:pic="http://schemas.openxmlformats.org/drawingml/2006/picture">
            <wp:extent cx="6172200" cy="486514"/>
            <wp:docPr id="2" name="Picture 2" descr="Equation 2 Capture extraction and projection" title="Equation 2 Capture extraction and projection"/>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172200" cy="486514"/>
                    </a:xfrm>
                    <a:prstGeom prst="rect"/>
                  </pic:spPr>
                </pic:pic>
              </a:graphicData>
            </a:graphic>
          </wp:inline>
        </w:drawing>
      </w:r>
    </w:p>
    <w:p>
      <w:pPr>
        <w:keepNext/>
        <w:spacing w:after="60"/>
        <w:jc w:val="center"/>
      </w:pPr>
      <w:r>
        <w:rPr>
          <w:i/>
          <w:color w:val="5B6573"/>
          <w:sz w:val="16"/>
        </w:rPr>
        <w:t>Equation 2 Capture extraction and projection</w:t>
      </w:r>
    </w:p>
    <w:p>
      <w:r>
        <w:t>The source is segmented at granularity g. The extractor emits atomic candidates. The projector applies validated events to memory state. Raw evidence remains addressable through every step.</w:t>
      </w:r>
    </w:p>
    <w:p>
      <w:pPr>
        <w:keepNext/>
        <w:jc w:val="center"/>
      </w:pPr>
      <w:r>
        <w:drawing>
          <wp:inline xmlns:a="http://schemas.openxmlformats.org/drawingml/2006/main" xmlns:pic="http://schemas.openxmlformats.org/drawingml/2006/picture">
            <wp:extent cx="6172200" cy="700726"/>
            <wp:docPr id="3" name="Picture 3" descr="Equation 3 Write error cost" title="Equation 3 Write error cost"/>
            <wp:cNvGraphicFramePr>
              <a:graphicFrameLocks noChangeAspect="1"/>
            </wp:cNvGraphicFramePr>
            <a:graphic>
              <a:graphicData uri="http://schemas.openxmlformats.org/drawingml/2006/picture">
                <pic:pic>
                  <pic:nvPicPr>
                    <pic:cNvPr id="0" name="write_loss.png"/>
                    <pic:cNvPicPr/>
                  </pic:nvPicPr>
                  <pic:blipFill>
                    <a:blip r:embed="rId13"/>
                    <a:stretch>
                      <a:fillRect/>
                    </a:stretch>
                  </pic:blipFill>
                  <pic:spPr>
                    <a:xfrm>
                      <a:off x="0" y="0"/>
                      <a:ext cx="6172200" cy="700726"/>
                    </a:xfrm>
                    <a:prstGeom prst="rect"/>
                  </pic:spPr>
                </pic:pic>
              </a:graphicData>
            </a:graphic>
          </wp:inline>
        </w:drawing>
      </w:r>
    </w:p>
    <w:p>
      <w:pPr>
        <w:keepNext/>
        <w:spacing w:after="60"/>
        <w:jc w:val="center"/>
      </w:pPr>
      <w:r>
        <w:rPr>
          <w:i/>
          <w:color w:val="5B6573"/>
          <w:sz w:val="16"/>
        </w:rPr>
        <w:t>Equation 3 Write error cost</w:t>
      </w:r>
    </w:p>
    <w:p>
      <w:r>
        <w:t>False negatives receive the larger early weight. Missing a durable fact removes it from every later stage. False positives still matter because they increase conflict, leakage, and retrieval noise. U measures unsupported content. Cwrite measures compute and latency.</w:t>
      </w:r>
    </w:p>
    <w:p>
      <w:pPr>
        <w:pStyle w:val="Heading2"/>
      </w:pPr>
      <w:r>
        <w:t>6 3 Efficient consolidation</w:t>
      </w:r>
    </w:p>
    <w:p>
      <w:pPr>
        <w:keepNext/>
        <w:jc w:val="center"/>
      </w:pPr>
      <w:r>
        <w:drawing>
          <wp:inline xmlns:a="http://schemas.openxmlformats.org/drawingml/2006/main" xmlns:pic="http://schemas.openxmlformats.org/drawingml/2006/picture">
            <wp:extent cx="6172200" cy="729771"/>
            <wp:docPr id="4" name="Picture 4" descr="Equation 4 Approximate LightMem call and update cost" title="Equation 4 Approximate LightMem call and update cost"/>
            <wp:cNvGraphicFramePr>
              <a:graphicFrameLocks noChangeAspect="1"/>
            </wp:cNvGraphicFramePr>
            <a:graphic>
              <a:graphicData uri="http://schemas.openxmlformats.org/drawingml/2006/picture">
                <pic:pic>
                  <pic:nvPicPr>
                    <pic:cNvPr id="0" name="lightmem.png"/>
                    <pic:cNvPicPr/>
                  </pic:nvPicPr>
                  <pic:blipFill>
                    <a:blip r:embed="rId14"/>
                    <a:stretch>
                      <a:fillRect/>
                    </a:stretch>
                  </pic:blipFill>
                  <pic:spPr>
                    <a:xfrm>
                      <a:off x="0" y="0"/>
                      <a:ext cx="6172200" cy="729771"/>
                    </a:xfrm>
                    <a:prstGeom prst="rect"/>
                  </pic:spPr>
                </pic:pic>
              </a:graphicData>
            </a:graphic>
          </wp:inline>
        </w:drawing>
      </w:r>
    </w:p>
    <w:p>
      <w:pPr>
        <w:keepNext/>
        <w:spacing w:after="60"/>
        <w:jc w:val="center"/>
      </w:pPr>
      <w:r>
        <w:rPr>
          <w:i/>
          <w:color w:val="5B6573"/>
          <w:sz w:val="16"/>
        </w:rPr>
        <w:t>Equation 4 Approximate LightMem call and update cost</w:t>
      </w:r>
    </w:p>
    <w:p>
      <w:r>
        <w:t>N is source volume. r is retained token rate. x captures repeated compression. T is transformation depth. h is effective batch size. M2 and R2 describe maintenance passes. This model shows why aggressive early compression and deferred maintenance can reduce cost. [3]</w:t>
      </w:r>
    </w:p>
    <w:p>
      <w:r>
        <w:br w:type="page"/>
      </w:r>
    </w:p>
    <w:p>
      <w:pPr>
        <w:pStyle w:val="Heading2"/>
      </w:pPr>
      <w:r>
        <w:t>6 4 Evidence and confidence</w:t>
      </w:r>
    </w:p>
    <w:p>
      <w:pPr>
        <w:keepNext/>
        <w:jc w:val="center"/>
      </w:pPr>
      <w:r>
        <w:drawing>
          <wp:inline xmlns:a="http://schemas.openxmlformats.org/drawingml/2006/main" xmlns:pic="http://schemas.openxmlformats.org/drawingml/2006/picture">
            <wp:extent cx="6172200" cy="471992"/>
            <wp:docPr id="5" name="Picture 5" descr="Equation 5 Evidence grouped belief update" title="Equation 5 Evidence grouped belief update"/>
            <wp:cNvGraphicFramePr>
              <a:graphicFrameLocks noChangeAspect="1"/>
            </wp:cNvGraphicFramePr>
            <a:graphic>
              <a:graphicData uri="http://schemas.openxmlformats.org/drawingml/2006/picture">
                <pic:pic>
                  <pic:nvPicPr>
                    <pic:cNvPr id="0" name="belief.png"/>
                    <pic:cNvPicPr/>
                  </pic:nvPicPr>
                  <pic:blipFill>
                    <a:blip r:embed="rId15"/>
                    <a:stretch>
                      <a:fillRect/>
                    </a:stretch>
                  </pic:blipFill>
                  <pic:spPr>
                    <a:xfrm>
                      <a:off x="0" y="0"/>
                      <a:ext cx="6172200" cy="471992"/>
                    </a:xfrm>
                    <a:prstGeom prst="rect"/>
                  </pic:spPr>
                </pic:pic>
              </a:graphicData>
            </a:graphic>
          </wp:inline>
        </w:drawing>
      </w:r>
    </w:p>
    <w:p>
      <w:pPr>
        <w:keepNext/>
        <w:spacing w:after="60"/>
        <w:jc w:val="center"/>
      </w:pPr>
      <w:r>
        <w:rPr>
          <w:i/>
          <w:color w:val="5B6573"/>
          <w:sz w:val="16"/>
        </w:rPr>
        <w:t>Equation 5 Evidence grouped belief update</w:t>
      </w:r>
    </w:p>
    <w:p>
      <w:r>
        <w:t>Each evidence group contributes a bounded log likelihood ratio. Grouping prevents copied sources from creating false certainty. The prior comes from record class and issuer authority. Confidence is derived and auditable.</w:t>
      </w:r>
    </w:p>
    <w:p>
      <w:r>
        <w:t>We should store the confidence basis. We should avoid storing an unexplained scalar. Calibration is measured with the Brier score and reliability diagrams.</w:t>
      </w:r>
    </w:p>
    <w:p>
      <w:pPr>
        <w:pStyle w:val="Heading2"/>
      </w:pPr>
      <w:r>
        <w:t>6 5 Bitemporal truth</w:t>
      </w:r>
    </w:p>
    <w:p>
      <w:pPr>
        <w:keepNext/>
        <w:jc w:val="center"/>
      </w:pPr>
      <w:r>
        <w:drawing>
          <wp:inline xmlns:a="http://schemas.openxmlformats.org/drawingml/2006/main" xmlns:pic="http://schemas.openxmlformats.org/drawingml/2006/picture">
            <wp:extent cx="6172200" cy="471992"/>
            <wp:docPr id="6" name="Picture 6" descr="Equation 6 Bitemporal claim" title="Equation 6 Bitemporal claim"/>
            <wp:cNvGraphicFramePr>
              <a:graphicFrameLocks noChangeAspect="1"/>
            </wp:cNvGraphicFramePr>
            <a:graphic>
              <a:graphicData uri="http://schemas.openxmlformats.org/drawingml/2006/picture">
                <pic:pic>
                  <pic:nvPicPr>
                    <pic:cNvPr id="0" name="bitemporal.png"/>
                    <pic:cNvPicPr/>
                  </pic:nvPicPr>
                  <pic:blipFill>
                    <a:blip r:embed="rId16"/>
                    <a:stretch>
                      <a:fillRect/>
                    </a:stretch>
                  </pic:blipFill>
                  <pic:spPr>
                    <a:xfrm>
                      <a:off x="0" y="0"/>
                      <a:ext cx="6172200" cy="471992"/>
                    </a:xfrm>
                    <a:prstGeom prst="rect"/>
                  </pic:spPr>
                </pic:pic>
              </a:graphicData>
            </a:graphic>
          </wp:inline>
        </w:drawing>
      </w:r>
    </w:p>
    <w:p>
      <w:pPr>
        <w:keepNext/>
        <w:spacing w:after="60"/>
        <w:jc w:val="center"/>
      </w:pPr>
      <w:r>
        <w:rPr>
          <w:i/>
          <w:color w:val="5B6573"/>
          <w:sz w:val="16"/>
        </w:rPr>
        <w:t>Equation 6 Bitemporal claim</w:t>
      </w:r>
    </w:p>
    <w:p>
      <w:r>
        <w:t>The tuple stores subject predicate object, valid time, transaction time, evidence, and status. Valid time answers when the claim held in the world. Transaction time answers when the passport knew it. [7] [15]</w:t>
      </w:r>
    </w:p>
    <w:p>
      <w:r>
        <w:t>A current state query selects claims whose valid interval contains the requested date and whose transaction interval contains the chosen knowledge cutoff. A correction closes the prior transaction interval and creates a new record. History remains visible.</w:t>
      </w:r>
    </w:p>
    <w:p>
      <w:pPr>
        <w:pStyle w:val="Heading2"/>
      </w:pPr>
      <w:r>
        <w:t>6 6 Deterministic merge</w:t>
      </w:r>
    </w:p>
    <w:p>
      <w:pPr>
        <w:keepNext/>
        <w:jc w:val="center"/>
      </w:pPr>
      <w:r>
        <w:drawing>
          <wp:inline xmlns:a="http://schemas.openxmlformats.org/drawingml/2006/main" xmlns:pic="http://schemas.openxmlformats.org/drawingml/2006/picture">
            <wp:extent cx="6172200" cy="726141"/>
            <wp:docPr id="7" name="Picture 7" descr="Equation 7 Ledger union and deterministic fold" title="Equation 7 Ledger union and deterministic fold"/>
            <wp:cNvGraphicFramePr>
              <a:graphicFrameLocks noChangeAspect="1"/>
            </wp:cNvGraphicFramePr>
            <a:graphic>
              <a:graphicData uri="http://schemas.openxmlformats.org/drawingml/2006/picture">
                <pic:pic>
                  <pic:nvPicPr>
                    <pic:cNvPr id="0" name="merge.png"/>
                    <pic:cNvPicPr/>
                  </pic:nvPicPr>
                  <pic:blipFill>
                    <a:blip r:embed="rId17"/>
                    <a:stretch>
                      <a:fillRect/>
                    </a:stretch>
                  </pic:blipFill>
                  <pic:spPr>
                    <a:xfrm>
                      <a:off x="0" y="0"/>
                      <a:ext cx="6172200" cy="726141"/>
                    </a:xfrm>
                    <a:prstGeom prst="rect"/>
                  </pic:spPr>
                </pic:pic>
              </a:graphicData>
            </a:graphic>
          </wp:inline>
        </w:drawing>
      </w:r>
    </w:p>
    <w:p>
      <w:pPr>
        <w:keepNext/>
        <w:spacing w:after="60"/>
        <w:jc w:val="center"/>
      </w:pPr>
      <w:r>
        <w:rPr>
          <w:i/>
          <w:color w:val="5B6573"/>
          <w:sz w:val="16"/>
        </w:rPr>
        <w:t>Equation 7 Ledger union and deterministic fold</w:t>
      </w:r>
    </w:p>
    <w:p>
      <w:r>
        <w:t>Replica logs are unioned by event ID. The fold order uses hybrid logical clock, actor, and event ID. Event validation runs before state reduction. The same valid event set produces the same view.</w:t>
      </w:r>
    </w:p>
    <w:p>
      <w:r>
        <w:t>Conflict policy is type specific. Independent claims coexist. Explicit correction can supersede a prior claim. Deletion applies only with sufficient authority. Policy fields use the more restrictive result when no explicit grant exists.</w:t>
      </w:r>
    </w:p>
    <w:p>
      <w:r>
        <w:br w:type="page"/>
      </w:r>
    </w:p>
    <w:p>
      <w:pPr>
        <w:pStyle w:val="Heading2"/>
      </w:pPr>
      <w:r>
        <w:t>6 7 Hybrid retrieval</w:t>
      </w:r>
    </w:p>
    <w:p>
      <w:pPr>
        <w:keepNext/>
        <w:jc w:val="center"/>
      </w:pPr>
      <w:r>
        <w:drawing>
          <wp:inline xmlns:a="http://schemas.openxmlformats.org/drawingml/2006/main" xmlns:pic="http://schemas.openxmlformats.org/drawingml/2006/picture">
            <wp:extent cx="6172200" cy="729771"/>
            <wp:docPr id="8" name="Picture 8" descr="Equation 8 Field weighted lexical score" title="Equation 8 Field weighted lexical score"/>
            <wp:cNvGraphicFramePr>
              <a:graphicFrameLocks noChangeAspect="1"/>
            </wp:cNvGraphicFramePr>
            <a:graphic>
              <a:graphicData uri="http://schemas.openxmlformats.org/drawingml/2006/picture">
                <pic:pic>
                  <pic:nvPicPr>
                    <pic:cNvPr id="0" name="bm25f.png"/>
                    <pic:cNvPicPr/>
                  </pic:nvPicPr>
                  <pic:blipFill>
                    <a:blip r:embed="rId18"/>
                    <a:stretch>
                      <a:fillRect/>
                    </a:stretch>
                  </pic:blipFill>
                  <pic:spPr>
                    <a:xfrm>
                      <a:off x="0" y="0"/>
                      <a:ext cx="6172200" cy="729771"/>
                    </a:xfrm>
                    <a:prstGeom prst="rect"/>
                  </pic:spPr>
                </pic:pic>
              </a:graphicData>
            </a:graphic>
          </wp:inline>
        </w:drawing>
      </w:r>
    </w:p>
    <w:p>
      <w:pPr>
        <w:keepNext/>
        <w:spacing w:after="60"/>
        <w:jc w:val="center"/>
      </w:pPr>
      <w:r>
        <w:rPr>
          <w:i/>
          <w:color w:val="5B6573"/>
          <w:sz w:val="16"/>
        </w:rPr>
        <w:t>Equation 8 Field weighted lexical score</w:t>
      </w:r>
    </w:p>
    <w:p>
      <w:r>
        <w:t>BM25F weights exact tokens across title, content, entities, tags, and source fields. Length normalization is field specific. This remains the default local retriever. [24]</w:t>
      </w:r>
    </w:p>
    <w:p>
      <w:pPr>
        <w:keepNext/>
        <w:jc w:val="center"/>
      </w:pPr>
      <w:r>
        <w:drawing>
          <wp:inline xmlns:a="http://schemas.openxmlformats.org/drawingml/2006/main" xmlns:pic="http://schemas.openxmlformats.org/drawingml/2006/picture">
            <wp:extent cx="6172200" cy="486514"/>
            <wp:docPr id="9" name="Picture 9" descr="Equation 9 Dense semantic score" title="Equation 9 Dense semantic score"/>
            <wp:cNvGraphicFramePr>
              <a:graphicFrameLocks noChangeAspect="1"/>
            </wp:cNvGraphicFramePr>
            <a:graphic>
              <a:graphicData uri="http://schemas.openxmlformats.org/drawingml/2006/picture">
                <pic:pic>
                  <pic:nvPicPr>
                    <pic:cNvPr id="0" name="cosine.png"/>
                    <pic:cNvPicPr/>
                  </pic:nvPicPr>
                  <pic:blipFill>
                    <a:blip r:embed="rId19"/>
                    <a:stretch>
                      <a:fillRect/>
                    </a:stretch>
                  </pic:blipFill>
                  <pic:spPr>
                    <a:xfrm>
                      <a:off x="0" y="0"/>
                      <a:ext cx="6172200" cy="486514"/>
                    </a:xfrm>
                    <a:prstGeom prst="rect"/>
                  </pic:spPr>
                </pic:pic>
              </a:graphicData>
            </a:graphic>
          </wp:inline>
        </w:drawing>
      </w:r>
    </w:p>
    <w:p>
      <w:pPr>
        <w:keepNext/>
        <w:spacing w:after="60"/>
        <w:jc w:val="center"/>
      </w:pPr>
      <w:r>
        <w:rPr>
          <w:i/>
          <w:color w:val="5B6573"/>
          <w:sz w:val="16"/>
        </w:rPr>
        <w:t>Equation 9 Dense semantic score</w:t>
      </w:r>
    </w:p>
    <w:p>
      <w:r>
        <w:t>Dense retrieval recovers paraphrase and concept similarity. Embeddings live in a sidecar. The passport stores the model identifier and projection provenance only when needed.</w:t>
      </w:r>
    </w:p>
    <w:p>
      <w:pPr>
        <w:keepNext/>
        <w:jc w:val="center"/>
      </w:pPr>
      <w:r>
        <w:drawing>
          <wp:inline xmlns:a="http://schemas.openxmlformats.org/drawingml/2006/main" xmlns:pic="http://schemas.openxmlformats.org/drawingml/2006/picture">
            <wp:extent cx="6172200" cy="729771"/>
            <wp:docPr id="10" name="Picture 10" descr="Equation 10 Temporal relevance" title="Equation 10 Temporal relevance"/>
            <wp:cNvGraphicFramePr>
              <a:graphicFrameLocks noChangeAspect="1"/>
            </wp:cNvGraphicFramePr>
            <a:graphic>
              <a:graphicData uri="http://schemas.openxmlformats.org/drawingml/2006/picture">
                <pic:pic>
                  <pic:nvPicPr>
                    <pic:cNvPr id="0" name="temporal.png"/>
                    <pic:cNvPicPr/>
                  </pic:nvPicPr>
                  <pic:blipFill>
                    <a:blip r:embed="rId20"/>
                    <a:stretch>
                      <a:fillRect/>
                    </a:stretch>
                  </pic:blipFill>
                  <pic:spPr>
                    <a:xfrm>
                      <a:off x="0" y="0"/>
                      <a:ext cx="6172200" cy="729771"/>
                    </a:xfrm>
                    <a:prstGeom prst="rect"/>
                  </pic:spPr>
                </pic:pic>
              </a:graphicData>
            </a:graphic>
          </wp:inline>
        </w:drawing>
      </w:r>
    </w:p>
    <w:p>
      <w:pPr>
        <w:keepNext/>
        <w:spacing w:after="60"/>
        <w:jc w:val="center"/>
      </w:pPr>
      <w:r>
        <w:rPr>
          <w:i/>
          <w:color w:val="5B6573"/>
          <w:sz w:val="16"/>
        </w:rPr>
        <w:t>Equation 10 Temporal relevance</w:t>
      </w:r>
    </w:p>
    <w:p>
      <w:r>
        <w:t>The time kernel uses interval distance and an intent specific scale. A recent status question uses a small scale. A biography query uses a larger scale.</w:t>
      </w:r>
    </w:p>
    <w:p>
      <w:pPr>
        <w:keepNext/>
        <w:jc w:val="center"/>
      </w:pPr>
      <w:r>
        <w:drawing>
          <wp:inline xmlns:a="http://schemas.openxmlformats.org/drawingml/2006/main" xmlns:pic="http://schemas.openxmlformats.org/drawingml/2006/picture">
            <wp:extent cx="6172200" cy="486514"/>
            <wp:docPr id="11" name="Picture 11" descr="Equation 11 Weighted reciprocal rank fusion" title="Equation 11 Weighted reciprocal rank fusion"/>
            <wp:cNvGraphicFramePr>
              <a:graphicFrameLocks noChangeAspect="1"/>
            </wp:cNvGraphicFramePr>
            <a:graphic>
              <a:graphicData uri="http://schemas.openxmlformats.org/drawingml/2006/picture">
                <pic:pic>
                  <pic:nvPicPr>
                    <pic:cNvPr id="0" name="rrf.png"/>
                    <pic:cNvPicPr/>
                  </pic:nvPicPr>
                  <pic:blipFill>
                    <a:blip r:embed="rId21"/>
                    <a:stretch>
                      <a:fillRect/>
                    </a:stretch>
                  </pic:blipFill>
                  <pic:spPr>
                    <a:xfrm>
                      <a:off x="0" y="0"/>
                      <a:ext cx="6172200" cy="486514"/>
                    </a:xfrm>
                    <a:prstGeom prst="rect"/>
                  </pic:spPr>
                </pic:pic>
              </a:graphicData>
            </a:graphic>
          </wp:inline>
        </w:drawing>
      </w:r>
    </w:p>
    <w:p>
      <w:pPr>
        <w:keepNext/>
        <w:spacing w:after="60"/>
        <w:jc w:val="center"/>
      </w:pPr>
      <w:r>
        <w:rPr>
          <w:i/>
          <w:color w:val="5B6573"/>
          <w:sz w:val="16"/>
        </w:rPr>
        <w:t>Equation 11 Weighted reciprocal rank fusion</w:t>
      </w:r>
    </w:p>
    <w:p>
      <w:r>
        <w:t>Rank fusion combines lexical dense entity graph and temporal lists without requiring calibrated raw scores. The weight for each retriever depends on query intent. [25]</w:t>
      </w:r>
    </w:p>
    <w:p>
      <w:r>
        <w:br w:type="page"/>
      </w:r>
    </w:p>
    <w:p>
      <w:pPr>
        <w:pStyle w:val="Heading2"/>
      </w:pPr>
      <w:r>
        <w:t>6 8 Graph propagation</w:t>
      </w:r>
    </w:p>
    <w:p>
      <w:pPr>
        <w:keepNext/>
        <w:jc w:val="center"/>
      </w:pPr>
      <w:r>
        <w:drawing>
          <wp:inline xmlns:a="http://schemas.openxmlformats.org/drawingml/2006/main" xmlns:pic="http://schemas.openxmlformats.org/drawingml/2006/picture">
            <wp:extent cx="6172200" cy="486514"/>
            <wp:docPr id="12" name="Picture 12" descr="Equation 12 Personalized PageRank" title="Equation 12 Personalized PageRank"/>
            <wp:cNvGraphicFramePr>
              <a:graphicFrameLocks noChangeAspect="1"/>
            </wp:cNvGraphicFramePr>
            <a:graphic>
              <a:graphicData uri="http://schemas.openxmlformats.org/drawingml/2006/picture">
                <pic:pic>
                  <pic:nvPicPr>
                    <pic:cNvPr id="0" name="ppr.png"/>
                    <pic:cNvPicPr/>
                  </pic:nvPicPr>
                  <pic:blipFill>
                    <a:blip r:embed="rId22"/>
                    <a:stretch>
                      <a:fillRect/>
                    </a:stretch>
                  </pic:blipFill>
                  <pic:spPr>
                    <a:xfrm>
                      <a:off x="0" y="0"/>
                      <a:ext cx="6172200" cy="486514"/>
                    </a:xfrm>
                    <a:prstGeom prst="rect"/>
                  </pic:spPr>
                </pic:pic>
              </a:graphicData>
            </a:graphic>
          </wp:inline>
        </w:drawing>
      </w:r>
    </w:p>
    <w:p>
      <w:pPr>
        <w:keepNext/>
        <w:spacing w:after="60"/>
        <w:jc w:val="center"/>
      </w:pPr>
      <w:r>
        <w:rPr>
          <w:i/>
          <w:color w:val="5B6573"/>
          <w:sz w:val="16"/>
        </w:rPr>
        <w:t>Equation 12 Personalized PageRank</w:t>
      </w:r>
    </w:p>
    <w:p>
      <w:r>
        <w:t>The query seed vector starts on recognized entities, claims, and passages. Graph propagation finds related memories across typed edges. Alpha controls restart strength. Every returned path keeps its supporting evidence. [6] [26]</w:t>
      </w:r>
    </w:p>
    <w:p>
      <w:r>
        <w:t>Graph expansion is capped by relation type, depth, evidence quality, and fan out. This keeps broad hubs from dominating. It also gives multi hop answers a visible proof path.</w:t>
      </w:r>
    </w:p>
    <w:p>
      <w:pPr>
        <w:pStyle w:val="Heading2"/>
      </w:pPr>
      <w:r>
        <w:t>6 9 Policy gate</w:t>
      </w:r>
    </w:p>
    <w:p>
      <w:pPr>
        <w:keepNext/>
        <w:jc w:val="center"/>
      </w:pPr>
      <w:r>
        <w:drawing>
          <wp:inline xmlns:a="http://schemas.openxmlformats.org/drawingml/2006/main" xmlns:pic="http://schemas.openxmlformats.org/drawingml/2006/picture">
            <wp:extent cx="6172200" cy="722510"/>
            <wp:docPr id="13" name="Picture 13" descr="Equation 13 Pre retrieval policy gate" title="Equation 13 Pre retrieval policy gate"/>
            <wp:cNvGraphicFramePr>
              <a:graphicFrameLocks noChangeAspect="1"/>
            </wp:cNvGraphicFramePr>
            <a:graphic>
              <a:graphicData uri="http://schemas.openxmlformats.org/drawingml/2006/picture">
                <pic:pic>
                  <pic:nvPicPr>
                    <pic:cNvPr id="0" name="gate.png"/>
                    <pic:cNvPicPr/>
                  </pic:nvPicPr>
                  <pic:blipFill>
                    <a:blip r:embed="rId23"/>
                    <a:stretch>
                      <a:fillRect/>
                    </a:stretch>
                  </pic:blipFill>
                  <pic:spPr>
                    <a:xfrm>
                      <a:off x="0" y="0"/>
                      <a:ext cx="6172200" cy="722510"/>
                    </a:xfrm>
                    <a:prstGeom prst="rect"/>
                  </pic:spPr>
                </pic:pic>
              </a:graphicData>
            </a:graphic>
          </wp:inline>
        </w:drawing>
      </w:r>
    </w:p>
    <w:p>
      <w:pPr>
        <w:keepNext/>
        <w:spacing w:after="60"/>
        <w:jc w:val="center"/>
      </w:pPr>
      <w:r>
        <w:rPr>
          <w:i/>
          <w:color w:val="5B6573"/>
          <w:sz w:val="16"/>
        </w:rPr>
        <w:t>Equation 13 Pre retrieval policy gate</w:t>
      </w:r>
    </w:p>
    <w:p>
      <w:r>
        <w:t>The gate checks scope, requester clearance, allowed purpose, and deletion state. Policy runs before ranking and again before context emission. Imported content cannot grant itself more authority. [28] [29] [30]</w:t>
      </w:r>
    </w:p>
    <w:p>
      <w:pPr>
        <w:keepNext/>
        <w:jc w:val="center"/>
      </w:pPr>
      <w:r>
        <w:drawing>
          <wp:inline xmlns:a="http://schemas.openxmlformats.org/drawingml/2006/main" xmlns:pic="http://schemas.openxmlformats.org/drawingml/2006/picture">
            <wp:extent cx="6172200" cy="464730"/>
            <wp:docPr id="14" name="Picture 14" descr="Equation 14 Final item score" title="Equation 14 Final item score"/>
            <wp:cNvGraphicFramePr>
              <a:graphicFrameLocks noChangeAspect="1"/>
            </wp:cNvGraphicFramePr>
            <a:graphic>
              <a:graphicData uri="http://schemas.openxmlformats.org/drawingml/2006/picture">
                <pic:pic>
                  <pic:nvPicPr>
                    <pic:cNvPr id="0" name="score.png"/>
                    <pic:cNvPicPr/>
                  </pic:nvPicPr>
                  <pic:blipFill>
                    <a:blip r:embed="rId24"/>
                    <a:stretch>
                      <a:fillRect/>
                    </a:stretch>
                  </pic:blipFill>
                  <pic:spPr>
                    <a:xfrm>
                      <a:off x="0" y="0"/>
                      <a:ext cx="6172200" cy="464730"/>
                    </a:xfrm>
                    <a:prstGeom prst="rect"/>
                  </pic:spPr>
                </pic:pic>
              </a:graphicData>
            </a:graphic>
          </wp:inline>
        </w:drawing>
      </w:r>
    </w:p>
    <w:p>
      <w:pPr>
        <w:keepNext/>
        <w:spacing w:after="60"/>
        <w:jc w:val="center"/>
      </w:pPr>
      <w:r>
        <w:rPr>
          <w:i/>
          <w:color w:val="5B6573"/>
          <w:sz w:val="16"/>
        </w:rPr>
        <w:t>Equation 14 Final item score</w:t>
      </w:r>
    </w:p>
    <w:p>
      <w:r>
        <w:t>The final score combines fused rank, temporal fit, confidence, authority, and utility. The policy gate makes any forbidden record score zero. Coefficients are tuned by intent class.</w:t>
      </w:r>
    </w:p>
    <w:p>
      <w:r>
        <w:br w:type="page"/>
      </w:r>
    </w:p>
    <w:p>
      <w:pPr>
        <w:pStyle w:val="Heading2"/>
      </w:pPr>
      <w:r>
        <w:t>6 10 Context selection</w:t>
      </w:r>
    </w:p>
    <w:p>
      <w:pPr>
        <w:keepNext/>
        <w:jc w:val="center"/>
      </w:pPr>
      <w:r>
        <w:drawing>
          <wp:inline xmlns:a="http://schemas.openxmlformats.org/drawingml/2006/main" xmlns:pic="http://schemas.openxmlformats.org/drawingml/2006/picture">
            <wp:extent cx="6172200" cy="729771"/>
            <wp:docPr id="15" name="Picture 15" descr="Equation 15 Budgeted evidence coverage" title="Equation 15 Budgeted evidence coverage"/>
            <wp:cNvGraphicFramePr>
              <a:graphicFrameLocks noChangeAspect="1"/>
            </wp:cNvGraphicFramePr>
            <a:graphic>
              <a:graphicData uri="http://schemas.openxmlformats.org/drawingml/2006/picture">
                <pic:pic>
                  <pic:nvPicPr>
                    <pic:cNvPr id="0" name="context.png"/>
                    <pic:cNvPicPr/>
                  </pic:nvPicPr>
                  <pic:blipFill>
                    <a:blip r:embed="rId25"/>
                    <a:stretch>
                      <a:fillRect/>
                    </a:stretch>
                  </pic:blipFill>
                  <pic:spPr>
                    <a:xfrm>
                      <a:off x="0" y="0"/>
                      <a:ext cx="6172200" cy="729771"/>
                    </a:xfrm>
                    <a:prstGeom prst="rect"/>
                  </pic:spPr>
                </pic:pic>
              </a:graphicData>
            </a:graphic>
          </wp:inline>
        </w:drawing>
      </w:r>
    </w:p>
    <w:p>
      <w:pPr>
        <w:keepNext/>
        <w:spacing w:after="60"/>
        <w:jc w:val="center"/>
      </w:pPr>
      <w:r>
        <w:rPr>
          <w:i/>
          <w:color w:val="5B6573"/>
          <w:sz w:val="16"/>
        </w:rPr>
        <w:t>Equation 15 Budgeted evidence coverage</w:t>
      </w:r>
    </w:p>
    <w:p>
      <w:r>
        <w:t>The selector maximizes coverage of query facets and item relevance under a token budget. This facility location form rewards diverse evidence. It reduces duplicated context and supports exact token limits.</w:t>
      </w:r>
    </w:p>
    <w:p>
      <w:r>
        <w:t>A practical solver starts with the best marginal gain per token. It then performs pair swaps. The final packet includes claims, evidence snippets, graph paths, timestamps, and a short uncertainty note.</w:t>
      </w:r>
    </w:p>
    <w:p>
      <w:pPr>
        <w:pStyle w:val="Heading2"/>
      </w:pPr>
      <w:r>
        <w:t>6 11 Consolidation</w:t>
      </w:r>
    </w:p>
    <w:p>
      <w:pPr>
        <w:keepNext/>
        <w:jc w:val="center"/>
      </w:pPr>
      <w:r>
        <w:drawing>
          <wp:inline xmlns:a="http://schemas.openxmlformats.org/drawingml/2006/main" xmlns:pic="http://schemas.openxmlformats.org/drawingml/2006/picture">
            <wp:extent cx="6172200" cy="726141"/>
            <wp:docPr id="16" name="Picture 16" descr="Equation 16 Constrained memory distance" title="Equation 16 Constrained memory distance"/>
            <wp:cNvGraphicFramePr>
              <a:graphicFrameLocks noChangeAspect="1"/>
            </wp:cNvGraphicFramePr>
            <a:graphic>
              <a:graphicData uri="http://schemas.openxmlformats.org/drawingml/2006/picture">
                <pic:pic>
                  <pic:nvPicPr>
                    <pic:cNvPr id="0" name="consolidation.png"/>
                    <pic:cNvPicPr/>
                  </pic:nvPicPr>
                  <pic:blipFill>
                    <a:blip r:embed="rId26"/>
                    <a:stretch>
                      <a:fillRect/>
                    </a:stretch>
                  </pic:blipFill>
                  <pic:spPr>
                    <a:xfrm>
                      <a:off x="0" y="0"/>
                      <a:ext cx="6172200" cy="726141"/>
                    </a:xfrm>
                    <a:prstGeom prst="rect"/>
                  </pic:spPr>
                </pic:pic>
              </a:graphicData>
            </a:graphic>
          </wp:inline>
        </w:drawing>
      </w:r>
    </w:p>
    <w:p>
      <w:pPr>
        <w:keepNext/>
        <w:spacing w:after="60"/>
        <w:jc w:val="center"/>
      </w:pPr>
      <w:r>
        <w:rPr>
          <w:i/>
          <w:color w:val="5B6573"/>
          <w:sz w:val="16"/>
        </w:rPr>
        <w:t>Equation 16 Constrained memory distance</w:t>
      </w:r>
    </w:p>
    <w:p>
      <w:r>
        <w:t>The distance joins semantic difference, tag difference, and time separation. Cannot merge constraints protect distinct people, conflicting values, separate episodes, and records with incompatible policy.</w:t>
      </w:r>
    </w:p>
    <w:p>
      <w:r>
        <w:t>Consolidation creates a derived summary. It does not erase source atoms. The summary lists every source item and can be rebuilt after a correction or deletion.</w:t>
      </w:r>
    </w:p>
    <w:p>
      <w:pPr>
        <w:pStyle w:val="Heading2"/>
      </w:pPr>
      <w:r>
        <w:t>6 12 Retention</w:t>
      </w:r>
    </w:p>
    <w:p>
      <w:pPr>
        <w:keepNext/>
        <w:jc w:val="center"/>
      </w:pPr>
      <w:r>
        <w:drawing>
          <wp:inline xmlns:a="http://schemas.openxmlformats.org/drawingml/2006/main" xmlns:pic="http://schemas.openxmlformats.org/drawingml/2006/picture">
            <wp:extent cx="6172200" cy="457469"/>
            <wp:docPr id="17" name="Picture 17" descr="Equation 17 Retention utility" title="Equation 17 Retention utility"/>
            <wp:cNvGraphicFramePr>
              <a:graphicFrameLocks noChangeAspect="1"/>
            </wp:cNvGraphicFramePr>
            <a:graphic>
              <a:graphicData uri="http://schemas.openxmlformats.org/drawingml/2006/picture">
                <pic:pic>
                  <pic:nvPicPr>
                    <pic:cNvPr id="0" name="retention.png"/>
                    <pic:cNvPicPr/>
                  </pic:nvPicPr>
                  <pic:blipFill>
                    <a:blip r:embed="rId27"/>
                    <a:stretch>
                      <a:fillRect/>
                    </a:stretch>
                  </pic:blipFill>
                  <pic:spPr>
                    <a:xfrm>
                      <a:off x="0" y="0"/>
                      <a:ext cx="6172200" cy="457469"/>
                    </a:xfrm>
                    <a:prstGeom prst="rect"/>
                  </pic:spPr>
                </pic:pic>
              </a:graphicData>
            </a:graphic>
          </wp:inline>
        </w:drawing>
      </w:r>
    </w:p>
    <w:p>
      <w:pPr>
        <w:keepNext/>
        <w:spacing w:after="60"/>
        <w:jc w:val="center"/>
      </w:pPr>
      <w:r>
        <w:rPr>
          <w:i/>
          <w:color w:val="5B6573"/>
          <w:sz w:val="16"/>
        </w:rPr>
        <w:t>Equation 17 Retention utility</w:t>
      </w:r>
    </w:p>
    <w:p>
      <w:r>
        <w:t>Relevance, access frequency, authority, verification, and open loop value raise utility. Sensitivity, staleness, and unresolved noise lower it. Retention policy maps utility and legal rules to keep, compress, archive, or delete actions.</w:t>
      </w:r>
    </w:p>
    <w:p>
      <w:r>
        <w:br w:type="page"/>
      </w:r>
    </w:p>
    <w:p>
      <w:pPr>
        <w:pStyle w:val="Heading2"/>
      </w:pPr>
      <w:r>
        <w:t>6 13 Learned write policy</w:t>
      </w:r>
    </w:p>
    <w:p>
      <w:pPr>
        <w:keepNext/>
        <w:jc w:val="center"/>
      </w:pPr>
      <w:r>
        <w:drawing>
          <wp:inline xmlns:a="http://schemas.openxmlformats.org/drawingml/2006/main" xmlns:pic="http://schemas.openxmlformats.org/drawingml/2006/picture">
            <wp:extent cx="6172200" cy="729771"/>
            <wp:docPr id="18" name="Picture 18" descr="Equation 18 Group relative policy optimization" title="Equation 18 Group relative policy optimization"/>
            <wp:cNvGraphicFramePr>
              <a:graphicFrameLocks noChangeAspect="1"/>
            </wp:cNvGraphicFramePr>
            <a:graphic>
              <a:graphicData uri="http://schemas.openxmlformats.org/drawingml/2006/picture">
                <pic:pic>
                  <pic:nvPicPr>
                    <pic:cNvPr id="0" name="grpo.png"/>
                    <pic:cNvPicPr/>
                  </pic:nvPicPr>
                  <pic:blipFill>
                    <a:blip r:embed="rId28"/>
                    <a:stretch>
                      <a:fillRect/>
                    </a:stretch>
                  </pic:blipFill>
                  <pic:spPr>
                    <a:xfrm>
                      <a:off x="0" y="0"/>
                      <a:ext cx="6172200" cy="729771"/>
                    </a:xfrm>
                    <a:prstGeom prst="rect"/>
                  </pic:spPr>
                </pic:pic>
              </a:graphicData>
            </a:graphic>
          </wp:inline>
        </w:drawing>
      </w:r>
    </w:p>
    <w:p>
      <w:pPr>
        <w:keepNext/>
        <w:spacing w:after="60"/>
        <w:jc w:val="center"/>
      </w:pPr>
      <w:r>
        <w:rPr>
          <w:i/>
          <w:color w:val="5B6573"/>
          <w:sz w:val="16"/>
        </w:rPr>
        <w:t>Equation 18 Group relative policy optimization</w:t>
      </w:r>
    </w:p>
    <w:p>
      <w:r>
        <w:t>AtomMem trains memory actions from terminal task reward. The group advantage compares samples from the same prompt. The KL term limits policy drift. This is a useful later stage after deterministic actions and telemetry are stable. [5]</w:t>
      </w:r>
    </w:p>
    <w:p>
      <w:pPr>
        <w:keepNext/>
        <w:jc w:val="center"/>
      </w:pPr>
      <w:r>
        <w:drawing>
          <wp:inline xmlns:a="http://schemas.openxmlformats.org/drawingml/2006/main" xmlns:pic="http://schemas.openxmlformats.org/drawingml/2006/picture">
            <wp:extent cx="6172200" cy="442945"/>
            <wp:docPr id="19" name="Picture 19" descr="Equation 19 Proposed SozoGraph policy reward" title="Equation 19 Proposed SozoGraph policy reward"/>
            <wp:cNvGraphicFramePr>
              <a:graphicFrameLocks noChangeAspect="1"/>
            </wp:cNvGraphicFramePr>
            <a:graphic>
              <a:graphicData uri="http://schemas.openxmlformats.org/drawingml/2006/picture">
                <pic:pic>
                  <pic:nvPicPr>
                    <pic:cNvPr id="0" name="reward.png"/>
                    <pic:cNvPicPr/>
                  </pic:nvPicPr>
                  <pic:blipFill>
                    <a:blip r:embed="rId29"/>
                    <a:stretch>
                      <a:fillRect/>
                    </a:stretch>
                  </pic:blipFill>
                  <pic:spPr>
                    <a:xfrm>
                      <a:off x="0" y="0"/>
                      <a:ext cx="6172200" cy="442945"/>
                    </a:xfrm>
                    <a:prstGeom prst="rect"/>
                  </pic:spPr>
                </pic:pic>
              </a:graphicData>
            </a:graphic>
          </wp:inline>
        </w:drawing>
      </w:r>
    </w:p>
    <w:p>
      <w:pPr>
        <w:keepNext/>
        <w:spacing w:after="60"/>
        <w:jc w:val="center"/>
      </w:pPr>
      <w:r>
        <w:rPr>
          <w:i/>
          <w:color w:val="5B6573"/>
          <w:sz w:val="16"/>
        </w:rPr>
        <w:t>Equation 19 Proposed SozoGraph policy reward</w:t>
      </w:r>
    </w:p>
    <w:p>
      <w:r>
        <w:t>Task quality receives positive reward. Tokens, latency, write volume, risk, and portability violations receive penalties. Portability cost includes events that cannot be represented by the core schema or exported without loss.</w:t>
      </w:r>
    </w:p>
    <w:p>
      <w:pPr>
        <w:pStyle w:val="Heading2"/>
      </w:pPr>
      <w:r>
        <w:t>6 14 Measurement</w:t>
      </w:r>
    </w:p>
    <w:p>
      <w:pPr>
        <w:keepNext/>
        <w:jc w:val="center"/>
      </w:pPr>
      <w:r>
        <w:drawing>
          <wp:inline xmlns:a="http://schemas.openxmlformats.org/drawingml/2006/main" xmlns:pic="http://schemas.openxmlformats.org/drawingml/2006/picture">
            <wp:extent cx="6172200" cy="700726"/>
            <wp:docPr id="20" name="Picture 20" descr="Equation 20 Retrieval calibration and attack metrics" title="Equation 20 Retrieval calibration and attack metrics"/>
            <wp:cNvGraphicFramePr>
              <a:graphicFrameLocks noChangeAspect="1"/>
            </wp:cNvGraphicFramePr>
            <a:graphic>
              <a:graphicData uri="http://schemas.openxmlformats.org/drawingml/2006/picture">
                <pic:pic>
                  <pic:nvPicPr>
                    <pic:cNvPr id="0" name="metrics.png"/>
                    <pic:cNvPicPr/>
                  </pic:nvPicPr>
                  <pic:blipFill>
                    <a:blip r:embed="rId30"/>
                    <a:stretch>
                      <a:fillRect/>
                    </a:stretch>
                  </pic:blipFill>
                  <pic:spPr>
                    <a:xfrm>
                      <a:off x="0" y="0"/>
                      <a:ext cx="6172200" cy="700726"/>
                    </a:xfrm>
                    <a:prstGeom prst="rect"/>
                  </pic:spPr>
                </pic:pic>
              </a:graphicData>
            </a:graphic>
          </wp:inline>
        </w:drawing>
      </w:r>
    </w:p>
    <w:p>
      <w:pPr>
        <w:keepNext/>
        <w:spacing w:after="160"/>
        <w:jc w:val="center"/>
      </w:pPr>
      <w:r>
        <w:rPr>
          <w:i/>
          <w:color w:val="5B6573"/>
          <w:sz w:val="16"/>
        </w:rPr>
        <w:t>Equation 20 Retrieval calibration and attack metrics</w:t>
      </w:r>
    </w:p>
    <w:p>
      <w:pPr>
        <w:spacing w:before="160"/>
      </w:pPr>
      <w:r>
        <w:t>Evidence recall measures whether gold support reaches the generator. Brier measures confidence calibration. Attack success rate measures whether adversarial memory controls a protected outcome.</w:t>
      </w:r>
    </w:p>
    <w:p>
      <w:r>
        <w:t>We also measure answer exactness, temporal accuracy, multi hop path validity, source attribution, context tokens, p50 and p95 latency, cost per query, write precision, merge determinism, deletion propagation, and authority elevation.</w:t>
      </w:r>
    </w:p>
    <w:p>
      <w:r>
        <w:br w:type="page"/>
      </w:r>
    </w:p>
    <w:p>
      <w:pPr>
        <w:pStyle w:val="Heading1"/>
      </w:pPr>
      <w:r>
        <w:t>7 Optimization strategy</w:t>
      </w:r>
    </w:p>
    <w:p>
      <w:pPr>
        <w:spacing w:before="100" w:after="140"/>
      </w:pPr>
      <w:r>
        <w:rPr>
          <w:b/>
          <w:color w:val="000000"/>
        </w:rPr>
        <w:t xml:space="preserve">Optimization order  </w:t>
      </w:r>
      <w:r>
        <w:t>Improve evidence capture first. Improve candidate recall second. Improve ranking third. Improve context packing fourth. Learn write policy last.</w:t>
      </w:r>
    </w:p>
    <w:p>
      <w:pPr>
        <w:pStyle w:val="Heading2"/>
      </w:pPr>
      <w:r>
        <w:t>Stage one Evidence capture</w:t>
      </w:r>
    </w:p>
    <w:p>
      <w:r>
        <w:t>Optimize chunk boundaries, exact spans, record atomicity, entity resolution, dates, and correction detection. The gate is evidence recall. The target is at least 97 percent on benchmark support facts.</w:t>
      </w:r>
    </w:p>
    <w:p>
      <w:pPr>
        <w:pStyle w:val="Heading2"/>
      </w:pPr>
      <w:r>
        <w:t>Stage two Deterministic projections</w:t>
      </w:r>
    </w:p>
    <w:p>
      <w:r>
        <w:t>Add bitemporal claims, relations, episodes, procedures, lifecycle events, and provenance. Verify lossless rebuild, merge, and deletion before using learned consolidation.</w:t>
      </w:r>
    </w:p>
    <w:p>
      <w:pPr>
        <w:pStyle w:val="Heading2"/>
      </w:pPr>
      <w:r>
        <w:t>Stage three Candidate generation</w:t>
      </w:r>
    </w:p>
    <w:p>
      <w:r>
        <w:t>Run BM25F, dense, entity, temporal, and graph retrieval in parallel. Target high recall at 100 to 300 candidates. Tune query intent routing before reranker complexity.</w:t>
      </w:r>
    </w:p>
    <w:p>
      <w:pPr>
        <w:pStyle w:val="Heading2"/>
      </w:pPr>
      <w:r>
        <w:t>Stage four Fusion and reranking</w:t>
      </w:r>
    </w:p>
    <w:p>
      <w:r>
        <w:t>Start with weighted reciprocal rank fusion. Train a compact reranker on attributed benchmark errors. Add authority, temporal fit, contradiction, and evidence quality features.</w:t>
      </w:r>
    </w:p>
    <w:p>
      <w:pPr>
        <w:pStyle w:val="Heading2"/>
      </w:pPr>
      <w:r>
        <w:t>Stage five Context packing</w:t>
      </w:r>
    </w:p>
    <w:p>
      <w:r>
        <w:t>Use the budgeted coverage objective. Preserve exact evidence and temporal state. Remove duplicates. Add abstention when required facets lack support.</w:t>
      </w:r>
    </w:p>
    <w:p>
      <w:pPr>
        <w:pStyle w:val="Heading2"/>
      </w:pPr>
      <w:r>
        <w:t>Stage six Maintenance policy</w:t>
      </w:r>
    </w:p>
    <w:p>
      <w:r>
        <w:t>Schedule consolidation by measured retrieval pressure and staleness. Learn CRUD policy only after a deterministic policy reaches a strong baseline. Keep a safe rules engine for rollback.</w:t>
      </w:r>
    </w:p>
    <w:p>
      <w:pPr>
        <w:pStyle w:val="Heading2"/>
      </w:pPr>
      <w:r>
        <w:t>Parameter search</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Layer</w:t>
            </w:r>
          </w:p>
        </w:tc>
        <w:tc>
          <w:tcPr>
            <w:tcW w:type="dxa" w:w="374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Parameters</w:t>
            </w:r>
          </w:p>
        </w:tc>
        <w:tc>
          <w:tcPr>
            <w:tcW w:type="dxa" w:w="259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Search method</w:t>
            </w:r>
          </w:p>
        </w:tc>
        <w:tc>
          <w:tcPr>
            <w:tcW w:type="dxa" w:w="187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Primary metric</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Write</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segment size overlap extraction threshold verifier threshold</w:t>
            </w:r>
          </w:p>
        </w:tc>
        <w:tc>
          <w:tcPr>
            <w:tcW w:type="dxa" w:w="25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Bayesian optimization with recall constraint</w:t>
            </w:r>
          </w:p>
        </w:tc>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Evidence recall and write precision</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Lexical</w:t>
            </w:r>
          </w:p>
        </w:tc>
        <w:tc>
          <w:tcPr>
            <w:tcW w:type="dxa" w:w="374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field weights k1 field b</w:t>
            </w:r>
          </w:p>
        </w:tc>
        <w:tc>
          <w:tcPr>
            <w:tcW w:type="dxa" w:w="25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Coordinate search</w:t>
            </w:r>
          </w:p>
        </w:tc>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Candidate recall</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Fusion</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retriever weights RRF k intent priors</w:t>
            </w:r>
          </w:p>
        </w:tc>
        <w:tc>
          <w:tcPr>
            <w:tcW w:type="dxa" w:w="25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Pairwise ranking optimization</w:t>
            </w:r>
          </w:p>
        </w:tc>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NDCG and answer quality</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Graph</w:t>
            </w:r>
          </w:p>
        </w:tc>
        <w:tc>
          <w:tcPr>
            <w:tcW w:type="dxa" w:w="374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restart depth fan out edge weights</w:t>
            </w:r>
          </w:p>
        </w:tc>
        <w:tc>
          <w:tcPr>
            <w:tcW w:type="dxa" w:w="25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Grid then Bayesian search</w:t>
            </w:r>
          </w:p>
        </w:tc>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Multi hop accuracy and latency</w:t>
            </w:r>
          </w:p>
        </w:tc>
      </w:tr>
      <w:tr>
        <w:trPr>
          <w:cantSplit/>
        </w:trPr>
        <w:tc>
          <w:tcPr>
            <w:tcW w:type="dxa" w:w="144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Context</w:t>
            </w:r>
          </w:p>
        </w:tc>
        <w:tc>
          <w:tcPr>
            <w:tcW w:type="dxa" w:w="374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budget diversity weight facet weights</w:t>
            </w:r>
          </w:p>
        </w:tc>
        <w:tc>
          <w:tcPr>
            <w:tcW w:type="dxa" w:w="25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Discrete greedy tuning</w:t>
            </w:r>
          </w:p>
        </w:tc>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Answer quality per token</w:t>
            </w:r>
          </w:p>
        </w:tc>
      </w:tr>
      <w:tr>
        <w:trPr>
          <w:cantSplit/>
        </w:trPr>
        <w:tc>
          <w:tcPr>
            <w:tcW w:type="dxa" w:w="144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Policy</w:t>
            </w:r>
          </w:p>
        </w:tc>
        <w:tc>
          <w:tcPr>
            <w:tcW w:type="dxa" w:w="374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reward weights KL coefficient action limits</w:t>
            </w:r>
          </w:p>
        </w:tc>
        <w:tc>
          <w:tcPr>
            <w:tcW w:type="dxa" w:w="25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Offline evaluation then guarded GRPO</w:t>
            </w:r>
          </w:p>
        </w:tc>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Task reward under risk gates</w:t>
            </w:r>
          </w:p>
        </w:tc>
      </w:tr>
    </w:tbl>
    <w:p>
      <w:pPr>
        <w:spacing w:after="20"/>
      </w:pPr>
    </w:p>
    <w:p>
      <w:pPr>
        <w:pStyle w:val="Heading2"/>
      </w:pPr>
      <w:r>
        <w:t>Ablation rule</w:t>
      </w:r>
    </w:p>
    <w:p>
      <w:r>
        <w:t>Every new mechanism ships with an ablation. We record quality, evidence recall, latency, tokens, storage, and attack surface. A feature stays enabled by default only when it improves the constrained objective.</w:t>
      </w:r>
    </w:p>
    <w:p>
      <w:pPr>
        <w:pStyle w:val="Heading1"/>
      </w:pPr>
      <w:r>
        <w:t>8 Benchmark and release gates</w:t>
      </w:r>
    </w:p>
    <w:p>
      <w:r>
        <w:t>We need one public scorecard and one private failure lab. The public set makes progress legible. The private set protects the product from benchmark specialization.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7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Suite</w:t>
            </w:r>
          </w:p>
        </w:tc>
        <w:tc>
          <w:tcPr>
            <w:tcW w:type="dxa" w:w="489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Capability</w:t>
            </w:r>
          </w:p>
        </w:tc>
        <w:tc>
          <w:tcPr>
            <w:tcW w:type="dxa" w:w="288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Use</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LoCoMo</w:t>
            </w:r>
          </w:p>
        </w:tc>
        <w:tc>
          <w:tcPr>
            <w:tcW w:type="dxa" w:w="489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Long conversation memory and reasoning</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Headline quality and citation tests [10]</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LongMemEval</w:t>
            </w:r>
          </w:p>
        </w:tc>
        <w:tc>
          <w:tcPr>
            <w:tcW w:type="dxa" w:w="489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Five long term memory abilities</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Diagnostic retrieval and answer tests [11]</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LongMemEval V2</w:t>
            </w:r>
          </w:p>
        </w:tc>
        <w:tc>
          <w:tcPr>
            <w:tcW w:type="dxa" w:w="489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Harder temporal and evidence conditions</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Forward looking validation [12]</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MemoryAgentBench</w:t>
            </w:r>
          </w:p>
        </w:tc>
        <w:tc>
          <w:tcPr>
            <w:tcW w:type="dxa" w:w="489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Accurate retrieval test time learning long range understanding and selective forgetting</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Capability balance [13]</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MemBench</w:t>
            </w:r>
          </w:p>
        </w:tc>
        <w:tc>
          <w:tcPr>
            <w:tcW w:type="dxa" w:w="489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Memory construction retrieval and downstream use</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Pipeline diagnosis [14]</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BEAM</w:t>
            </w:r>
          </w:p>
        </w:tc>
        <w:tc>
          <w:tcPr>
            <w:tcW w:type="dxa" w:w="489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Memory at one million and ten million tokens</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Scale latency and token efficiency [1]</w:t>
            </w:r>
          </w:p>
        </w:tc>
      </w:tr>
      <w:tr>
        <w:trPr>
          <w:cantSplit/>
        </w:trPr>
        <w:tc>
          <w:tcPr>
            <w:tcW w:type="dxa" w:w="187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Security corpus</w:t>
            </w:r>
          </w:p>
        </w:tc>
        <w:tc>
          <w:tcPr>
            <w:tcW w:type="dxa" w:w="489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Poisoning authority escalation privacy and deletion</w:t>
            </w:r>
          </w:p>
        </w:tc>
        <w:tc>
          <w:tcPr>
            <w:tcW w:type="dxa" w:w="288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Adversarial release gate [27] [28] [29] [30]</w:t>
            </w:r>
          </w:p>
        </w:tc>
      </w:tr>
      <w:tr>
        <w:trPr>
          <w:cantSplit/>
        </w:trPr>
        <w:tc>
          <w:tcPr>
            <w:tcW w:type="dxa" w:w="187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Passport conformance</w:t>
            </w:r>
          </w:p>
        </w:tc>
        <w:tc>
          <w:tcPr>
            <w:tcW w:type="dxa" w:w="489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Round trip merge signatures tombstones and unknown fields</w:t>
            </w:r>
          </w:p>
        </w:tc>
        <w:tc>
          <w:tcPr>
            <w:tcW w:type="dxa" w:w="288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Portability release gate [15] [16]</w:t>
            </w:r>
          </w:p>
        </w:tc>
      </w:tr>
    </w:tbl>
    <w:p>
      <w:pPr>
        <w:spacing w:after="20"/>
      </w:pPr>
    </w:p>
    <w:p>
      <w:pPr>
        <w:pStyle w:val="Heading2"/>
      </w:pPr>
      <w:r>
        <w:t>Failure attribution</w:t>
      </w:r>
    </w:p>
    <w:p>
      <w:r>
        <w:t>Every failed answer receives one primary cause: source absent, write miss, projection miss, retrieval miss, context cut miss, reasoning miss, policy error, or judge error. We optimize the largest validated bucket. This keeps model changes tied to evidence.</w:t>
      </w:r>
    </w:p>
    <w:p>
      <w:r>
        <w:br w:type="page"/>
      </w:r>
    </w:p>
    <w:p>
      <w:pPr>
        <w:pStyle w:val="Heading2"/>
      </w:pPr>
      <w:r>
        <w:t>Provisional target line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02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Metric</w:t>
            </w:r>
          </w:p>
        </w:tc>
        <w:tc>
          <w:tcPr>
            <w:tcW w:type="dxa" w:w="230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Target</w:t>
            </w:r>
          </w:p>
        </w:tc>
        <w:tc>
          <w:tcPr>
            <w:tcW w:type="dxa" w:w="432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Release meaning</w:t>
            </w:r>
          </w:p>
        </w:tc>
      </w:tr>
      <w:tr>
        <w:trPr>
          <w:cantSplit/>
        </w:trPr>
        <w:tc>
          <w:tcPr>
            <w:tcW w:type="dxa" w:w="302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LoCoMo</w:t>
            </w:r>
          </w:p>
        </w:tc>
        <w:tc>
          <w:tcPr>
            <w:tcW w:type="dxa" w:w="230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93 or higher</w:t>
            </w:r>
          </w:p>
        </w:tc>
        <w:tc>
          <w:tcPr>
            <w:tcW w:type="dxa" w:w="432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Above the current reported Mem0 line</w:t>
            </w:r>
          </w:p>
        </w:tc>
      </w:tr>
      <w:tr>
        <w:trPr>
          <w:cantSplit/>
        </w:trPr>
        <w:tc>
          <w:tcPr>
            <w:tcW w:type="dxa" w:w="302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LongMemEval</w:t>
            </w:r>
          </w:p>
        </w:tc>
        <w:tc>
          <w:tcPr>
            <w:tcW w:type="dxa" w:w="230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95 or higher</w:t>
            </w:r>
          </w:p>
        </w:tc>
        <w:tc>
          <w:tcPr>
            <w:tcW w:type="dxa" w:w="432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Above the current reported Mem0 line</w:t>
            </w:r>
          </w:p>
        </w:tc>
      </w:tr>
      <w:tr>
        <w:trPr>
          <w:cantSplit/>
        </w:trPr>
        <w:tc>
          <w:tcPr>
            <w:tcW w:type="dxa" w:w="302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BEAM 1M</w:t>
            </w:r>
          </w:p>
        </w:tc>
        <w:tc>
          <w:tcPr>
            <w:tcW w:type="dxa" w:w="230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65 or higher</w:t>
            </w:r>
          </w:p>
        </w:tc>
        <w:tc>
          <w:tcPr>
            <w:tcW w:type="dxa" w:w="432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Above the current reported Mem0 line</w:t>
            </w:r>
          </w:p>
        </w:tc>
      </w:tr>
      <w:tr>
        <w:trPr>
          <w:cantSplit/>
        </w:trPr>
        <w:tc>
          <w:tcPr>
            <w:tcW w:type="dxa" w:w="302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BEAM 10M</w:t>
            </w:r>
          </w:p>
        </w:tc>
        <w:tc>
          <w:tcPr>
            <w:tcW w:type="dxa" w:w="230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50 or higher</w:t>
            </w:r>
          </w:p>
        </w:tc>
        <w:tc>
          <w:tcPr>
            <w:tcW w:type="dxa" w:w="432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Above the current reported Mem0 line</w:t>
            </w:r>
          </w:p>
        </w:tc>
      </w:tr>
      <w:tr>
        <w:trPr>
          <w:cantSplit/>
        </w:trPr>
        <w:tc>
          <w:tcPr>
            <w:tcW w:type="dxa" w:w="302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Gold evidence recall</w:t>
            </w:r>
          </w:p>
        </w:tc>
        <w:tc>
          <w:tcPr>
            <w:tcW w:type="dxa" w:w="230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97 percent or higher</w:t>
            </w:r>
          </w:p>
        </w:tc>
        <w:tc>
          <w:tcPr>
            <w:tcW w:type="dxa" w:w="432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Generator receives support</w:t>
            </w:r>
          </w:p>
        </w:tc>
      </w:tr>
      <w:tr>
        <w:trPr>
          <w:cantSplit/>
        </w:trPr>
        <w:tc>
          <w:tcPr>
            <w:tcW w:type="dxa" w:w="302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Retrieved context</w:t>
            </w:r>
          </w:p>
        </w:tc>
        <w:tc>
          <w:tcPr>
            <w:tcW w:type="dxa" w:w="230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7,000 tokens or fewer</w:t>
            </w:r>
          </w:p>
        </w:tc>
        <w:tc>
          <w:tcPr>
            <w:tcW w:type="dxa" w:w="432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Comparable token envelope</w:t>
            </w:r>
          </w:p>
        </w:tc>
      </w:tr>
      <w:tr>
        <w:trPr>
          <w:cantSplit/>
        </w:trPr>
        <w:tc>
          <w:tcPr>
            <w:tcW w:type="dxa" w:w="302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Round trip and merge</w:t>
            </w:r>
          </w:p>
        </w:tc>
        <w:tc>
          <w:tcPr>
            <w:tcW w:type="dxa" w:w="230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100 percent deterministic</w:t>
            </w:r>
          </w:p>
        </w:tc>
        <w:tc>
          <w:tcPr>
            <w:tcW w:type="dxa" w:w="432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Portable authority</w:t>
            </w:r>
          </w:p>
        </w:tc>
      </w:tr>
      <w:tr>
        <w:trPr>
          <w:cantSplit/>
        </w:trPr>
        <w:tc>
          <w:tcPr>
            <w:tcW w:type="dxa" w:w="302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Deletion propagation</w:t>
            </w:r>
          </w:p>
        </w:tc>
        <w:tc>
          <w:tcPr>
            <w:tcW w:type="dxa" w:w="230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100 percent</w:t>
            </w:r>
          </w:p>
        </w:tc>
        <w:tc>
          <w:tcPr>
            <w:tcW w:type="dxa" w:w="432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No stale derived copies</w:t>
            </w:r>
          </w:p>
        </w:tc>
      </w:tr>
      <w:tr>
        <w:trPr>
          <w:cantSplit/>
        </w:trPr>
        <w:tc>
          <w:tcPr>
            <w:tcW w:type="dxa" w:w="302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Authority elevation</w:t>
            </w:r>
          </w:p>
        </w:tc>
        <w:tc>
          <w:tcPr>
            <w:tcW w:type="dxa" w:w="230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Zero successful cases</w:t>
            </w:r>
          </w:p>
        </w:tc>
        <w:tc>
          <w:tcPr>
            <w:tcW w:type="dxa" w:w="432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Origin bound trust</w:t>
            </w:r>
          </w:p>
        </w:tc>
      </w:tr>
      <w:tr>
        <w:trPr>
          <w:cantSplit/>
        </w:trPr>
        <w:tc>
          <w:tcPr>
            <w:tcW w:type="dxa" w:w="302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Core dependencies</w:t>
            </w:r>
          </w:p>
        </w:tc>
        <w:tc>
          <w:tcPr>
            <w:tcW w:type="dxa" w:w="230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No model vector database or server</w:t>
            </w:r>
          </w:p>
        </w:tc>
        <w:tc>
          <w:tcPr>
            <w:tcW w:type="dxa" w:w="432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Portable read and render</w:t>
            </w:r>
          </w:p>
        </w:tc>
      </w:tr>
    </w:tbl>
    <w:p>
      <w:pPr>
        <w:spacing w:after="20"/>
      </w:pPr>
    </w:p>
    <w:p>
      <w:r>
        <w:br w:type="page"/>
      </w:r>
    </w:p>
    <w:p>
      <w:pPr>
        <w:pStyle w:val="Heading1"/>
      </w:pPr>
      <w:r>
        <w:t>9 Delivery plan</w:t>
      </w:r>
    </w:p>
    <w:p>
      <w:pPr>
        <w:pStyle w:val="Heading2"/>
      </w:pPr>
      <w:r>
        <w:t>Weeks one and two Truth sprint</w:t>
      </w:r>
    </w:p>
    <w:p>
      <w:pPr>
        <w:pStyle w:val="ListBullet"/>
        <w:spacing w:after="60"/>
      </w:pPr>
      <w:r>
        <w:t>Freeze the current test and benchmark baseline.</w:t>
      </w:r>
    </w:p>
    <w:p>
      <w:pPr>
        <w:pStyle w:val="ListBullet"/>
        <w:spacing w:after="60"/>
      </w:pPr>
      <w:r>
        <w:t>Add raw chunk BM25 as a recall control.</w:t>
      </w:r>
    </w:p>
    <w:p>
      <w:pPr>
        <w:pStyle w:val="ListBullet"/>
        <w:spacing w:after="60"/>
      </w:pPr>
      <w:r>
        <w:t>Create gold evidence annotations and failure attribution.</w:t>
      </w:r>
    </w:p>
    <w:p>
      <w:pPr>
        <w:pStyle w:val="ListBullet"/>
        <w:spacing w:after="60"/>
      </w:pPr>
      <w:r>
        <w:t>Write the Passport 3 schema ADR and compatibility rules.</w:t>
      </w:r>
    </w:p>
    <w:p>
      <w:pPr>
        <w:pStyle w:val="ListBullet"/>
        <w:spacing w:after="60"/>
      </w:pPr>
      <w:r>
        <w:t>Add deterministic IDs and exact evidence spans behind a feature flag.</w:t>
      </w:r>
    </w:p>
    <w:p>
      <w:pPr>
        <w:pStyle w:val="Heading2"/>
      </w:pPr>
      <w:r>
        <w:t>Weeks three through five Passport 3</w:t>
      </w:r>
    </w:p>
    <w:p>
      <w:pPr>
        <w:pStyle w:val="ListBullet"/>
        <w:spacing w:after="60"/>
      </w:pPr>
      <w:r>
        <w:t>Implement the append only event ledger and materialized profile view.</w:t>
      </w:r>
    </w:p>
    <w:p>
      <w:pPr>
        <w:pStyle w:val="ListBullet"/>
        <w:spacing w:after="60"/>
      </w:pPr>
      <w:r>
        <w:t>Add bitemporal claims lifecycle state tombstones and extension preservation.</w:t>
      </w:r>
    </w:p>
    <w:p>
      <w:pPr>
        <w:pStyle w:val="ListBullet"/>
        <w:spacing w:after="60"/>
      </w:pPr>
      <w:r>
        <w:t>Implement deterministic merge canonical hashing and conformance fixtures.</w:t>
      </w:r>
    </w:p>
    <w:p>
      <w:pPr>
        <w:pStyle w:val="ListBullet"/>
        <w:spacing w:after="60"/>
      </w:pPr>
      <w:r>
        <w:t>Ship migration from the current passport format.</w:t>
      </w:r>
    </w:p>
    <w:p>
      <w:pPr>
        <w:pStyle w:val="Heading2"/>
      </w:pPr>
      <w:r>
        <w:t>Weeks six through nine Accuracy engine</w:t>
      </w:r>
    </w:p>
    <w:p>
      <w:pPr>
        <w:pStyle w:val="ListBullet"/>
        <w:spacing w:after="60"/>
      </w:pPr>
      <w:r>
        <w:t>Add BM25F dense entity temporal and graph candidate generators.</w:t>
      </w:r>
    </w:p>
    <w:p>
      <w:pPr>
        <w:pStyle w:val="ListBullet"/>
        <w:spacing w:after="60"/>
      </w:pPr>
      <w:r>
        <w:t>Add intent planning weighted rank fusion and an attributed reranker.</w:t>
      </w:r>
    </w:p>
    <w:p>
      <w:pPr>
        <w:pStyle w:val="ListBullet"/>
        <w:spacing w:after="60"/>
      </w:pPr>
      <w:r>
        <w:t>Add budgeted context selection and evidence packet rendering.</w:t>
      </w:r>
    </w:p>
    <w:p>
      <w:pPr>
        <w:pStyle w:val="ListBullet"/>
        <w:spacing w:after="60"/>
      </w:pPr>
      <w:r>
        <w:t>Run ablations on LoCoMo LongMemEval MemoryAgentBench and BEAM.</w:t>
      </w:r>
    </w:p>
    <w:p>
      <w:pPr>
        <w:pStyle w:val="Heading2"/>
      </w:pPr>
      <w:r>
        <w:t>Weeks ten through twelve Governance and interop</w:t>
      </w:r>
    </w:p>
    <w:p>
      <w:pPr>
        <w:pStyle w:val="ListBullet"/>
        <w:spacing w:after="60"/>
      </w:pPr>
      <w:r>
        <w:t>Add origin bound authority purpose sensitivity and consent policy.</w:t>
      </w:r>
    </w:p>
    <w:p>
      <w:pPr>
        <w:pStyle w:val="ListBullet"/>
        <w:spacing w:after="60"/>
      </w:pPr>
      <w:r>
        <w:t>Propagate deletion through projections indexes caches and exports.</w:t>
      </w:r>
    </w:p>
    <w:p>
      <w:pPr>
        <w:pStyle w:val="ListBullet"/>
        <w:spacing w:after="60"/>
      </w:pPr>
      <w:r>
        <w:t>Add signatures with RFC 8785 canonical JSON and Ed25519.</w:t>
      </w:r>
    </w:p>
    <w:p>
      <w:pPr>
        <w:pStyle w:val="ListBullet"/>
        <w:spacing w:after="60"/>
      </w:pPr>
      <w:r>
        <w:t>Ship Portable Memory and OAMP adapters with golden fixtures.</w:t>
      </w:r>
    </w:p>
    <w:p>
      <w:pPr>
        <w:pStyle w:val="Heading2"/>
      </w:pPr>
      <w:r>
        <w:t>Weeks thirteen through sixteen State of the art push</w:t>
      </w:r>
    </w:p>
    <w:p>
      <w:pPr>
        <w:pStyle w:val="ListBullet"/>
        <w:spacing w:after="60"/>
      </w:pPr>
      <w:r>
        <w:t>Tune by failure bucket and intent class.</w:t>
      </w:r>
    </w:p>
    <w:p>
      <w:pPr>
        <w:pStyle w:val="ListBullet"/>
        <w:spacing w:after="60"/>
      </w:pPr>
      <w:r>
        <w:t>Add offline consolidation scheduling and outcome memory.</w:t>
      </w:r>
    </w:p>
    <w:p>
      <w:pPr>
        <w:pStyle w:val="ListBullet"/>
        <w:spacing w:after="60"/>
      </w:pPr>
      <w:r>
        <w:t>Evaluate learned CRUD policy under fixed safety gates.</w:t>
      </w:r>
    </w:p>
    <w:p>
      <w:pPr>
        <w:pStyle w:val="ListBullet"/>
        <w:spacing w:after="60"/>
      </w:pPr>
      <w:r>
        <w:t>Publish the scorecard conformance suite and reproducible benchmark harness.</w:t>
      </w:r>
    </w:p>
    <w:p>
      <w:r>
        <w:br w:type="page"/>
      </w:r>
    </w:p>
    <w:p>
      <w:pPr>
        <w:pStyle w:val="Heading1"/>
      </w:pPr>
      <w:r>
        <w:t>First fourteen days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792"/>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Day</w:t>
            </w:r>
          </w:p>
        </w:tc>
        <w:tc>
          <w:tcPr>
            <w:tcW w:type="dxa" w:w="626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Deliverable</w:t>
            </w:r>
          </w:p>
        </w:tc>
        <w:tc>
          <w:tcPr>
            <w:tcW w:type="dxa" w:w="266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Exit test</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Pin datasets prompts judges models and seeds</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One command reproduces baseline</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2</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Run current SozoGraph and raw chunk BM25</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Comparable score and latency table</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3</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Label evidence on first failure slice</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Gold spans pass review</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4</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failure attribution schema</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Every failed case has one cause</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5</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Draft Passport 3 event model</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Schema review complete</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6</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Implement stable IDs and source spans</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Round trip retains IDs and offsets</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7</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valid and transaction time</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Historical query fixtures pass</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8</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lifecycle and tombstones</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Delete fixtures pass</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9</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Build deterministic fold</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Replica order permutations agree</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10</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unknown field preservation</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Golden future field fixture passes</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11</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Implement BM25F fields</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Candidate recall beats baseline</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12</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Add intent labels and temporal route</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Temporal slice improves</w:t>
            </w:r>
          </w:p>
        </w:tc>
      </w:tr>
      <w:tr>
        <w:trPr>
          <w:cantSplit/>
        </w:trPr>
        <w:tc>
          <w:tcPr>
            <w:tcW w:type="dxa" w:w="792"/>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13</w:t>
            </w:r>
          </w:p>
        </w:tc>
        <w:tc>
          <w:tcPr>
            <w:tcW w:type="dxa" w:w="62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Build scorecard dashboard output</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One report shows all gates</w:t>
            </w:r>
          </w:p>
        </w:tc>
      </w:tr>
      <w:tr>
        <w:trPr>
          <w:cantSplit/>
        </w:trPr>
        <w:tc>
          <w:tcPr>
            <w:tcW w:type="dxa" w:w="792"/>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14</w:t>
            </w:r>
          </w:p>
        </w:tc>
        <w:tc>
          <w:tcPr>
            <w:tcW w:type="dxa" w:w="62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Review evidence and choose next bottleneck</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Next sprint is tied to largest error bucket</w:t>
            </w:r>
          </w:p>
        </w:tc>
      </w:tr>
    </w:tbl>
    <w:p>
      <w:pPr>
        <w:spacing w:after="20"/>
      </w:pPr>
    </w:p>
    <w:p>
      <w:pPr>
        <w:pStyle w:val="Heading2"/>
      </w:pPr>
      <w:r>
        <w:t>Team shape</w:t>
      </w:r>
    </w:p>
    <w:p>
      <w:r>
        <w:t>One owner controls schema and determinism. One owner controls retrieval and evaluation. One owner controls ingestion and evidence. Security and privacy review every lifecycle feature. A research lane runs ablations without changing the canonical contract.</w:t>
      </w:r>
    </w:p>
    <w:p>
      <w:pPr>
        <w:pStyle w:val="Heading2"/>
      </w:pPr>
      <w:r>
        <w:t>Definition of done</w:t>
      </w:r>
    </w:p>
    <w:p>
      <w:r>
        <w:t>A feature is done when its schema is versioned, tests cover migrations and deletion, benchmark impact is recorded, telemetry identifies its failures, and the portable fallback still works.</w:t>
      </w:r>
    </w:p>
    <w:p>
      <w:r>
        <w:br w:type="page"/>
      </w:r>
    </w:p>
    <w:p>
      <w:pPr>
        <w:pStyle w:val="Heading1"/>
      </w:pPr>
      <w:r>
        <w:t>10 Risks and decisions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Risk</w:t>
            </w:r>
          </w:p>
        </w:tc>
        <w:tc>
          <w:tcPr>
            <w:tcW w:type="dxa" w:w="5256"/>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Control</w:t>
            </w:r>
          </w:p>
        </w:tc>
        <w:tc>
          <w:tcPr>
            <w:tcW w:type="dxa" w:w="2664"/>
            <w:shd w:fill="17365D"/>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r>
              <w:rPr>
                <w:rFonts w:ascii="Arial" w:hAnsi="Arial"/>
                <w:b/>
                <w:color w:val="FFFFFF"/>
                <w:sz w:val="16"/>
              </w:rPr>
              <w:t>Decision trigger</w:t>
            </w:r>
          </w:p>
        </w:tc>
      </w:tr>
      <w:tr>
        <w:trPr>
          <w:cantSplit/>
        </w:trPr>
        <w:tc>
          <w:tcPr>
            <w:tcW w:type="dxa" w:w="180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Extraction loss</w:t>
            </w:r>
          </w:p>
        </w:tc>
        <w:tc>
          <w:tcPr>
            <w:tcW w:type="dxa" w:w="52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Raw evidence retention coverage verifier and write recall gate</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Recall below 97 percent blocks ranking work</w:t>
            </w:r>
          </w:p>
        </w:tc>
      </w:tr>
      <w:tr>
        <w:trPr>
          <w:cantSplit/>
        </w:trPr>
        <w:tc>
          <w:tcPr>
            <w:tcW w:type="dxa" w:w="180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Graph noise</w:t>
            </w:r>
          </w:p>
        </w:tc>
        <w:tc>
          <w:tcPr>
            <w:tcW w:type="dxa" w:w="52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Typed edges evidence thresholds depth caps and hub penalties</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Disable graph route when ablation loses quality</w:t>
            </w:r>
          </w:p>
        </w:tc>
      </w:tr>
      <w:tr>
        <w:trPr>
          <w:cantSplit/>
        </w:trPr>
        <w:tc>
          <w:tcPr>
            <w:tcW w:type="dxa" w:w="180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Temporal contradiction</w:t>
            </w:r>
          </w:p>
        </w:tc>
        <w:tc>
          <w:tcPr>
            <w:tcW w:type="dxa" w:w="52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Bitemporal records explicit supersession and query cutoff</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Conflicting current answers block release</w:t>
            </w:r>
          </w:p>
        </w:tc>
      </w:tr>
      <w:tr>
        <w:trPr>
          <w:cantSplit/>
        </w:trPr>
        <w:tc>
          <w:tcPr>
            <w:tcW w:type="dxa" w:w="180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Memory poisoning</w:t>
            </w:r>
          </w:p>
        </w:tc>
        <w:tc>
          <w:tcPr>
            <w:tcW w:type="dxa" w:w="52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Origin authority quarantine policy gate and adversarial suite</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Any authority elevation blocks release</w:t>
            </w:r>
          </w:p>
        </w:tc>
      </w:tr>
      <w:tr>
        <w:trPr>
          <w:cantSplit/>
        </w:trPr>
        <w:tc>
          <w:tcPr>
            <w:tcW w:type="dxa" w:w="180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Privacy residue</w:t>
            </w:r>
          </w:p>
        </w:tc>
        <w:tc>
          <w:tcPr>
            <w:tcW w:type="dxa" w:w="52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Tombstone fan out manifest and index rebuild proofs</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Any undeleted derivative blocks release</w:t>
            </w:r>
          </w:p>
        </w:tc>
      </w:tr>
      <w:tr>
        <w:trPr>
          <w:cantSplit/>
        </w:trPr>
        <w:tc>
          <w:tcPr>
            <w:tcW w:type="dxa" w:w="180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Learned policy drift</w:t>
            </w:r>
          </w:p>
        </w:tc>
        <w:tc>
          <w:tcPr>
            <w:tcW w:type="dxa" w:w="52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KL bound action limits offline replay and rules fallback</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Risk gate failure reverts the policy</w:t>
            </w:r>
          </w:p>
        </w:tc>
      </w:tr>
      <w:tr>
        <w:trPr>
          <w:cantSplit/>
        </w:trPr>
        <w:tc>
          <w:tcPr>
            <w:tcW w:type="dxa" w:w="1800"/>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Benchmark overfit</w:t>
            </w:r>
          </w:p>
        </w:tc>
        <w:tc>
          <w:tcPr>
            <w:tcW w:type="dxa" w:w="5256"/>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Private scenarios rotating prompts and hidden judges</w:t>
            </w:r>
          </w:p>
        </w:tc>
        <w:tc>
          <w:tcPr>
            <w:tcW w:type="dxa" w:w="2664"/>
            <w:shd w:fill="F5F8FB"/>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Public gain with private loss is rejected</w:t>
            </w:r>
          </w:p>
        </w:tc>
      </w:tr>
      <w:tr>
        <w:trPr>
          <w:cantSplit/>
        </w:trPr>
        <w:tc>
          <w:tcPr>
            <w:tcW w:type="dxa" w:w="1800"/>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Format sprawl</w:t>
            </w:r>
          </w:p>
        </w:tc>
        <w:tc>
          <w:tcPr>
            <w:tcW w:type="dxa" w:w="5256"/>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Small canonical core extension registry and lossless passthrough</w:t>
            </w:r>
          </w:p>
        </w:tc>
        <w:tc>
          <w:tcPr>
            <w:tcW w:type="dxa" w:w="2664"/>
            <w:tcBorders>
              <w:top w:val="single" w:sz="4" w:color="D5DCE5"/>
              <w:left w:val="single" w:sz="4" w:color="D5DCE5"/>
              <w:bottom w:val="single" w:sz="4" w:color="D5DCE5"/>
              <w:right w:val="single" w:sz="4" w:color="D5DCE5"/>
              <w:insideH w:val="single" w:sz="4" w:color="D5DCE5"/>
              <w:insideV w:val="single" w:sz="4" w:color="D5DCE5"/>
            </w:tcBorders>
            <w:tcMar>
              <w:top w:w="90" w:type="dxa"/>
              <w:start w:w="110" w:type="dxa"/>
              <w:bottom w:w="90" w:type="dxa"/>
              <w:end w:w="110" w:type="dxa"/>
            </w:tcMar>
            <w:vAlign w:val="center"/>
          </w:tcPr>
          <w:p>
            <w:pPr>
              <w:spacing w:after="0"/>
            </w:pPr>
            <w:r>
              <w:rPr>
                <w:rFonts w:ascii="Arial" w:hAnsi="Arial"/>
                <w:color w:val="1F2937"/>
                <w:sz w:val="16"/>
              </w:rPr>
              <w:t>New field requires a portability test</w:t>
            </w:r>
          </w:p>
        </w:tc>
      </w:tr>
    </w:tbl>
    <w:p>
      <w:pPr>
        <w:spacing w:after="20"/>
      </w:pPr>
    </w:p>
    <w:p>
      <w:pPr>
        <w:pStyle w:val="Heading2"/>
      </w:pPr>
      <w:r>
        <w:t>Decisions to lock now</w:t>
      </w:r>
    </w:p>
    <w:p>
      <w:pPr>
        <w:pStyle w:val="ListBullet"/>
        <w:spacing w:after="60"/>
      </w:pPr>
      <w:r>
        <w:t>The event ledger becomes canonical in Passport 3.</w:t>
      </w:r>
    </w:p>
    <w:p>
      <w:pPr>
        <w:pStyle w:val="ListBullet"/>
        <w:spacing w:after="60"/>
      </w:pPr>
      <w:r>
        <w:t>The compact profile remains a generated first class view.</w:t>
      </w:r>
    </w:p>
    <w:p>
      <w:pPr>
        <w:pStyle w:val="ListBullet"/>
        <w:spacing w:after="60"/>
      </w:pPr>
      <w:r>
        <w:t>Evidence spans and origin authority are required for durable claims.</w:t>
      </w:r>
    </w:p>
    <w:p>
      <w:pPr>
        <w:pStyle w:val="ListBullet"/>
        <w:spacing w:after="60"/>
      </w:pPr>
      <w:r>
        <w:t>Policy executes before retrieval and before emission.</w:t>
      </w:r>
    </w:p>
    <w:p>
      <w:pPr>
        <w:pStyle w:val="ListBullet"/>
        <w:spacing w:after="60"/>
      </w:pPr>
      <w:r>
        <w:t>Indexes and learned artifacts stay disposable.</w:t>
      </w:r>
    </w:p>
    <w:p>
      <w:pPr>
        <w:pStyle w:val="ListBullet"/>
        <w:spacing w:after="60"/>
      </w:pPr>
      <w:r>
        <w:t>Portable Memory levels zero through two and OAMP become target adapters.</w:t>
      </w:r>
    </w:p>
    <w:p>
      <w:pPr>
        <w:pStyle w:val="ListBullet"/>
        <w:spacing w:after="60"/>
      </w:pPr>
      <w:r>
        <w:t>Learned write policy waits for deterministic telemetry and safety gates.</w:t>
      </w:r>
    </w:p>
    <w:p>
      <w:pPr>
        <w:pStyle w:val="Heading2"/>
      </w:pPr>
      <w:r>
        <w:t>Expected outcome</w:t>
      </w:r>
    </w:p>
    <w:p>
      <w:r>
        <w:t>This plan gives SozoGraph a credible path beyond current benchmark leaders. It also creates a stronger product claim. The memory stays inspectable, portable, correctable, and governable across agents and runtimes.</w:t>
      </w:r>
    </w:p>
    <w:p>
      <w:r>
        <w:br w:type="page"/>
      </w:r>
    </w:p>
    <w:p>
      <w:pPr>
        <w:pStyle w:val="Heading1"/>
      </w:pPr>
      <w:r>
        <w:t>11 References</w:t>
      </w:r>
    </w:p>
    <w:p>
      <w:pPr>
        <w:spacing w:after="80"/>
        <w:ind w:left="403" w:hanging="403"/>
      </w:pPr>
      <w:r>
        <w:rPr>
          <w:sz w:val="17"/>
        </w:rPr>
        <w:t xml:space="preserve">[1] Mem0 official repository and April 2026 benchmark table. </w:t>
      </w:r>
      <w:hyperlink r:id="rId31">
        <w:r>
          <w:rPr>
            <w:color w:val="1F5A94"/>
            <w:u w:val="single"/>
          </w:rPr>
          <w:t>https://github.com/mem0ai/mem0/blob/main/README.md</w:t>
        </w:r>
      </w:hyperlink>
    </w:p>
    <w:p>
      <w:pPr>
        <w:spacing w:after="80"/>
        <w:ind w:left="403" w:hanging="403"/>
      </w:pPr>
      <w:r>
        <w:rPr>
          <w:sz w:val="17"/>
        </w:rPr>
        <w:t xml:space="preserve">[2] Mem0 Building Production Ready AI Agents with Scalable Long Term Memory. </w:t>
      </w:r>
      <w:hyperlink r:id="rId32">
        <w:r>
          <w:rPr>
            <w:color w:val="1F5A94"/>
            <w:u w:val="single"/>
          </w:rPr>
          <w:t>https://arxiv.org/abs/2504.19413</w:t>
        </w:r>
      </w:hyperlink>
    </w:p>
    <w:p>
      <w:pPr>
        <w:spacing w:after="80"/>
        <w:ind w:left="403" w:hanging="403"/>
      </w:pPr>
      <w:r>
        <w:rPr>
          <w:sz w:val="17"/>
        </w:rPr>
        <w:t xml:space="preserve">[3] LightMem Lightweight and Efficient Memory Augmented Generation. </w:t>
      </w:r>
      <w:hyperlink r:id="rId33">
        <w:r>
          <w:rPr>
            <w:color w:val="1F5A94"/>
            <w:u w:val="single"/>
          </w:rPr>
          <w:t>https://arxiv.org/abs/2510.18866</w:t>
        </w:r>
      </w:hyperlink>
    </w:p>
    <w:p>
      <w:pPr>
        <w:spacing w:after="80"/>
        <w:ind w:left="403" w:hanging="403"/>
      </w:pPr>
      <w:r>
        <w:rPr>
          <w:sz w:val="17"/>
        </w:rPr>
        <w:t xml:space="preserve">[4] A MEM Agentic Memory for LLM Agents. </w:t>
      </w:r>
      <w:hyperlink r:id="rId34">
        <w:r>
          <w:rPr>
            <w:color w:val="1F5A94"/>
            <w:u w:val="single"/>
          </w:rPr>
          <w:t>https://arxiv.org/abs/2502.12110</w:t>
        </w:r>
      </w:hyperlink>
    </w:p>
    <w:p>
      <w:pPr>
        <w:spacing w:after="80"/>
        <w:ind w:left="403" w:hanging="403"/>
      </w:pPr>
      <w:r>
        <w:rPr>
          <w:sz w:val="17"/>
        </w:rPr>
        <w:t xml:space="preserve">[5] AtomMem Learning Atomic Memory Operations for Long Term Agentic Tasks. </w:t>
      </w:r>
      <w:hyperlink r:id="rId35">
        <w:r>
          <w:rPr>
            <w:color w:val="1F5A94"/>
            <w:u w:val="single"/>
          </w:rPr>
          <w:t>https://arxiv.org/abs/2601.08323</w:t>
        </w:r>
      </w:hyperlink>
    </w:p>
    <w:p>
      <w:pPr>
        <w:spacing w:after="80"/>
        <w:ind w:left="403" w:hanging="403"/>
      </w:pPr>
      <w:r>
        <w:rPr>
          <w:sz w:val="17"/>
        </w:rPr>
        <w:t xml:space="preserve">[6] HippoRAG 2 From RAG to Memory. </w:t>
      </w:r>
      <w:hyperlink r:id="rId36">
        <w:r>
          <w:rPr>
            <w:color w:val="1F5A94"/>
            <w:u w:val="single"/>
          </w:rPr>
          <w:t>https://arxiv.org/abs/2502.14802</w:t>
        </w:r>
      </w:hyperlink>
    </w:p>
    <w:p>
      <w:pPr>
        <w:spacing w:after="80"/>
        <w:ind w:left="403" w:hanging="403"/>
      </w:pPr>
      <w:r>
        <w:rPr>
          <w:sz w:val="17"/>
        </w:rPr>
        <w:t xml:space="preserve">[7] Zep A Temporal Knowledge Graph Architecture for Agent Memory. </w:t>
      </w:r>
      <w:hyperlink r:id="rId37">
        <w:r>
          <w:rPr>
            <w:color w:val="1F5A94"/>
            <w:u w:val="single"/>
          </w:rPr>
          <w:t>https://arxiv.org/abs/2501.13956</w:t>
        </w:r>
      </w:hyperlink>
    </w:p>
    <w:p>
      <w:pPr>
        <w:spacing w:after="80"/>
        <w:ind w:left="403" w:hanging="403"/>
      </w:pPr>
      <w:r>
        <w:rPr>
          <w:sz w:val="17"/>
        </w:rPr>
        <w:t xml:space="preserve">[8] Graphiti official repository. </w:t>
      </w:r>
      <w:hyperlink r:id="rId38">
        <w:r>
          <w:rPr>
            <w:color w:val="1F5A94"/>
            <w:u w:val="single"/>
          </w:rPr>
          <w:t>https://github.com/getzep/graphiti</w:t>
        </w:r>
      </w:hyperlink>
    </w:p>
    <w:p>
      <w:pPr>
        <w:spacing w:after="80"/>
        <w:ind w:left="403" w:hanging="403"/>
      </w:pPr>
      <w:r>
        <w:rPr>
          <w:sz w:val="17"/>
        </w:rPr>
        <w:t xml:space="preserve">[9] LangMem conceptual guide. </w:t>
      </w:r>
      <w:hyperlink r:id="rId39">
        <w:r>
          <w:rPr>
            <w:color w:val="1F5A94"/>
            <w:u w:val="single"/>
          </w:rPr>
          <w:t>https://langchain-ai.github.io/langmem/concepts/conceptual_guide/</w:t>
        </w:r>
      </w:hyperlink>
    </w:p>
    <w:p>
      <w:pPr>
        <w:spacing w:after="80"/>
        <w:ind w:left="403" w:hanging="403"/>
      </w:pPr>
      <w:r>
        <w:rPr>
          <w:sz w:val="17"/>
        </w:rPr>
        <w:t xml:space="preserve">[10] LoCoMo Evaluating Very Long Term Conversational Memory of LLM Agents. </w:t>
      </w:r>
      <w:hyperlink r:id="rId40">
        <w:r>
          <w:rPr>
            <w:color w:val="1F5A94"/>
            <w:u w:val="single"/>
          </w:rPr>
          <w:t>https://arxiv.org/abs/2402.17753</w:t>
        </w:r>
      </w:hyperlink>
    </w:p>
    <w:p>
      <w:pPr>
        <w:spacing w:after="80"/>
        <w:ind w:left="403" w:hanging="403"/>
      </w:pPr>
      <w:r>
        <w:rPr>
          <w:sz w:val="17"/>
        </w:rPr>
        <w:t xml:space="preserve">[11] LongMemEval Benchmarking Chat Assistants on Long Term Interactive Memory. </w:t>
      </w:r>
      <w:hyperlink r:id="rId41">
        <w:r>
          <w:rPr>
            <w:color w:val="1F5A94"/>
            <w:u w:val="single"/>
          </w:rPr>
          <w:t>https://arxiv.org/abs/2410.10813</w:t>
        </w:r>
      </w:hyperlink>
    </w:p>
    <w:p>
      <w:pPr>
        <w:spacing w:after="80"/>
        <w:ind w:left="403" w:hanging="403"/>
      </w:pPr>
      <w:r>
        <w:rPr>
          <w:sz w:val="17"/>
        </w:rPr>
        <w:t xml:space="preserve">[12] LongMemEval V2. </w:t>
      </w:r>
      <w:hyperlink r:id="rId42">
        <w:r>
          <w:rPr>
            <w:color w:val="1F5A94"/>
            <w:u w:val="single"/>
          </w:rPr>
          <w:t>https://arxiv.org/abs/2605.12493</w:t>
        </w:r>
      </w:hyperlink>
    </w:p>
    <w:p>
      <w:pPr>
        <w:spacing w:after="80"/>
        <w:ind w:left="403" w:hanging="403"/>
      </w:pPr>
      <w:r>
        <w:rPr>
          <w:sz w:val="17"/>
        </w:rPr>
        <w:t xml:space="preserve">[13] MemoryAgentBench Evaluating Memory in LLM Agents. </w:t>
      </w:r>
      <w:hyperlink r:id="rId43">
        <w:r>
          <w:rPr>
            <w:color w:val="1F5A94"/>
            <w:u w:val="single"/>
          </w:rPr>
          <w:t>https://arxiv.org/abs/2507.05257</w:t>
        </w:r>
      </w:hyperlink>
    </w:p>
    <w:p>
      <w:pPr>
        <w:spacing w:after="80"/>
        <w:ind w:left="403" w:hanging="403"/>
      </w:pPr>
      <w:r>
        <w:rPr>
          <w:sz w:val="17"/>
        </w:rPr>
        <w:t xml:space="preserve">[14] MemBench Towards More Comprehensive Evaluation on the Memory of LLM Based Agents. </w:t>
      </w:r>
      <w:hyperlink r:id="rId44">
        <w:r>
          <w:rPr>
            <w:color w:val="1F5A94"/>
            <w:u w:val="single"/>
          </w:rPr>
          <w:t>https://arxiv.org/abs/2506.21605</w:t>
        </w:r>
      </w:hyperlink>
    </w:p>
    <w:p>
      <w:pPr>
        <w:spacing w:after="80"/>
        <w:ind w:left="403" w:hanging="403"/>
      </w:pPr>
      <w:r>
        <w:rPr>
          <w:sz w:val="17"/>
        </w:rPr>
        <w:t xml:space="preserve">[15] Portable Memory specification. </w:t>
      </w:r>
      <w:hyperlink r:id="rId45">
        <w:r>
          <w:rPr>
            <w:color w:val="1F5A94"/>
            <w:u w:val="single"/>
          </w:rPr>
          <w:t>https://github.com/MacPaw/portable-memory/blob/main/Spec/portable-memory-spec.md</w:t>
        </w:r>
      </w:hyperlink>
    </w:p>
    <w:p>
      <w:pPr>
        <w:spacing w:after="80"/>
        <w:ind w:left="403" w:hanging="403"/>
      </w:pPr>
      <w:r>
        <w:rPr>
          <w:sz w:val="17"/>
        </w:rPr>
        <w:t xml:space="preserve">[16] Open Agent Memory Protocol. </w:t>
      </w:r>
      <w:hyperlink r:id="rId46">
        <w:r>
          <w:rPr>
            <w:color w:val="1F5A94"/>
            <w:u w:val="single"/>
          </w:rPr>
          <w:t>https://github.com/deep-thinking-lab/open-agent-memory-protocol</w:t>
        </w:r>
      </w:hyperlink>
    </w:p>
    <w:p>
      <w:pPr>
        <w:spacing w:after="80"/>
        <w:ind w:left="403" w:hanging="403"/>
      </w:pPr>
      <w:r>
        <w:rPr>
          <w:sz w:val="17"/>
        </w:rPr>
        <w:t xml:space="preserve">[17] Open Memory Interchange Record specification. </w:t>
      </w:r>
      <w:hyperlink r:id="rId47">
        <w:r>
          <w:rPr>
            <w:color w:val="1F5A94"/>
            <w:u w:val="single"/>
          </w:rPr>
          <w:t>https://omir.io/spec/R1/overview.html</w:t>
        </w:r>
      </w:hyperlink>
    </w:p>
    <w:p>
      <w:pPr>
        <w:spacing w:after="80"/>
        <w:ind w:left="403" w:hanging="403"/>
      </w:pPr>
      <w:r>
        <w:rPr>
          <w:sz w:val="17"/>
        </w:rPr>
        <w:t xml:space="preserve">[18] Portable AI Memory specification. </w:t>
      </w:r>
      <w:hyperlink r:id="rId48">
        <w:r>
          <w:rPr>
            <w:color w:val="1F5A94"/>
            <w:u w:val="single"/>
          </w:rPr>
          <w:t>https://www.portable-ai-memory.org/spec/v1.0/</w:t>
        </w:r>
      </w:hyperlink>
    </w:p>
    <w:p>
      <w:pPr>
        <w:spacing w:after="80"/>
        <w:ind w:left="403" w:hanging="403"/>
      </w:pPr>
      <w:r>
        <w:rPr>
          <w:sz w:val="17"/>
        </w:rPr>
        <w:t xml:space="preserve">[19] RFC 8785 JSON Canonicalization Scheme. </w:t>
      </w:r>
      <w:hyperlink r:id="rId49">
        <w:r>
          <w:rPr>
            <w:color w:val="1F5A94"/>
            <w:u w:val="single"/>
          </w:rPr>
          <w:t>https://www.rfc-editor.org/rfc/rfc8785.html</w:t>
        </w:r>
      </w:hyperlink>
    </w:p>
    <w:p>
      <w:pPr>
        <w:spacing w:after="80"/>
        <w:ind w:left="403" w:hanging="403"/>
      </w:pPr>
      <w:r>
        <w:rPr>
          <w:sz w:val="17"/>
        </w:rPr>
        <w:t xml:space="preserve">[20] JSON Schema Draft 2020 12. </w:t>
      </w:r>
      <w:hyperlink r:id="rId50">
        <w:r>
          <w:rPr>
            <w:color w:val="1F5A94"/>
            <w:u w:val="single"/>
          </w:rPr>
          <w:t>https://json-schema.org/draft/2020-12</w:t>
        </w:r>
      </w:hyperlink>
    </w:p>
    <w:p>
      <w:pPr>
        <w:spacing w:after="80"/>
        <w:ind w:left="403" w:hanging="403"/>
      </w:pPr>
      <w:r>
        <w:rPr>
          <w:sz w:val="17"/>
        </w:rPr>
        <w:t xml:space="preserve">[21] W3C Verifiable Credentials Data Model 2.0. </w:t>
      </w:r>
      <w:hyperlink r:id="rId51">
        <w:r>
          <w:rPr>
            <w:color w:val="1F5A94"/>
            <w:u w:val="single"/>
          </w:rPr>
          <w:t>https://www.w3.org/TR/vc-data-model/</w:t>
        </w:r>
      </w:hyperlink>
    </w:p>
    <w:p>
      <w:pPr>
        <w:spacing w:after="80"/>
        <w:ind w:left="403" w:hanging="403"/>
      </w:pPr>
      <w:r>
        <w:rPr>
          <w:sz w:val="17"/>
        </w:rPr>
        <w:t xml:space="preserve">[22] W3C DID Core. </w:t>
      </w:r>
      <w:hyperlink r:id="rId52">
        <w:r>
          <w:rPr>
            <w:color w:val="1F5A94"/>
            <w:u w:val="single"/>
          </w:rPr>
          <w:t>https://www.w3.org/TR/did-core/</w:t>
        </w:r>
      </w:hyperlink>
    </w:p>
    <w:p>
      <w:pPr>
        <w:spacing w:after="80"/>
        <w:ind w:left="403" w:hanging="403"/>
      </w:pPr>
      <w:r>
        <w:rPr>
          <w:sz w:val="17"/>
        </w:rPr>
        <w:t xml:space="preserve">[23] W3C PROV Overview. </w:t>
      </w:r>
      <w:hyperlink r:id="rId53">
        <w:r>
          <w:rPr>
            <w:color w:val="1F5A94"/>
            <w:u w:val="single"/>
          </w:rPr>
          <w:t>https://www.w3.org/TR/prov-overview/</w:t>
        </w:r>
      </w:hyperlink>
    </w:p>
    <w:p>
      <w:pPr>
        <w:spacing w:after="80"/>
        <w:ind w:left="403" w:hanging="403"/>
      </w:pPr>
      <w:r>
        <w:rPr>
          <w:sz w:val="17"/>
        </w:rPr>
        <w:t xml:space="preserve">[24] The Probabilistic Relevance Framework BM25 and Beyond. </w:t>
      </w:r>
      <w:hyperlink r:id="rId54">
        <w:r>
          <w:rPr>
            <w:color w:val="1F5A94"/>
            <w:u w:val="single"/>
          </w:rPr>
          <w:t>https://doi.org/10.1561/1500000019</w:t>
        </w:r>
      </w:hyperlink>
    </w:p>
    <w:p>
      <w:pPr>
        <w:spacing w:after="80"/>
        <w:ind w:left="403" w:hanging="403"/>
      </w:pPr>
      <w:r>
        <w:rPr>
          <w:sz w:val="17"/>
        </w:rPr>
        <w:t xml:space="preserve">[25] Reciprocal Rank Fusion Outperforms Condorcet and Individual Rank Learning Methods. </w:t>
      </w:r>
      <w:hyperlink r:id="rId55">
        <w:r>
          <w:rPr>
            <w:color w:val="1F5A94"/>
            <w:u w:val="single"/>
          </w:rPr>
          <w:t>https://research.google/pubs/reciprocal-rank-fusion-outperforms-condorcet-and-individual-rank-learning-methods/</w:t>
        </w:r>
      </w:hyperlink>
    </w:p>
    <w:p>
      <w:pPr>
        <w:spacing w:after="80"/>
        <w:ind w:left="403" w:hanging="403"/>
      </w:pPr>
      <w:r>
        <w:rPr>
          <w:sz w:val="17"/>
        </w:rPr>
        <w:t xml:space="preserve">[26] Topic Sensitive PageRank. </w:t>
      </w:r>
      <w:hyperlink r:id="rId56">
        <w:r>
          <w:rPr>
            <w:color w:val="1F5A94"/>
            <w:u w:val="single"/>
          </w:rPr>
          <w:t>https://doi.org/10.1145/511446.511513</w:t>
        </w:r>
      </w:hyperlink>
    </w:p>
    <w:p>
      <w:pPr>
        <w:spacing w:after="80"/>
        <w:ind w:left="403" w:hanging="403"/>
      </w:pPr>
      <w:r>
        <w:rPr>
          <w:sz w:val="17"/>
        </w:rPr>
        <w:t xml:space="preserve">[27] Sleeper Memory Poisoning Long Term Memory Backdoors in LLM Agents. </w:t>
      </w:r>
      <w:hyperlink r:id="rId57">
        <w:r>
          <w:rPr>
            <w:color w:val="1F5A94"/>
            <w:u w:val="single"/>
          </w:rPr>
          <w:t>https://arxiv.org/abs/2605.15338</w:t>
        </w:r>
      </w:hyperlink>
    </w:p>
    <w:p>
      <w:pPr>
        <w:spacing w:after="80"/>
        <w:ind w:left="403" w:hanging="403"/>
      </w:pPr>
      <w:r>
        <w:rPr>
          <w:sz w:val="17"/>
        </w:rPr>
        <w:t xml:space="preserve">[28] Origin Bound Authority for Persistent Agent Memory. </w:t>
      </w:r>
      <w:hyperlink r:id="rId58">
        <w:r>
          <w:rPr>
            <w:color w:val="1F5A94"/>
            <w:u w:val="single"/>
          </w:rPr>
          <w:t>https://arxiv.org/abs/2606.24322</w:t>
        </w:r>
      </w:hyperlink>
    </w:p>
    <w:p>
      <w:pPr>
        <w:spacing w:after="80"/>
        <w:ind w:left="403" w:hanging="403"/>
      </w:pPr>
      <w:r>
        <w:rPr>
          <w:sz w:val="17"/>
        </w:rPr>
        <w:t xml:space="preserve">[29] Memory Poisoning in Large Language Model Agents. </w:t>
      </w:r>
      <w:hyperlink r:id="rId59">
        <w:r>
          <w:rPr>
            <w:color w:val="1F5A94"/>
            <w:u w:val="single"/>
          </w:rPr>
          <w:t>https://arxiv.org/abs/2606.04329</w:t>
        </w:r>
      </w:hyperlink>
    </w:p>
    <w:p>
      <w:pPr>
        <w:spacing w:after="80"/>
        <w:ind w:left="403" w:hanging="403"/>
      </w:pPr>
      <w:r>
        <w:rPr>
          <w:sz w:val="17"/>
        </w:rPr>
        <w:t xml:space="preserve">[30] OWASP Agent Memory Guard. </w:t>
      </w:r>
      <w:hyperlink r:id="rId60">
        <w:r>
          <w:rPr>
            <w:color w:val="1F5A94"/>
            <w:u w:val="single"/>
          </w:rPr>
          <w:t>https://owasp.org/www-project-agent-memory-guard/</w:t>
        </w:r>
      </w:hyperlink>
    </w:p>
    <w:p>
      <w:pPr>
        <w:spacing w:after="80"/>
        <w:ind w:left="403" w:hanging="403"/>
      </w:pPr>
      <w:r>
        <w:rPr>
          <w:sz w:val="17"/>
        </w:rPr>
        <w:t xml:space="preserve">[31] Maximal Marginal Relevance. </w:t>
      </w:r>
      <w:hyperlink r:id="rId61">
        <w:r>
          <w:rPr>
            <w:color w:val="1F5A94"/>
            <w:u w:val="single"/>
          </w:rPr>
          <w:t>https://aclanthology.org/X98-1025/</w:t>
        </w:r>
      </w:hyperlink>
    </w:p>
    <w:p/>
    <w:p>
      <w:pPr>
        <w:jc w:val="center"/>
      </w:pPr>
      <w:r>
        <w:rPr>
          <w:color w:val="5B6573"/>
          <w:sz w:val="17"/>
        </w:rPr>
        <w:t>Prepared for SozoGraph engineering and research planning</w:t>
      </w:r>
    </w:p>
    <w:p>
      <w:r>
        <w:br w:type="page"/>
      </w:r>
    </w:p>
    <w:p>
      <w:pPr>
        <w:pStyle w:val="Heading1"/>
        <w:keepNext/>
      </w:pPr>
      <w:r>
        <w:t>Implementation Status September 2026</w:t>
      </w:r>
    </w:p>
    <w:p>
      <w:r>
        <w:t>The foundation and direct-ingestion tranches are complete in code. Passport 3 runs beside Passport 2.1. SozoGraph.ingest_v3 writes validated extraction output straight into the event ledger.</w:t>
      </w:r>
    </w:p>
    <w:p>
      <w:pPr>
        <w:pStyle w:val="Heading2"/>
        <w:keepNext/>
      </w:pPr>
      <w:r>
        <w:t>Completed in this session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040"/>
      </w:tblGrid>
      <w:tr>
        <w:trPr>
          <w:tblHeader/>
          <w:cantSplit/>
        </w:trPr>
        <w:tc>
          <w:tcPr>
            <w:tcW w:type="dxa" w:w="1152"/>
            <w:shd w:fill="1F4E78"/>
            <w:vAlign w:val="center"/>
            <w:tcMar>
              <w:top w:w="100" w:type="dxa"/>
              <w:start w:w="120" w:type="dxa"/>
              <w:bottom w:w="100" w:type="dxa"/>
              <w:end w:w="120" w:type="dxa"/>
            </w:tcMar>
          </w:tcPr>
          <w:p>
            <w:pPr>
              <w:jc w:val="center"/>
            </w:pPr>
            <w:r>
              <w:rPr>
                <w:b/>
                <w:color w:val="FFFFFF"/>
                <w:sz w:val="18"/>
              </w:rPr>
              <w:t>Status</w:t>
            </w:r>
          </w:p>
        </w:tc>
        <w:tc>
          <w:tcPr>
            <w:tcW w:type="dxa" w:w="3312"/>
            <w:shd w:fill="1F4E78"/>
            <w:vAlign w:val="center"/>
            <w:tcMar>
              <w:top w:w="100" w:type="dxa"/>
              <w:start w:w="120" w:type="dxa"/>
              <w:bottom w:w="100" w:type="dxa"/>
              <w:end w:w="120" w:type="dxa"/>
            </w:tcMar>
          </w:tcPr>
          <w:p>
            <w:pPr>
              <w:jc w:val="left"/>
            </w:pPr>
            <w:r>
              <w:rPr>
                <w:b/>
                <w:color w:val="FFFFFF"/>
                <w:sz w:val="18"/>
              </w:rPr>
              <w:t>Capability</w:t>
            </w:r>
          </w:p>
        </w:tc>
        <w:tc>
          <w:tcPr>
            <w:tcW w:type="dxa" w:w="5040"/>
            <w:shd w:fill="1F4E78"/>
            <w:vAlign w:val="center"/>
            <w:tcMar>
              <w:top w:w="100" w:type="dxa"/>
              <w:start w:w="120" w:type="dxa"/>
              <w:bottom w:w="100" w:type="dxa"/>
              <w:end w:w="120" w:type="dxa"/>
            </w:tcMar>
          </w:tcPr>
          <w:p>
            <w:pPr>
              <w:jc w:val="left"/>
            </w:pPr>
            <w:r>
              <w:rPr>
                <w:b/>
                <w:color w:val="FFFFFF"/>
                <w:sz w:val="18"/>
              </w:rPr>
              <w:t>Result</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Record model</w:t>
            </w:r>
          </w:p>
        </w:tc>
        <w:tc>
          <w:tcPr>
            <w:tcW w:type="dxa" w:w="5040"/>
            <w:vAlign w:val="center"/>
            <w:tcMar>
              <w:top w:w="100" w:type="dxa"/>
              <w:start w:w="120" w:type="dxa"/>
              <w:bottom w:w="100" w:type="dxa"/>
              <w:end w:w="120" w:type="dxa"/>
            </w:tcMar>
          </w:tcPr>
          <w:p>
            <w:pPr>
              <w:jc w:val="left"/>
            </w:pPr>
            <w:r>
              <w:rPr>
                <w:sz w:val="17"/>
              </w:rPr>
              <w:t>Nine memory kinds with lifecycle, authority, sensitivity, scope, confidence, and metadata.</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Stable identity</w:t>
            </w:r>
          </w:p>
        </w:tc>
        <w:tc>
          <w:tcPr>
            <w:tcW w:type="dxa" w:w="5040"/>
            <w:shd w:fill="F2F6FA"/>
            <w:vAlign w:val="center"/>
            <w:tcMar>
              <w:top w:w="100" w:type="dxa"/>
              <w:start w:w="120" w:type="dxa"/>
              <w:bottom w:w="100" w:type="dxa"/>
              <w:end w:w="120" w:type="dxa"/>
            </w:tcMar>
          </w:tcPr>
          <w:p>
            <w:pPr>
              <w:jc w:val="left"/>
            </w:pPr>
            <w:r>
              <w:rPr>
                <w:sz w:val="17"/>
              </w:rPr>
              <w:t>Canonical JSON, SHA-256 logical IDs, and independent revision hashes.</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Evidence</w:t>
            </w:r>
          </w:p>
        </w:tc>
        <w:tc>
          <w:tcPr>
            <w:tcW w:type="dxa" w:w="5040"/>
            <w:vAlign w:val="center"/>
            <w:tcMar>
              <w:top w:w="100" w:type="dxa"/>
              <w:start w:w="120" w:type="dxa"/>
              <w:bottom w:w="100" w:type="dxa"/>
              <w:end w:w="120" w:type="dxa"/>
            </w:tcMar>
          </w:tcPr>
          <w:p>
            <w:pPr>
              <w:jc w:val="left"/>
            </w:pPr>
            <w:r>
              <w:rPr>
                <w:sz w:val="17"/>
              </w:rPr>
              <w:t>Character offsets, UTF-8 byte offsets, exact quotes, source hashes, locators, and verification.</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Time</w:t>
            </w:r>
          </w:p>
        </w:tc>
        <w:tc>
          <w:tcPr>
            <w:tcW w:type="dxa" w:w="5040"/>
            <w:shd w:fill="F2F6FA"/>
            <w:vAlign w:val="center"/>
            <w:tcMar>
              <w:top w:w="100" w:type="dxa"/>
              <w:start w:w="120" w:type="dxa"/>
              <w:bottom w:w="100" w:type="dxa"/>
              <w:end w:w="120" w:type="dxa"/>
            </w:tcMar>
          </w:tcPr>
          <w:p>
            <w:pPr>
              <w:jc w:val="left"/>
            </w:pPr>
            <w:r>
              <w:rPr>
                <w:sz w:val="17"/>
              </w:rPr>
              <w:t>Half-open valid-time intervals and transaction-time as-of materialization.</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Event ledger</w:t>
            </w:r>
          </w:p>
        </w:tc>
        <w:tc>
          <w:tcPr>
            <w:tcW w:type="dxa" w:w="5040"/>
            <w:vAlign w:val="center"/>
            <w:tcMar>
              <w:top w:w="100" w:type="dxa"/>
              <w:start w:w="120" w:type="dxa"/>
              <w:bottom w:w="100" w:type="dxa"/>
              <w:end w:w="120" w:type="dxa"/>
            </w:tcMar>
          </w:tcPr>
          <w:p>
            <w:pPr>
              <w:jc w:val="left"/>
            </w:pPr>
            <w:r>
              <w:rPr>
                <w:sz w:val="17"/>
              </w:rPr>
              <w:t>Append-only upsert, retract, and delete events with Lamport clocks and causal parents.</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Replica merge</w:t>
            </w:r>
          </w:p>
        </w:tc>
        <w:tc>
          <w:tcPr>
            <w:tcW w:type="dxa" w:w="5040"/>
            <w:shd w:fill="F2F6FA"/>
            <w:vAlign w:val="center"/>
            <w:tcMar>
              <w:top w:w="100" w:type="dxa"/>
              <w:start w:w="120" w:type="dxa"/>
              <w:bottom w:w="100" w:type="dxa"/>
              <w:end w:w="120" w:type="dxa"/>
            </w:tcMar>
          </w:tcPr>
          <w:p>
            <w:pPr>
              <w:jc w:val="left"/>
            </w:pPr>
            <w:r>
              <w:rPr>
                <w:sz w:val="17"/>
              </w:rPr>
              <w:t>Deterministic event union, event deduplication, and convergent materialized state.</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Deletion</w:t>
            </w:r>
          </w:p>
        </w:tc>
        <w:tc>
          <w:tcPr>
            <w:tcW w:type="dxa" w:w="5040"/>
            <w:vAlign w:val="center"/>
            <w:tcMar>
              <w:top w:w="100" w:type="dxa"/>
              <w:start w:w="120" w:type="dxa"/>
              <w:bottom w:w="100" w:type="dxa"/>
              <w:end w:w="120" w:type="dxa"/>
            </w:tcMar>
          </w:tcPr>
          <w:p>
            <w:pPr>
              <w:jc w:val="left"/>
            </w:pPr>
            <w:r>
              <w:rPr>
                <w:sz w:val="17"/>
              </w:rPr>
              <w:t>Monotonic tombstones block stale replica resurrection.</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Policy gate</w:t>
            </w:r>
          </w:p>
        </w:tc>
        <w:tc>
          <w:tcPr>
            <w:tcW w:type="dxa" w:w="5040"/>
            <w:shd w:fill="F2F6FA"/>
            <w:vAlign w:val="center"/>
            <w:tcMar>
              <w:top w:w="100" w:type="dxa"/>
              <w:start w:w="120" w:type="dxa"/>
              <w:bottom w:w="100" w:type="dxa"/>
              <w:end w:w="120" w:type="dxa"/>
            </w:tcMar>
          </w:tcPr>
          <w:p>
            <w:pPr>
              <w:jc w:val="left"/>
            </w:pPr>
            <w:r>
              <w:rPr>
                <w:sz w:val="17"/>
              </w:rPr>
              <w:t>Sensitivity, scope, authority, and lifecycle filtering runs before ranking and rendering.</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Retrieval</w:t>
            </w:r>
          </w:p>
        </w:tc>
        <w:tc>
          <w:tcPr>
            <w:tcW w:type="dxa" w:w="5040"/>
            <w:vAlign w:val="center"/>
            <w:tcMar>
              <w:top w:w="100" w:type="dxa"/>
              <w:start w:w="120" w:type="dxa"/>
              <w:bottom w:w="100" w:type="dxa"/>
              <w:end w:w="120" w:type="dxa"/>
            </w:tcMar>
          </w:tcPr>
          <w:p>
            <w:pPr>
              <w:jc w:val="left"/>
            </w:pPr>
            <w:r>
              <w:rPr>
                <w:sz w:val="17"/>
              </w:rPr>
              <w:t>Field-aware BM25F weights keys, values, text, evidence, and metadata.</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Prompt boundary</w:t>
            </w:r>
          </w:p>
        </w:tc>
        <w:tc>
          <w:tcPr>
            <w:tcW w:type="dxa" w:w="5040"/>
            <w:shd w:fill="F2F6FA"/>
            <w:vAlign w:val="center"/>
            <w:tcMar>
              <w:top w:w="100" w:type="dxa"/>
              <w:start w:w="120" w:type="dxa"/>
              <w:bottom w:w="100" w:type="dxa"/>
              <w:end w:w="120" w:type="dxa"/>
            </w:tcMar>
          </w:tcPr>
          <w:p>
            <w:pPr>
              <w:jc w:val="left"/>
            </w:pPr>
            <w:r>
              <w:rPr>
                <w:sz w:val="17"/>
              </w:rPr>
              <w:t>Rendered memory is labeled as claim data. Embedded instructions are denied authority.</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Integrity</w:t>
            </w:r>
          </w:p>
        </w:tc>
        <w:tc>
          <w:tcPr>
            <w:tcW w:type="dxa" w:w="5040"/>
            <w:vAlign w:val="center"/>
            <w:tcMar>
              <w:top w:w="100" w:type="dxa"/>
              <w:start w:w="120" w:type="dxa"/>
              <w:bottom w:w="100" w:type="dxa"/>
              <w:end w:w="120" w:type="dxa"/>
            </w:tcMar>
          </w:tcPr>
          <w:p>
            <w:pPr>
              <w:jc w:val="left"/>
            </w:pPr>
            <w:r>
              <w:rPr>
                <w:sz w:val="17"/>
              </w:rPr>
              <w:t>HMAC-SHA-256 signatures cover canonical passport content and detect tampering.</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Persistence</w:t>
            </w:r>
          </w:p>
        </w:tc>
        <w:tc>
          <w:tcPr>
            <w:tcW w:type="dxa" w:w="5040"/>
            <w:shd w:fill="F2F6FA"/>
            <w:vAlign w:val="center"/>
            <w:tcMar>
              <w:top w:w="100" w:type="dxa"/>
              <w:start w:w="120" w:type="dxa"/>
              <w:bottom w:w="100" w:type="dxa"/>
              <w:end w:w="120" w:type="dxa"/>
            </w:tcMar>
          </w:tcPr>
          <w:p>
            <w:pPr>
              <w:jc w:val="left"/>
            </w:pPr>
            <w:r>
              <w:rPr>
                <w:sz w:val="17"/>
              </w:rPr>
              <w:t>Passport 3 saves and loads atomically as readable JSON.</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Migration</w:t>
            </w:r>
          </w:p>
        </w:tc>
        <w:tc>
          <w:tcPr>
            <w:tcW w:type="dxa" w:w="5040"/>
            <w:vAlign w:val="center"/>
            <w:tcMar>
              <w:top w:w="100" w:type="dxa"/>
              <w:start w:w="120" w:type="dxa"/>
              <w:bottom w:w="100" w:type="dxa"/>
              <w:end w:w="120" w:type="dxa"/>
            </w:tcMar>
          </w:tcPr>
          <w:p>
            <w:pPr>
              <w:jc w:val="left"/>
            </w:pPr>
            <w:r>
              <w:rPr>
                <w:sz w:val="17"/>
              </w:rPr>
              <w:t>Passport 1 and Passport 2 snapshots upgrade offline and retain their source snapshot.</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Forward compatibility</w:t>
            </w:r>
          </w:p>
        </w:tc>
        <w:tc>
          <w:tcPr>
            <w:tcW w:type="dxa" w:w="5040"/>
            <w:shd w:fill="F2F6FA"/>
            <w:vAlign w:val="center"/>
            <w:tcMar>
              <w:top w:w="100" w:type="dxa"/>
              <w:start w:w="120" w:type="dxa"/>
              <w:bottom w:w="100" w:type="dxa"/>
              <w:end w:w="120" w:type="dxa"/>
            </w:tcMar>
          </w:tcPr>
          <w:p>
            <w:pPr>
              <w:jc w:val="left"/>
            </w:pPr>
            <w:r>
              <w:rPr>
                <w:sz w:val="17"/>
              </w:rPr>
              <w:t>Unknown fields survive at their original level in Passport 2 and Passport 3.</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Public API</w:t>
            </w:r>
          </w:p>
        </w:tc>
        <w:tc>
          <w:tcPr>
            <w:tcW w:type="dxa" w:w="5040"/>
            <w:vAlign w:val="center"/>
            <w:tcMar>
              <w:top w:w="100" w:type="dxa"/>
              <w:start w:w="120" w:type="dxa"/>
              <w:bottom w:w="100" w:type="dxa"/>
              <w:end w:w="120" w:type="dxa"/>
            </w:tcMar>
          </w:tcPr>
          <w:p>
            <w:pPr>
              <w:jc w:val="left"/>
            </w:pPr>
            <w:r>
              <w:rPr>
                <w:sz w:val="17"/>
              </w:rPr>
              <w:t>Passport 3 primitives are exported from the sozograph package root.</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Direct ingestion</w:t>
            </w:r>
          </w:p>
        </w:tc>
        <w:tc>
          <w:tcPr>
            <w:tcW w:type="dxa" w:w="5040"/>
            <w:shd w:fill="F2F6FA"/>
            <w:vAlign w:val="center"/>
            <w:tcMar>
              <w:top w:w="100" w:type="dxa"/>
              <w:start w:w="120" w:type="dxa"/>
              <w:bottom w:w="100" w:type="dxa"/>
              <w:end w:w="120" w:type="dxa"/>
            </w:tcMar>
          </w:tcPr>
          <w:p>
            <w:pPr>
              <w:jc w:val="left"/>
            </w:pPr>
            <w:r>
              <w:rPr>
                <w:sz w:val="17"/>
              </w:rPr>
              <w:t>SozoGraph.ingest_v3 projects validated extraction output into immutable Passport 3 events.</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Evidence anchoring</w:t>
            </w:r>
          </w:p>
        </w:tc>
        <w:tc>
          <w:tcPr>
            <w:tcW w:type="dxa" w:w="5040"/>
            <w:vAlign w:val="center"/>
            <w:tcMar>
              <w:top w:w="100" w:type="dxa"/>
              <w:start w:w="120" w:type="dxa"/>
              <w:bottom w:w="100" w:type="dxa"/>
              <w:end w:w="120" w:type="dxa"/>
            </w:tcMar>
          </w:tcPr>
          <w:p>
            <w:r>
              <w:t>Lean extraction stays focused on memory content. Local alignment anchors exact spans. An optional bounded pass links unresolved evidence.</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Replay safety</w:t>
            </w:r>
          </w:p>
        </w:tc>
        <w:tc>
          <w:tcPr>
            <w:tcW w:type="dxa" w:w="5040"/>
            <w:shd w:fill="F2F6FA"/>
            <w:vAlign w:val="center"/>
            <w:tcMar>
              <w:top w:w="100" w:type="dxa"/>
              <w:start w:w="120" w:type="dxa"/>
              <w:bottom w:w="100" w:type="dxa"/>
              <w:end w:w="120" w:type="dxa"/>
            </w:tcMar>
          </w:tcPr>
          <w:p>
            <w:pPr>
              <w:jc w:val="left"/>
            </w:pPr>
            <w:r>
              <w:rPr>
                <w:sz w:val="17"/>
              </w:rPr>
              <w:t>Semantic hashes ignore transaction timestamps and lineage fields, so deterministic replays append no events.</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Revision history</w:t>
            </w:r>
          </w:p>
        </w:tc>
        <w:tc>
          <w:tcPr>
            <w:tcW w:type="dxa" w:w="5040"/>
            <w:vAlign w:val="center"/>
            <w:tcMar>
              <w:top w:w="100" w:type="dxa"/>
              <w:start w:w="120" w:type="dxa"/>
              <w:bottom w:w="100" w:type="dxa"/>
              <w:end w:w="120" w:type="dxa"/>
            </w:tcMar>
          </w:tcPr>
          <w:p>
            <w:pPr>
              <w:jc w:val="left"/>
            </w:pPr>
            <w:r>
              <w:rPr>
                <w:sz w:val="17"/>
              </w:rPr>
              <w:t>Stable logical IDs and valid-time selection preserve current and historical values.</w:t>
            </w:r>
          </w:p>
        </w:tc>
      </w:tr>
      <w:tr>
        <w:trPr>
          <w:cantSplit/>
        </w:trPr>
        <w:tc>
          <w:tcPr>
            <w:tcW w:type="dxa" w:w="1152"/>
            <w:shd w:fill="F2F6FA"/>
            <w:vAlign w:val="center"/>
            <w:tcMar>
              <w:top w:w="100" w:type="dxa"/>
              <w:start w:w="120" w:type="dxa"/>
              <w:bottom w:w="100" w:type="dxa"/>
              <w:end w:w="120" w:type="dxa"/>
            </w:tcMar>
          </w:tcPr>
          <w:p>
            <w:pPr>
              <w:jc w:val="center"/>
            </w:pPr>
            <w:r>
              <w:rPr>
                <w:b/>
                <w:color w:val="145C37"/>
                <w:sz w:val="17"/>
              </w:rPr>
              <w:t>[x]</w:t>
            </w:r>
          </w:p>
        </w:tc>
        <w:tc>
          <w:tcPr>
            <w:tcW w:type="dxa" w:w="3312"/>
            <w:shd w:fill="F2F6FA"/>
            <w:vAlign w:val="center"/>
            <w:tcMar>
              <w:top w:w="100" w:type="dxa"/>
              <w:start w:w="120" w:type="dxa"/>
              <w:bottom w:w="100" w:type="dxa"/>
              <w:end w:w="120" w:type="dxa"/>
            </w:tcMar>
          </w:tcPr>
          <w:p>
            <w:pPr>
              <w:jc w:val="left"/>
            </w:pPr>
            <w:r>
              <w:rPr>
                <w:sz w:val="17"/>
              </w:rPr>
              <w:t>Source identity</w:t>
            </w:r>
          </w:p>
        </w:tc>
        <w:tc>
          <w:tcPr>
            <w:tcW w:type="dxa" w:w="5040"/>
            <w:shd w:fill="F2F6FA"/>
            <w:vAlign w:val="center"/>
            <w:tcMar>
              <w:top w:w="100" w:type="dxa"/>
              <w:start w:w="120" w:type="dxa"/>
              <w:bottom w:w="100" w:type="dxa"/>
              <w:end w:w="120" w:type="dxa"/>
            </w:tcMar>
          </w:tcPr>
          <w:p>
            <w:pPr>
              <w:jc w:val="left"/>
            </w:pPr>
            <w:r>
              <w:rPr>
                <w:sz w:val="17"/>
              </w:rPr>
              <w:t>Content-derived source IDs prevent collisions and source registries union during replica merge.</w:t>
            </w:r>
          </w:p>
        </w:tc>
      </w:tr>
      <w:tr>
        <w:trPr>
          <w:cantSplit/>
        </w:trPr>
        <w:tc>
          <w:tcPr>
            <w:tcW w:type="dxa" w:w="1152"/>
            <w:vAlign w:val="center"/>
            <w:tcMar>
              <w:top w:w="100" w:type="dxa"/>
              <w:start w:w="120" w:type="dxa"/>
              <w:bottom w:w="100" w:type="dxa"/>
              <w:end w:w="120" w:type="dxa"/>
            </w:tcMar>
          </w:tcPr>
          <w:p>
            <w:pPr>
              <w:jc w:val="center"/>
            </w:pPr>
            <w:r>
              <w:rPr>
                <w:b/>
                <w:color w:val="145C37"/>
                <w:sz w:val="17"/>
              </w:rPr>
              <w:t>[x]</w:t>
            </w:r>
          </w:p>
        </w:tc>
        <w:tc>
          <w:tcPr>
            <w:tcW w:type="dxa" w:w="3312"/>
            <w:vAlign w:val="center"/>
            <w:tcMar>
              <w:top w:w="100" w:type="dxa"/>
              <w:start w:w="120" w:type="dxa"/>
              <w:bottom w:w="100" w:type="dxa"/>
              <w:end w:w="120" w:type="dxa"/>
            </w:tcMar>
          </w:tcPr>
          <w:p>
            <w:pPr>
              <w:jc w:val="left"/>
            </w:pPr>
            <w:r>
              <w:rPr>
                <w:sz w:val="17"/>
              </w:rPr>
              <w:t>Failure isolation</w:t>
            </w:r>
          </w:p>
        </w:tc>
        <w:tc>
          <w:tcPr>
            <w:tcW w:type="dxa" w:w="5040"/>
            <w:vAlign w:val="center"/>
            <w:tcMar>
              <w:top w:w="100" w:type="dxa"/>
              <w:start w:w="120" w:type="dxa"/>
              <w:bottom w:w="100" w:type="dxa"/>
              <w:end w:w="120" w:type="dxa"/>
            </w:tcMar>
          </w:tcPr>
          <w:p>
            <w:pPr>
              <w:jc w:val="left"/>
            </w:pPr>
            <w:r>
              <w:rPr>
                <w:sz w:val="17"/>
              </w:rPr>
              <w:t>A failed source is recorded for audit while the remaining ingestion continues.</w:t>
            </w:r>
          </w:p>
        </w:tc>
      </w:tr>
    </w:tbl>
    <w:p>
      <w:pPr>
        <w:pStyle w:val="Heading2"/>
        <w:keepNext/>
      </w:pPr>
      <w:r>
        <w:t>Verified</w:t>
      </w:r>
    </w:p>
    <w:p>
      <w:pPr>
        <w:pStyle w:val="ListBullet"/>
      </w:pPr>
      <w:r>
        <w:t>197 tests passed.</w:t>
      </w:r>
    </w:p>
    <w:p>
      <w:pPr>
        <w:pStyle w:val="ListBullet"/>
      </w:pPr>
      <w:r>
        <w:t>4 live provider tests were skipped because they require provider credentials.</w:t>
      </w:r>
    </w:p>
    <w:p>
      <w:pPr>
        <w:pStyle w:val="ListBullet"/>
      </w:pPr>
      <w:r>
        <w:t>New and changed production code passes Ruff.</w:t>
      </w:r>
    </w:p>
    <w:p>
      <w:pPr>
        <w:pStyle w:val="ListBullet"/>
      </w:pPr>
      <w:r>
        <w:t>Existing Passport 2 behavior remains green.</w:t>
      </w:r>
    </w:p>
    <w:p>
      <w:pPr>
        <w:pStyle w:val="ListBullet"/>
      </w:pPr>
      <w:r>
        <w:t>Passport 3 tests now cover lean extraction, exact evidence, Unicode coordinates, replay, bitemporal revisions, replica convergence, stale deletion, policy filtering, timeline rendering, semantic revision gates, hybrid retrieval, file round trips, and tamper detection.</w:t>
      </w:r>
    </w:p>
    <w:p>
      <w:pPr>
        <w:pStyle w:val="Heading2"/>
        <w:keepNext/>
      </w:pPr>
      <w:r>
        <w:t>Mathematics now represented in code</w:t>
      </w:r>
    </w:p>
    <w:p>
      <w:r>
        <w:t>The identity equations map to canonical JSON and SHA-256. Semantic replay identity excludes transaction time and supersession lineage. The convergence equation maps to event-set union and a deterministic fold. Event order maps to Lamport clock, event time, replica ID, and event ID. Valid-time selection chooses the latest applicable revision. Retrieval maps to BM25F with per-field weights and per-field length normalization.</w:t>
      </w:r>
    </w:p>
    <w:p>
      <w:pPr>
        <w:pStyle w:val="Heading2"/>
        <w:keepNext/>
      </w:pPr>
      <w:r>
        <w:t>Remaining work</w:t>
      </w:r>
    </w:p>
    <w:p>
      <w:pPr>
        <w:pStyle w:val="ListBullet"/>
      </w:pPr>
      <w:r>
        <w:t>Extract relations, procedures, and outcomes from provider output.</w:t>
      </w:r>
    </w:p>
    <w:p>
      <w:pPr>
        <w:pStyle w:val="ListBullet"/>
      </w:pPr>
      <w:r>
        <w:t>Add calibrated contradiction and supersession policy.</w:t>
      </w:r>
    </w:p>
    <w:p>
      <w:pPr>
        <w:pStyle w:val="ListBullet"/>
      </w:pPr>
      <w:r>
        <w:t>Add asymmetric signatures, envelope encryption, consent receipts, purpose binding, and retention jobs.</w:t>
      </w:r>
    </w:p>
    <w:p>
      <w:pPr>
        <w:pStyle w:val="ListBullet"/>
      </w:pPr>
      <w:r>
        <w:t>Add the disposable graph sidecar, learned late-interaction reranking, and diversity selection.</w:t>
      </w:r>
    </w:p>
    <w:p>
      <w:pPr>
        <w:pStyle w:val="ListBullet"/>
      </w:pPr>
      <w:r>
        <w:t>Run LoCoMo, LongMemEval, conflict-heavy portability tests, property tests, fuzz tests, and long-running replica convergence tests.</w:t>
      </w:r>
    </w:p>
    <w:p>
      <w:pPr>
        <w:pStyle w:val="ListBullet"/>
      </w:pPr>
      <w:r>
        <w:t>Publish the Passport 3 JSON Schema and migration guide.</w:t>
      </w:r>
    </w:p>
    <w:p>
      <w:pPr>
        <w:pStyle w:val="Heading2"/>
        <w:keepNext/>
      </w:pPr>
      <w:r>
        <w:t>Current integration point</w:t>
      </w:r>
    </w:p>
    <w:p>
      <w:r>
        <w:t>Use SozoGraph.ingest_v3 for direct event-ledger ingestion. Pass the returned MemoryPassport back into the method for incremental updates. Use Passport.to_v3 for an offline snapshot upgrade. SozoGraph.ingest remains the stable Passport 2.1 path.</w:t>
      </w:r>
    </w:p>
    <w:p>
      <w:pPr>
        <w:pStyle w:val="Heading1"/>
        <w:keepNext/>
      </w:pPr>
      <w:r>
        <w:t>12 Vector meaning strategy</w:t>
      </w:r>
    </w:p>
    <w:p>
      <w:r>
        <w:t>The decision is to keep meaning outside the canonical passport. The passport stores auditable claims. A revision-bound sidecar stores geometry. BM25F and vectors generate candidates together. Late interaction reranks the hard cases. Valid time orders the final evidence.</w:t>
      </w:r>
    </w:p>
    <w:p>
      <w:r>
        <w:t>The benchmark result sets the immediate priority. Required evidence quotes reduced the Passport 2 path from 25.4 percent to 21.0 percent. Temporal accuracy fell from 28 percent to 14 percent. The ledger path reached 19.8 percent on eight conversations and raised matched multi-hop accuracy from 9 percent to 15 percent. The extractor now writes meaning. Evidence linking now runs after extraction.</w:t>
      </w:r>
    </w:p>
    <w:p>
      <w:pPr>
        <w:pStyle w:val="Heading2"/>
        <w:keepNext/>
      </w:pPr>
      <w:r>
        <w:t>Architecture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c>
          <w:tcPr>
            <w:tcW w:type="dxa" w:w="1224"/>
            <w:shd w:fill="1F4E78"/>
            <w:tcMar>
              <w:top w:w="110" w:type="dxa"/>
              <w:start w:w="110" w:type="dxa"/>
              <w:bottom w:w="110" w:type="dxa"/>
              <w:end w:w="110" w:type="dxa"/>
            </w:tcMar>
            <w:vAlign w:val="center"/>
          </w:tcPr>
          <w:p>
            <w:r>
              <w:rPr>
                <w:b/>
                <w:color w:val="FFFFFF"/>
                <w:sz w:val="17"/>
              </w:rPr>
              <w:t>Layer</w:t>
            </w:r>
          </w:p>
        </w:tc>
        <w:tc>
          <w:tcPr>
            <w:tcW w:type="dxa" w:w="1800"/>
            <w:shd w:fill="1F4E78"/>
            <w:tcMar>
              <w:top w:w="110" w:type="dxa"/>
              <w:start w:w="110" w:type="dxa"/>
              <w:bottom w:w="110" w:type="dxa"/>
              <w:end w:w="110" w:type="dxa"/>
            </w:tcMar>
            <w:vAlign w:val="center"/>
          </w:tcPr>
          <w:p>
            <w:r>
              <w:rPr>
                <w:b/>
                <w:color w:val="FFFFFF"/>
                <w:sz w:val="17"/>
              </w:rPr>
              <w:t>Mechanism</w:t>
            </w:r>
          </w:p>
        </w:tc>
        <w:tc>
          <w:tcPr>
            <w:tcW w:type="dxa" w:w="4104"/>
            <w:shd w:fill="1F4E78"/>
            <w:tcMar>
              <w:top w:w="110" w:type="dxa"/>
              <w:start w:w="110" w:type="dxa"/>
              <w:bottom w:w="110" w:type="dxa"/>
              <w:end w:w="110" w:type="dxa"/>
            </w:tcMar>
            <w:vAlign w:val="center"/>
          </w:tcPr>
          <w:p>
            <w:r>
              <w:rPr>
                <w:b/>
                <w:color w:val="FFFFFF"/>
                <w:sz w:val="17"/>
              </w:rPr>
              <w:t>Stored form</w:t>
            </w:r>
          </w:p>
        </w:tc>
        <w:tc>
          <w:tcPr>
            <w:tcW w:type="dxa" w:w="1800"/>
            <w:shd w:fill="1F4E78"/>
            <w:tcMar>
              <w:top w:w="110" w:type="dxa"/>
              <w:start w:w="110" w:type="dxa"/>
              <w:bottom w:w="110" w:type="dxa"/>
              <w:end w:w="110" w:type="dxa"/>
            </w:tcMar>
            <w:vAlign w:val="center"/>
          </w:tcPr>
          <w:p>
            <w:r>
              <w:rPr>
                <w:b/>
                <w:color w:val="FFFFFF"/>
                <w:sz w:val="17"/>
              </w:rPr>
              <w:t>Job</w:t>
            </w:r>
          </w:p>
        </w:tc>
      </w:tr>
      <w:tr>
        <w:tc>
          <w:tcPr>
            <w:tcW w:type="dxa" w:w="1224"/>
            <w:tcMar>
              <w:top w:w="110" w:type="dxa"/>
              <w:start w:w="110" w:type="dxa"/>
              <w:bottom w:w="110" w:type="dxa"/>
              <w:end w:w="110" w:type="dxa"/>
            </w:tcMar>
            <w:vAlign w:val="center"/>
          </w:tcPr>
          <w:p>
            <w:r>
              <w:rPr>
                <w:sz w:val="16"/>
              </w:rPr>
              <w:t>Canonical</w:t>
            </w:r>
          </w:p>
        </w:tc>
        <w:tc>
          <w:tcPr>
            <w:tcW w:type="dxa" w:w="1800"/>
            <w:tcMar>
              <w:top w:w="110" w:type="dxa"/>
              <w:start w:w="110" w:type="dxa"/>
              <w:bottom w:w="110" w:type="dxa"/>
              <w:end w:w="110" w:type="dxa"/>
            </w:tcMar>
            <w:vAlign w:val="center"/>
          </w:tcPr>
          <w:p>
            <w:r>
              <w:rPr>
                <w:sz w:val="16"/>
              </w:rPr>
              <w:t>Passport 3 ledger</w:t>
            </w:r>
          </w:p>
        </w:tc>
        <w:tc>
          <w:tcPr>
            <w:tcW w:type="dxa" w:w="4104"/>
            <w:tcMar>
              <w:top w:w="110" w:type="dxa"/>
              <w:start w:w="110" w:type="dxa"/>
              <w:bottom w:w="110" w:type="dxa"/>
              <w:end w:w="110" w:type="dxa"/>
            </w:tcMar>
            <w:vAlign w:val="center"/>
          </w:tcPr>
          <w:p>
            <w:r>
              <w:rPr>
                <w:sz w:val="16"/>
              </w:rPr>
              <w:t>Claims, evidence, time, policy, revision lineage</w:t>
            </w:r>
          </w:p>
        </w:tc>
        <w:tc>
          <w:tcPr>
            <w:tcW w:type="dxa" w:w="1800"/>
            <w:tcMar>
              <w:top w:w="110" w:type="dxa"/>
              <w:start w:w="110" w:type="dxa"/>
              <w:bottom w:w="110" w:type="dxa"/>
              <w:end w:w="110" w:type="dxa"/>
            </w:tcMar>
            <w:vAlign w:val="center"/>
          </w:tcPr>
          <w:p>
            <w:r>
              <w:rPr>
                <w:sz w:val="16"/>
              </w:rPr>
              <w:t>Portable truth</w:t>
            </w:r>
          </w:p>
        </w:tc>
      </w:tr>
      <w:tr>
        <w:tc>
          <w:tcPr>
            <w:tcW w:type="dxa" w:w="1224"/>
            <w:shd w:fill="F2F6FA"/>
            <w:tcMar>
              <w:top w:w="110" w:type="dxa"/>
              <w:start w:w="110" w:type="dxa"/>
              <w:bottom w:w="110" w:type="dxa"/>
              <w:end w:w="110" w:type="dxa"/>
            </w:tcMar>
            <w:vAlign w:val="center"/>
          </w:tcPr>
          <w:p>
            <w:r>
              <w:rPr>
                <w:sz w:val="16"/>
              </w:rPr>
              <w:t>Recall one</w:t>
            </w:r>
          </w:p>
        </w:tc>
        <w:tc>
          <w:tcPr>
            <w:tcW w:type="dxa" w:w="1800"/>
            <w:shd w:fill="F2F6FA"/>
            <w:tcMar>
              <w:top w:w="110" w:type="dxa"/>
              <w:start w:w="110" w:type="dxa"/>
              <w:bottom w:w="110" w:type="dxa"/>
              <w:end w:w="110" w:type="dxa"/>
            </w:tcMar>
            <w:vAlign w:val="center"/>
          </w:tcPr>
          <w:p>
            <w:r>
              <w:rPr>
                <w:sz w:val="16"/>
              </w:rPr>
              <w:t>BM25F</w:t>
            </w:r>
          </w:p>
        </w:tc>
        <w:tc>
          <w:tcPr>
            <w:tcW w:type="dxa" w:w="4104"/>
            <w:shd w:fill="F2F6FA"/>
            <w:tcMar>
              <w:top w:w="110" w:type="dxa"/>
              <w:start w:w="110" w:type="dxa"/>
              <w:bottom w:w="110" w:type="dxa"/>
              <w:end w:w="110" w:type="dxa"/>
            </w:tcMar>
            <w:vAlign w:val="center"/>
          </w:tcPr>
          <w:p>
            <w:r>
              <w:rPr>
                <w:sz w:val="16"/>
              </w:rPr>
              <w:t>Keys, values, text, dates, evidence</w:t>
            </w:r>
          </w:p>
        </w:tc>
        <w:tc>
          <w:tcPr>
            <w:tcW w:type="dxa" w:w="1800"/>
            <w:shd w:fill="F2F6FA"/>
            <w:tcMar>
              <w:top w:w="110" w:type="dxa"/>
              <w:start w:w="110" w:type="dxa"/>
              <w:bottom w:w="110" w:type="dxa"/>
              <w:end w:w="110" w:type="dxa"/>
            </w:tcMar>
            <w:vAlign w:val="center"/>
          </w:tcPr>
          <w:p>
            <w:r>
              <w:rPr>
                <w:sz w:val="16"/>
              </w:rPr>
              <w:t>Exact terms</w:t>
            </w:r>
          </w:p>
        </w:tc>
      </w:tr>
      <w:tr>
        <w:tc>
          <w:tcPr>
            <w:tcW w:type="dxa" w:w="1224"/>
            <w:tcMar>
              <w:top w:w="110" w:type="dxa"/>
              <w:start w:w="110" w:type="dxa"/>
              <w:bottom w:w="110" w:type="dxa"/>
              <w:end w:w="110" w:type="dxa"/>
            </w:tcMar>
            <w:vAlign w:val="center"/>
          </w:tcPr>
          <w:p>
            <w:r>
              <w:rPr>
                <w:sz w:val="16"/>
              </w:rPr>
              <w:t>Recall two</w:t>
            </w:r>
          </w:p>
        </w:tc>
        <w:tc>
          <w:tcPr>
            <w:tcW w:type="dxa" w:w="1800"/>
            <w:tcMar>
              <w:top w:w="110" w:type="dxa"/>
              <w:start w:w="110" w:type="dxa"/>
              <w:bottom w:w="110" w:type="dxa"/>
              <w:end w:w="110" w:type="dxa"/>
            </w:tcMar>
            <w:vAlign w:val="center"/>
          </w:tcPr>
          <w:p>
            <w:r>
              <w:rPr>
                <w:sz w:val="16"/>
              </w:rPr>
              <w:t>Field vectors</w:t>
            </w:r>
          </w:p>
        </w:tc>
        <w:tc>
          <w:tcPr>
            <w:tcW w:type="dxa" w:w="4104"/>
            <w:tcMar>
              <w:top w:w="110" w:type="dxa"/>
              <w:start w:w="110" w:type="dxa"/>
              <w:bottom w:w="110" w:type="dxa"/>
              <w:end w:w="110" w:type="dxa"/>
            </w:tcMar>
            <w:vAlign w:val="center"/>
          </w:tcPr>
          <w:p>
            <w:r>
              <w:rPr>
                <w:sz w:val="16"/>
              </w:rPr>
              <w:t>One normalized vector per semantic field</w:t>
            </w:r>
          </w:p>
        </w:tc>
        <w:tc>
          <w:tcPr>
            <w:tcW w:type="dxa" w:w="1800"/>
            <w:tcMar>
              <w:top w:w="110" w:type="dxa"/>
              <w:start w:w="110" w:type="dxa"/>
              <w:bottom w:w="110" w:type="dxa"/>
              <w:end w:w="110" w:type="dxa"/>
            </w:tcMar>
            <w:vAlign w:val="center"/>
          </w:tcPr>
          <w:p>
            <w:r>
              <w:rPr>
                <w:sz w:val="16"/>
              </w:rPr>
              <w:t>Paraphrases</w:t>
            </w:r>
          </w:p>
        </w:tc>
      </w:tr>
      <w:tr>
        <w:tc>
          <w:tcPr>
            <w:tcW w:type="dxa" w:w="1224"/>
            <w:shd w:fill="F2F6FA"/>
            <w:tcMar>
              <w:top w:w="110" w:type="dxa"/>
              <w:start w:w="110" w:type="dxa"/>
              <w:bottom w:w="110" w:type="dxa"/>
              <w:end w:w="110" w:type="dxa"/>
            </w:tcMar>
            <w:vAlign w:val="center"/>
          </w:tcPr>
          <w:p>
            <w:r>
              <w:rPr>
                <w:sz w:val="16"/>
              </w:rPr>
              <w:t>Rerank</w:t>
            </w:r>
          </w:p>
        </w:tc>
        <w:tc>
          <w:tcPr>
            <w:tcW w:type="dxa" w:w="1800"/>
            <w:shd w:fill="F2F6FA"/>
            <w:tcMar>
              <w:top w:w="110" w:type="dxa"/>
              <w:start w:w="110" w:type="dxa"/>
              <w:bottom w:w="110" w:type="dxa"/>
              <w:end w:w="110" w:type="dxa"/>
            </w:tcMar>
            <w:vAlign w:val="center"/>
          </w:tcPr>
          <w:p>
            <w:r>
              <w:rPr>
                <w:sz w:val="16"/>
              </w:rPr>
              <w:t>Late interaction</w:t>
            </w:r>
          </w:p>
        </w:tc>
        <w:tc>
          <w:tcPr>
            <w:tcW w:type="dxa" w:w="4104"/>
            <w:shd w:fill="F2F6FA"/>
            <w:tcMar>
              <w:top w:w="110" w:type="dxa"/>
              <w:start w:w="110" w:type="dxa"/>
              <w:bottom w:w="110" w:type="dxa"/>
              <w:end w:w="110" w:type="dxa"/>
            </w:tcMar>
            <w:vAlign w:val="center"/>
          </w:tcPr>
          <w:p>
            <w:r>
              <w:rPr>
                <w:sz w:val="16"/>
              </w:rPr>
              <w:t>Token vectors for the hard candidate set</w:t>
            </w:r>
          </w:p>
        </w:tc>
        <w:tc>
          <w:tcPr>
            <w:tcW w:type="dxa" w:w="1800"/>
            <w:shd w:fill="F2F6FA"/>
            <w:tcMar>
              <w:top w:w="110" w:type="dxa"/>
              <w:start w:w="110" w:type="dxa"/>
              <w:bottom w:w="110" w:type="dxa"/>
              <w:end w:w="110" w:type="dxa"/>
            </w:tcMar>
            <w:vAlign w:val="center"/>
          </w:tcPr>
          <w:p>
            <w:r>
              <w:rPr>
                <w:sz w:val="16"/>
              </w:rPr>
              <w:t>Fine meaning</w:t>
            </w:r>
          </w:p>
        </w:tc>
      </w:tr>
      <w:tr>
        <w:tc>
          <w:tcPr>
            <w:tcW w:type="dxa" w:w="1224"/>
            <w:tcMar>
              <w:top w:w="110" w:type="dxa"/>
              <w:start w:w="110" w:type="dxa"/>
              <w:bottom w:w="110" w:type="dxa"/>
              <w:end w:w="110" w:type="dxa"/>
            </w:tcMar>
            <w:vAlign w:val="center"/>
          </w:tcPr>
          <w:p>
            <w:r>
              <w:rPr>
                <w:sz w:val="16"/>
              </w:rPr>
              <w:t>Pack</w:t>
            </w:r>
          </w:p>
        </w:tc>
        <w:tc>
          <w:tcPr>
            <w:tcW w:type="dxa" w:w="1800"/>
            <w:tcMar>
              <w:top w:w="110" w:type="dxa"/>
              <w:start w:w="110" w:type="dxa"/>
              <w:bottom w:w="110" w:type="dxa"/>
              <w:end w:w="110" w:type="dxa"/>
            </w:tcMar>
            <w:vAlign w:val="center"/>
          </w:tcPr>
          <w:p>
            <w:r>
              <w:rPr>
                <w:sz w:val="16"/>
              </w:rPr>
              <w:t>Timeline and diversity</w:t>
            </w:r>
          </w:p>
        </w:tc>
        <w:tc>
          <w:tcPr>
            <w:tcW w:type="dxa" w:w="4104"/>
            <w:tcMar>
              <w:top w:w="110" w:type="dxa"/>
              <w:start w:w="110" w:type="dxa"/>
              <w:bottom w:w="110" w:type="dxa"/>
              <w:end w:w="110" w:type="dxa"/>
            </w:tcMar>
            <w:vAlign w:val="center"/>
          </w:tcPr>
          <w:p>
            <w:r>
              <w:rPr>
                <w:sz w:val="16"/>
              </w:rPr>
              <w:t>Valid-time order and coverage</w:t>
            </w:r>
          </w:p>
        </w:tc>
        <w:tc>
          <w:tcPr>
            <w:tcW w:type="dxa" w:w="1800"/>
            <w:tcMar>
              <w:top w:w="110" w:type="dxa"/>
              <w:start w:w="110" w:type="dxa"/>
              <w:bottom w:w="110" w:type="dxa"/>
              <w:end w:w="110" w:type="dxa"/>
            </w:tcMar>
            <w:vAlign w:val="center"/>
          </w:tcPr>
          <w:p>
            <w:r>
              <w:rPr>
                <w:sz w:val="16"/>
              </w:rPr>
              <w:t>Answer context</w:t>
            </w:r>
          </w:p>
        </w:tc>
      </w:tr>
    </w:tbl>
    <w:p>
      <w:pPr>
        <w:spacing w:before="140"/>
      </w:pPr>
      <w:r>
        <w:t>Each vector entry carries the record ID, record revision hash, field name, model ID, and normalized vector. A changed claim invalidates its old vectors. A different model ID requires a new sidecar. Policy filtering runs before dense scoring. The passport remains readable and searchable when the sidecar is absent.</w:t>
      </w:r>
    </w:p>
    <w:p>
      <w:pPr>
        <w:keepLines/>
        <w:jc w:val="center"/>
      </w:pPr>
      <m:oMathPara>
        <m:oMath>
          <m:r>
            <m:rPr>
              <m:nor/>
            </m:rPr>
            <m:t>Ssem(q,i) = 1[h_i = h(L_i)] max_f w_f cos(e_q, e_i,f)</m:t>
          </m:r>
        </m:oMath>
      </m:oMathPara>
    </w:p>
    <w:p>
      <w:pPr>
        <w:spacing w:after="160"/>
        <w:jc w:val="center"/>
      </w:pPr>
      <w:r>
        <w:rPr>
          <w:i/>
          <w:color w:val="5B6573"/>
          <w:sz w:val="17"/>
        </w:rPr>
        <w:t>Revision-gated semantic field score. L is the current ledger state and h is the revision hash.</w:t>
      </w:r>
    </w:p>
    <w:p>
      <w:pPr>
        <w:pStyle w:val="Heading2"/>
        <w:keepNext/>
      </w:pPr>
      <w:r>
        <w:t>Meaning inside an LLM</w:t>
      </w:r>
    </w:p>
    <w:p>
      <w:r>
        <w:t>Raw decoder hidden states are a weak retrieval contract. Causal masking and next-token training shape them for generation. Representation tuning gives the geometry a retrieval objective. LLM2Vec removes causal masking and adds masked-token and contrastive training. NV-Embed adds latent attention pooling and reports gains over mean and last-token pooling. GritLM trains one model for generation and embedding through instructions.</w:t>
      </w:r>
    </w:p>
    <w:p>
      <w:r>
        <w:t>The operating choice is an instruction-tuned embedding model built from an LLM backbone. Qwen3 Embedding offers 0.6B, 4B, and 8B embedding and reranking variants. Start with 0.6B for portable CPU and edge tests. Use 4B for the quality line. Reserve 8B for the accuracy ceiling. Use explicit query and document instructions. Conversational noise tests belong in the release gate.</w:t>
      </w:r>
    </w:p>
    <w:p>
      <w:pPr>
        <w:pStyle w:val="Heading2"/>
        <w:keepNext/>
      </w:pPr>
      <w:r>
        <w:t>Retrieval mathematics</w:t>
      </w:r>
    </w:p>
    <w:p>
      <w:r>
        <w:t>Single-vector retrieval is the fast candidate layer. Field-level MaxSim preserves the strongest semantic field. Weighted reciprocal rank fusion joins its rank with BM25F. Late interaction runs on the short list.</w:t>
      </w:r>
    </w:p>
    <w:p>
      <w:pPr>
        <w:keepLines/>
        <w:jc w:val="center"/>
        <w:keepNext/>
      </w:pPr>
      <m:oMathPara>
        <m:oMath>
          <m:r>
            <m:rPr>
              <m:nor/>
            </m:rPr>
            <m:t>SLI(q,i) = sum_a max_b e_q,a^T e_i,b</m:t>
          </m:r>
        </m:oMath>
      </m:oMathPara>
    </w:p>
    <w:p>
      <w:pPr>
        <w:spacing w:after="160"/>
        <w:jc w:val="center"/>
      </w:pPr>
      <w:r>
        <w:rPr>
          <w:i/>
          <w:color w:val="5B6573"/>
          <w:sz w:val="17"/>
        </w:rPr>
        <w:t>ColBERT late interaction score.</w:t>
      </w:r>
    </w:p>
    <w:p>
      <w:pPr>
        <w:keepLines/>
        <w:jc w:val="center"/>
      </w:pPr>
      <m:oMathPara>
        <m:oMath>
          <m:r>
            <m:rPr>
              <m:nor/>
            </m:rPr>
            <m:t>LNCE = -log exp(sim(q,d+)/tau) / [exp(sim(q,d+)/tau) + sum_d- exp(sim(q,d-)/tau)]</m:t>
          </m:r>
        </m:oMath>
      </m:oMathPara>
    </w:p>
    <w:p>
      <w:pPr>
        <w:spacing w:after="160"/>
        <w:jc w:val="center"/>
      </w:pPr>
      <w:r>
        <w:rPr>
          <w:i/>
          <w:color w:val="5B6573"/>
          <w:sz w:val="17"/>
        </w:rPr>
        <w:t>Contrastive retrieval loss with positive evidence and hard negatives.</w:t>
      </w:r>
    </w:p>
    <w:p>
      <w:pPr>
        <w:keepLines/>
        <w:jc w:val="center"/>
      </w:pPr>
      <m:oMathPara>
        <m:oMath>
          <m:r>
            <m:rPr>
              <m:nor/>
            </m:rPr>
            <m:t>LMRL = sum_m lambda_m LNCE(norm(e_1:m))</m:t>
          </m:r>
        </m:oMath>
      </m:oMathPara>
    </w:p>
    <w:p>
      <w:pPr>
        <w:spacing w:after="160"/>
        <w:jc w:val="center"/>
      </w:pPr>
      <w:r>
        <w:rPr>
          <w:i/>
          <w:color w:val="5B6573"/>
          <w:sz w:val="17"/>
        </w:rPr>
        <w:t>Matryoshka loss across nested prefix dimensions.</w:t>
      </w:r>
    </w:p>
    <w:p>
      <w:pPr>
        <w:keepLines/>
        <w:jc w:val="center"/>
      </w:pPr>
      <m:oMathPara>
        <m:oMath>
          <m:r>
            <m:rPr>
              <m:nor/>
            </m:rPr>
            <m:t>J = Qanswer - lambda_L Lp95 - lambda_B Bindex - lambda_C Cembed; R@k &gt;= r0; P = 1</m:t>
          </m:r>
        </m:oMath>
      </m:oMathPara>
    </w:p>
    <w:p>
      <w:pPr>
        <w:spacing w:after="160"/>
        <w:jc w:val="center"/>
      </w:pPr>
      <w:r>
        <w:rPr>
          <w:i/>
          <w:color w:val="5B6573"/>
          <w:sz w:val="17"/>
        </w:rPr>
        <w:t>System objective under evidence recall and policy constraints.</w:t>
      </w:r>
    </w:p>
    <w:p>
      <w:pPr>
        <w:pStyle w:val="Heading2"/>
        <w:keepNext/>
      </w:pPr>
      <w:r>
        <w:t>Optimization strategy</w:t>
      </w:r>
    </w:p>
    <w:p>
      <w:pPr>
        <w:pStyle w:val="ListBullet"/>
      </w:pPr>
      <w:r>
        <w:t>Train positives from question and answer-bearing evidence spans.</w:t>
      </w:r>
    </w:p>
    <w:p>
      <w:pPr>
        <w:pStyle w:val="ListBullet"/>
      </w:pPr>
      <w:r>
        <w:t>Mine same-entity wrong-time records as temporal hard negatives.</w:t>
      </w:r>
    </w:p>
    <w:p>
      <w:pPr>
        <w:pStyle w:val="ListBullet"/>
      </w:pPr>
      <w:r>
        <w:t>Mine superseded revisions, nearby topics, and list siblings as structured negatives.</w:t>
      </w:r>
    </w:p>
    <w:p>
      <w:pPr>
        <w:pStyle w:val="ListBullet"/>
      </w:pPr>
      <w:r>
        <w:t>Filter likely false negatives before contrastive training.</w:t>
      </w:r>
    </w:p>
    <w:p>
      <w:pPr>
        <w:pStyle w:val="ListBullet"/>
      </w:pPr>
      <w:r>
        <w:t>Train nested vector dimensions. Select the smallest prefix that holds recall at the release gate.</w:t>
      </w:r>
    </w:p>
    <w:p>
      <w:pPr>
        <w:pStyle w:val="ListBullet"/>
      </w:pPr>
      <w:r>
        <w:t>Tune BM25F weight, dense weight, RRF constant, candidate count, and context budget by conversation holdout.</w:t>
      </w:r>
    </w:p>
    <w:p>
      <w:pPr>
        <w:pStyle w:val="ListBullet"/>
      </w:pPr>
      <w:r>
        <w:t>Run late interaction on the top 32 candidates. Run a generative or cross-encoder judge on the top 8 only when needed.</w:t>
      </w:r>
    </w:p>
    <w:p>
      <w:pPr>
        <w:pStyle w:val="ListBullet"/>
      </w:pPr>
      <w:r>
        <w:t>Optimize answer quality first. Constrain p95 latency, index bytes, embedding cost, evidence recall, and policy safety.</w:t>
      </w:r>
    </w:p>
    <w:p>
      <w:pPr>
        <w:pStyle w:val="Heading2"/>
        <w:keepNext/>
      </w:pPr>
      <w:r>
        <w:t>Completed now</w:t>
      </w:r>
    </w:p>
    <w:p>
      <w:pPr>
        <w:pStyle w:val="ListBullet"/>
      </w:pPr>
      <w:r>
        <w:t>[x] Removed evidence_quote from the shared strict extraction schema.</w:t>
      </w:r>
    </w:p>
    <w:p>
      <w:pPr>
        <w:pStyle w:val="ListBullet"/>
      </w:pPr>
      <w:r>
        <w:t>[x] Added local exact-value and lexical-clause evidence anchoring.</w:t>
      </w:r>
    </w:p>
    <w:p>
      <w:pPr>
        <w:pStyle w:val="ListBullet"/>
      </w:pPr>
      <w:r>
        <w:t>[x] Added one optional bounded evidence pass for unresolved candidates.</w:t>
      </w:r>
    </w:p>
    <w:p>
      <w:pPr>
        <w:pStyle w:val="ListBullet"/>
      </w:pPr>
      <w:r>
        <w:t>[x] Added automatic valid-time timeline rendering for temporal questions.</w:t>
      </w:r>
    </w:p>
    <w:p>
      <w:pPr>
        <w:pStyle w:val="ListBullet"/>
      </w:pPr>
      <w:r>
        <w:t>[x] Added a disposable field-vector sidecar with atomic persistence.</w:t>
      </w:r>
    </w:p>
    <w:p>
      <w:pPr>
        <w:pStyle w:val="ListBullet"/>
      </w:pPr>
      <w:r>
        <w:t>[x] Bound every vector entry to a record revision and embedding model.</w:t>
      </w:r>
    </w:p>
    <w:p>
      <w:pPr>
        <w:pStyle w:val="ListBullet"/>
      </w:pPr>
      <w:r>
        <w:t>[x] Added incremental refresh and stale-vector removal.</w:t>
      </w:r>
    </w:p>
    <w:p>
      <w:pPr>
        <w:pStyle w:val="ListBullet"/>
      </w:pPr>
      <w:r>
        <w:t>[x] Added policy-first dense search and weighted MaxSim.</w:t>
      </w:r>
    </w:p>
    <w:p>
      <w:pPr>
        <w:pStyle w:val="ListBullet"/>
      </w:pPr>
      <w:r>
        <w:t>[x] Added BM25F and semantic reciprocal rank fusion.</w:t>
      </w:r>
    </w:p>
    <w:p>
      <w:pPr>
        <w:pStyle w:val="ListBullet"/>
      </w:pPr>
      <w:r>
        <w:t>[x] Added regression tests. The full suite passes with 197 tests and 4 credentialed tests skipped.</w:t>
      </w:r>
    </w:p>
    <w:p>
      <w:r>
        <w:t>The next benchmark should run four ablations on the same ten conversations: lean BM25F, lean BM25F plus timeline, hybrid field vectors, and hybrid plus late interaction. Report accuracy, abstention, temporal, multi-hop, single-hop, tokens, p50 latency, p95 latency, and sidecar bytes. Keep multi-hop above 15 percent. Recover the prior 25.4 percent Passport 2 line before accepting another extraction burden.</w:t>
      </w:r>
    </w:p>
    <w:p>
      <w:pPr>
        <w:pStyle w:val="Heading2"/>
        <w:keepNext/>
      </w:pPr>
      <w:r>
        <w:t>Additional primary references</w:t>
      </w:r>
    </w:p>
    <w:p>
      <w:pPr>
        <w:spacing w:after="80"/>
      </w:pPr>
      <w:r>
        <w:t>[32] LLM2Vec Large Language Models Are Secretly Powerful Text Encoders. https://arxiv.org/abs/2404.05961</w:t>
      </w:r>
    </w:p>
    <w:p>
      <w:pPr>
        <w:spacing w:after="80"/>
      </w:pPr>
      <w:r>
        <w:t>[33] GritLM Generative Representational Instruction Tuning. https://arxiv.org/abs/2402.09906</w:t>
      </w:r>
    </w:p>
    <w:p>
      <w:pPr>
        <w:spacing w:after="80"/>
      </w:pPr>
      <w:r>
        <w:t>[34] NV-Embed Improved Techniques for Training LLMs as Generalist Embedding Models. https://arxiv.org/abs/2405.17428</w:t>
      </w:r>
    </w:p>
    <w:p>
      <w:pPr>
        <w:spacing w:after="80"/>
      </w:pPr>
      <w:r>
        <w:t>[35] Matryoshka Representation Learning. https://arxiv.org/abs/2205.13147</w:t>
      </w:r>
    </w:p>
    <w:p>
      <w:pPr>
        <w:spacing w:after="80"/>
      </w:pPr>
      <w:r>
        <w:t>[36] ColBERT Efficient and Effective Passage Search via Contextualized Late Interaction. https://arxiv.org/abs/2004.12832</w:t>
      </w:r>
    </w:p>
    <w:p>
      <w:pPr>
        <w:spacing w:after="80"/>
      </w:pPr>
      <w:r>
        <w:t>[37] ColBERTv2 Effective and Efficient Retrieval via Lightweight Late Interaction. https://arxiv.org/abs/2112.01488</w:t>
      </w:r>
    </w:p>
    <w:p>
      <w:pPr>
        <w:spacing w:after="80"/>
      </w:pPr>
      <w:r>
        <w:t>[38] Qwen3 Embedding Advancing Text Embedding and Reranking Through Foundation Models. https://arxiv.org/abs/2506.05176</w:t>
      </w:r>
    </w:p>
    <w:p>
      <w:pPr>
        <w:spacing w:after="80"/>
      </w:pPr>
      <w:r>
        <w:t>[39] Robustness Risk of Conversational Retrieval. https://arxiv.org/abs/2604.06176</w:t>
      </w:r>
    </w:p>
    <w:sectPr w:rsidR="00FC693F" w:rsidRPr="0006063C" w:rsidSect="00034616">
      <w:headerReference w:type="default" r:id="rId9"/>
      <w:footerReference w:type="default" r:id="rId10"/>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6"/>
      </w:rPr>
      <w:t xml:space="preserve">SozoGraph  |  6 September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rPr>
        <w:color w:val="000000"/>
      </w:rPr>
      <w:t>SOZOGRAPH   PORTABLE MEMORY PASSPORT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Arial" w:hAnsi="Arial"/>
      <w:b/>
      <w:color w:val="1F5A94"/>
      <w:sz w:val="17"/>
    </w:rPr>
  </w:style>
  <w:style w:type="paragraph" w:customStyle="1" w:styleId="Codeblock">
    <w:name w:val="Code block"/>
    <w:pPr>
      <w:spacing w:before="80" w:after="80"/>
      <w:ind w:left="317" w:right="317"/>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github.com/mem0ai/mem0/blob/main/README.md" TargetMode="External"/><Relationship Id="rId32" Type="http://schemas.openxmlformats.org/officeDocument/2006/relationships/hyperlink" Target="https://arxiv.org/abs/2504.19413" TargetMode="External"/><Relationship Id="rId33" Type="http://schemas.openxmlformats.org/officeDocument/2006/relationships/hyperlink" Target="https://arxiv.org/abs/2510.18866" TargetMode="External"/><Relationship Id="rId34" Type="http://schemas.openxmlformats.org/officeDocument/2006/relationships/hyperlink" Target="https://arxiv.org/abs/2502.12110" TargetMode="External"/><Relationship Id="rId35" Type="http://schemas.openxmlformats.org/officeDocument/2006/relationships/hyperlink" Target="https://arxiv.org/abs/2601.08323" TargetMode="External"/><Relationship Id="rId36" Type="http://schemas.openxmlformats.org/officeDocument/2006/relationships/hyperlink" Target="https://arxiv.org/abs/2502.14802" TargetMode="External"/><Relationship Id="rId37" Type="http://schemas.openxmlformats.org/officeDocument/2006/relationships/hyperlink" Target="https://arxiv.org/abs/2501.13956" TargetMode="External"/><Relationship Id="rId38" Type="http://schemas.openxmlformats.org/officeDocument/2006/relationships/hyperlink" Target="https://github.com/getzep/graphiti" TargetMode="External"/><Relationship Id="rId39" Type="http://schemas.openxmlformats.org/officeDocument/2006/relationships/hyperlink" Target="https://langchain-ai.github.io/langmem/concepts/conceptual_guide/" TargetMode="External"/><Relationship Id="rId40" Type="http://schemas.openxmlformats.org/officeDocument/2006/relationships/hyperlink" Target="https://arxiv.org/abs/2402.17753" TargetMode="External"/><Relationship Id="rId41" Type="http://schemas.openxmlformats.org/officeDocument/2006/relationships/hyperlink" Target="https://arxiv.org/abs/2410.10813" TargetMode="External"/><Relationship Id="rId42" Type="http://schemas.openxmlformats.org/officeDocument/2006/relationships/hyperlink" Target="https://arxiv.org/abs/2605.12493" TargetMode="External"/><Relationship Id="rId43" Type="http://schemas.openxmlformats.org/officeDocument/2006/relationships/hyperlink" Target="https://arxiv.org/abs/2507.05257" TargetMode="External"/><Relationship Id="rId44" Type="http://schemas.openxmlformats.org/officeDocument/2006/relationships/hyperlink" Target="https://arxiv.org/abs/2506.21605" TargetMode="External"/><Relationship Id="rId45" Type="http://schemas.openxmlformats.org/officeDocument/2006/relationships/hyperlink" Target="https://github.com/MacPaw/portable-memory/blob/main/Spec/portable-memory-spec.md" TargetMode="External"/><Relationship Id="rId46" Type="http://schemas.openxmlformats.org/officeDocument/2006/relationships/hyperlink" Target="https://github.com/deep-thinking-lab/open-agent-memory-protocol" TargetMode="External"/><Relationship Id="rId47" Type="http://schemas.openxmlformats.org/officeDocument/2006/relationships/hyperlink" Target="https://omir.io/spec/R1/overview.html" TargetMode="External"/><Relationship Id="rId48" Type="http://schemas.openxmlformats.org/officeDocument/2006/relationships/hyperlink" Target="https://www.portable-ai-memory.org/spec/v1.0/" TargetMode="External"/><Relationship Id="rId49" Type="http://schemas.openxmlformats.org/officeDocument/2006/relationships/hyperlink" Target="https://www.rfc-editor.org/rfc/rfc8785.html" TargetMode="External"/><Relationship Id="rId50" Type="http://schemas.openxmlformats.org/officeDocument/2006/relationships/hyperlink" Target="https://json-schema.org/draft/2020-12" TargetMode="External"/><Relationship Id="rId51" Type="http://schemas.openxmlformats.org/officeDocument/2006/relationships/hyperlink" Target="https://www.w3.org/TR/vc-data-model/" TargetMode="External"/><Relationship Id="rId52" Type="http://schemas.openxmlformats.org/officeDocument/2006/relationships/hyperlink" Target="https://www.w3.org/TR/did-core/" TargetMode="External"/><Relationship Id="rId53" Type="http://schemas.openxmlformats.org/officeDocument/2006/relationships/hyperlink" Target="https://www.w3.org/TR/prov-overview/" TargetMode="External"/><Relationship Id="rId54" Type="http://schemas.openxmlformats.org/officeDocument/2006/relationships/hyperlink" Target="https://doi.org/10.1561/1500000019" TargetMode="External"/><Relationship Id="rId55" Type="http://schemas.openxmlformats.org/officeDocument/2006/relationships/hyperlink" Target="https://research.google/pubs/reciprocal-rank-fusion-outperforms-condorcet-and-individual-rank-learning-methods/" TargetMode="External"/><Relationship Id="rId56" Type="http://schemas.openxmlformats.org/officeDocument/2006/relationships/hyperlink" Target="https://doi.org/10.1145/511446.511513" TargetMode="External"/><Relationship Id="rId57" Type="http://schemas.openxmlformats.org/officeDocument/2006/relationships/hyperlink" Target="https://arxiv.org/abs/2605.15338" TargetMode="External"/><Relationship Id="rId58" Type="http://schemas.openxmlformats.org/officeDocument/2006/relationships/hyperlink" Target="https://arxiv.org/abs/2606.24322" TargetMode="External"/><Relationship Id="rId59" Type="http://schemas.openxmlformats.org/officeDocument/2006/relationships/hyperlink" Target="https://arxiv.org/abs/2606.04329" TargetMode="External"/><Relationship Id="rId60" Type="http://schemas.openxmlformats.org/officeDocument/2006/relationships/hyperlink" Target="https://owasp.org/www-project-agent-memory-guard/" TargetMode="External"/><Relationship Id="rId61" Type="http://schemas.openxmlformats.org/officeDocument/2006/relationships/hyperlink" Target="https://aclanthology.org/X98-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SozoGraph Portable Memory Passport Engineering Plan</dc:title>
  <dc:subject>Architecture mathematics benchmarks and delivery plan</dc:subject>
  <dc:creator>SozoGraph</dc:creator>
  <cp:keywords>portable memory, agent memory, retrieval, bitemporal graph, interoperability</cp:keywords>
  <dc:description>generated by python-docx</dc:description>
  <cp:lastModifiedBy/>
  <cp:revision>1</cp:revision>
  <dcterms:created xsi:type="dcterms:W3CDTF">2013-12-23T23:15:00Z</dcterms:created>
  <dcterms:modified xsi:type="dcterms:W3CDTF">2013-12-23T23:15:00Z</dcterms:modified>
  <cp:category/>
</cp:coreProperties>
</file>