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Autoencoder Intrusion Detection Experiment Update</w:t>
      </w:r>
    </w:p>
    <w:p>
      <w:pPr>
        <w:spacing w:line="240" w:lineRule="auto"/>
      </w:pPr>
      <w:r>
        <w:rPr>
          <w:sz w:val="19"/>
        </w:rPr>
        <w:t>UNSW NB15 controls and CICIDS2018 pilot     Updated 15 October 2026</w:t>
      </w:r>
    </w:p>
    <w:p>
      <w:r>
        <w:t>Our new source-host holdout retains near-perfect overall NB15 AUC, but fails on a small benign host group. Longer IDS2018 training improves reconstruction and average precision without resolving low detection rates and threshold drift. These results motivate subgroup and calibration checks before attributing performance to dataset difficulty. We have not decided to replace NB15.</w:t>
      </w:r>
    </w:p>
    <w:p>
      <w:pPr>
        <w:pStyle w:val="Heading1"/>
      </w:pPr>
      <w:r>
        <w:t>Datasets and source hosts</w:t>
      </w:r>
    </w:p>
    <w:tbl>
      <w:tblPr>
        <w:tblW w:type="auto" w:w="0"/>
        <w:jc w:val="center"/>
        <w:tblLayout w:type="fixed"/>
        <w:tblLook w:firstColumn="1" w:firstRow="1" w:lastColumn="0" w:lastRow="0" w:noHBand="0" w:noVBand="1" w:val="04A0"/>
      </w:tblPr>
      <w:tblGrid>
        <w:gridCol w:w="2347"/>
        <w:gridCol w:w="1584"/>
        <w:gridCol w:w="2333"/>
        <w:gridCol w:w="1613"/>
        <w:gridCol w:w="2290"/>
      </w:tblGrid>
      <w:tr>
        <w:trPr>
          <w:cantSplit/>
          <w:tblHeader/>
        </w:trPr>
        <w:tc>
          <w:tcPr>
            <w:tcW w:type="dxa" w:w="23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left"/>
            </w:pPr>
            <w:r>
              <w:rPr>
                <w:rFonts w:ascii="Calibri" w:hAnsi="Calibri"/>
                <w:b/>
                <w:color w:val="000000"/>
                <w:sz w:val="19"/>
              </w:rPr>
              <w:t>Local dataset</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Raw flows</w:t>
            </w:r>
          </w:p>
        </w:tc>
        <w:tc>
          <w:tcPr>
            <w:tcW w:type="dxa" w:w="23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Attack flows</w:t>
              <w:br/>
              <w:t>and share</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Source IPs</w:t>
            </w:r>
          </w:p>
        </w:tc>
        <w:tc>
          <w:tcPr>
            <w:tcW w:type="dxa" w:w="229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Observed</w:t>
              <w:br/>
              <w:t>10 s buckets</w:t>
            </w:r>
          </w:p>
        </w:tc>
      </w:tr>
      <w:tr>
        <w:trPr>
          <w:cantSplit/>
        </w:trPr>
        <w:tc>
          <w:tcPr>
            <w:tcW w:type="dxa" w:w="23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NF UNSW NB15 v3</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2,365,424</w:t>
            </w:r>
          </w:p>
        </w:tc>
        <w:tc>
          <w:tcPr>
            <w:tcW w:type="dxa" w:w="23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127,693 / 5.40%</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40</w:t>
            </w:r>
          </w:p>
        </w:tc>
        <w:tc>
          <w:tcPr>
            <w:tcW w:type="dxa" w:w="229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107,756</w:t>
            </w:r>
          </w:p>
        </w:tc>
      </w:tr>
      <w:tr>
        <w:trPr>
          <w:cantSplit/>
        </w:trPr>
        <w:tc>
          <w:tcPr>
            <w:tcW w:type="dxa" w:w="23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NF CICIDS2018 v3</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20,115,529</w:t>
            </w:r>
          </w:p>
        </w:tc>
        <w:tc>
          <w:tcPr>
            <w:tcW w:type="dxa" w:w="23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2,600,903 / 12.93%</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181,876</w:t>
            </w:r>
          </w:p>
        </w:tc>
        <w:tc>
          <w:tcPr>
            <w:tcW w:type="dxa" w:w="229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3,657,936</w:t>
            </w:r>
          </w:p>
        </w:tc>
      </w:tr>
    </w:tbl>
    <w:p>
      <w:pPr>
        <w:spacing w:after="0" w:before="0" w:line="240" w:lineRule="auto"/>
      </w:pPr>
      <w:r>
        <w:rPr>
          <w:sz w:val="4"/>
        </w:rPr>
      </w:r>
    </w:p>
    <w:p>
      <w:pPr>
        <w:spacing w:line="240" w:lineRule="auto"/>
      </w:pPr>
      <w:r>
        <w:rPr>
          <w:sz w:val="19"/>
        </w:rPr>
        <w:t>NB15 has 36 benign-only and four attack-only source IPs. Ten 59.166.0.* hosts contribute 93.22% of raw flows; 20 benign 149.171.126.* hosts contribute only 1.30%. All attack flows originate from 175.45.176.0 to .3. Source identity and label are therefore strongly confounded in this local data. Flow shares are not window shares.</w:t>
      </w:r>
    </w:p>
    <w:p>
      <w:pPr>
        <w:spacing w:line="240" w:lineRule="auto"/>
      </w:pPr>
      <w:r>
        <w:rPr>
          <w:sz w:val="19"/>
        </w:rPr>
        <w:t>IDS2018 is less host-label homogeneous: its current test split includes 214 source IPs with both benign and attack windows, 55,918 benign-only and 108 attack-only IPs. Host means source IPv4 throughout this update; destination endpoints can overlap even in a source-host holdout.</w:t>
      </w:r>
    </w:p>
    <w:p>
      <w:pPr>
        <w:pStyle w:val="Heading1"/>
      </w:pPr>
      <w:r>
        <w:t>CNN results across protocols</w:t>
      </w:r>
    </w:p>
    <w:tbl>
      <w:tblPr>
        <w:tblW w:type="auto" w:w="0"/>
        <w:jc w:val="center"/>
        <w:tblLayout w:type="fixed"/>
        <w:tblLook w:firstColumn="1" w:firstRow="1" w:lastColumn="0" w:lastRow="0" w:noHBand="0" w:noVBand="1" w:val="04A0"/>
      </w:tblPr>
      <w:tblGrid>
        <w:gridCol w:w="3816"/>
        <w:gridCol w:w="1123"/>
        <w:gridCol w:w="1123"/>
        <w:gridCol w:w="2131"/>
        <w:gridCol w:w="1973"/>
      </w:tblGrid>
      <w:tr>
        <w:trPr>
          <w:cantSplit/>
          <w:tblHeader/>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left"/>
            </w:pPr>
            <w:r>
              <w:rPr>
                <w:rFonts w:ascii="Calibri" w:hAnsi="Calibri"/>
                <w:b/>
                <w:color w:val="000000"/>
                <w:sz w:val="19"/>
              </w:rPr>
              <w:t>Experiment and evaluated split</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ROC AUC</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AP</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Attack recall</w:t>
              <w:br/>
              <w:t>nominal 1% FPR</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Actual</w:t>
              <w:br/>
              <w:t>test FPR</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Team NB15 A / validation</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0.9999</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0.9980</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100.00%</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Team NB15 B / validation</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0.9993</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0.9936</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99.16%</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My bucket NB15 / round 1 test</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0.9806</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0.7814</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2.46%</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0.045%</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My bucket NB15 / round 2 test</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0.9803</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0.7801</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1.53%</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0.045%</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NB15 reproduction / time test</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0.9997</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0.9956</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99.76%</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1.00%</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NB15 reproduction / host test</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0.9988</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0.9631</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100.00%</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1.11%</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My IDS2018 / epoch 30 test</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0.8554</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0.2313</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36.82%</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3.29%</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My IDS2018 / best epoch 54 test</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0.8594</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0.2673</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37.60%</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3.58%</w:t>
            </w:r>
          </w:p>
        </w:tc>
      </w:tr>
    </w:tbl>
    <w:p>
      <w:pPr>
        <w:spacing w:after="0" w:before="0" w:line="240" w:lineRule="auto"/>
      </w:pPr>
      <w:r>
        <w:rPr>
          <w:sz w:val="4"/>
        </w:rPr>
      </w:r>
    </w:p>
    <w:p>
      <w:pPr>
        <w:spacing w:line="240" w:lineRule="auto"/>
      </w:pPr>
      <w:r>
        <w:rPr>
          <w:sz w:val="19"/>
        </w:rPr>
        <w:t>Team A and B are saved three-seed validation-selection means, not independent test results. Local runs use seed 0 and roughly 250k CNN-AE parameters. AP is average precision. Thresholds use benign validation for NB15 and separate benign calibration for IDS2018. Different features, populations and prevalence preclude a direct model ranking across these protocols.</w:t>
      </w:r>
    </w:p>
    <w:p>
      <w:r>
        <w:br w:type="page"/>
      </w:r>
    </w:p>
    <w:p>
      <w:pPr>
        <w:pStyle w:val="Heading1"/>
      </w:pPr>
      <w:r>
        <w:t>NB15 host protocols and coverage</w:t>
      </w:r>
    </w:p>
    <w:p>
      <w:r>
        <w:t>My original temporal control uses 88 behavioural features, 10-second bins, ten consecutive active bins per 100-second window and stride 1. Exact port identities are replaced by distribution summaries. Only 19 of the 40 raw source hosts produce such sequences: 15 benign and four attack hosts. Actual benign model training uses seven 59.* hosts; validation uses one 59.* and four 149.* hosts. The benign test pool contains 59.166.0.2 and .9 plus 149.171.126.15. Attack sources 175.45.176.0 and .1 are tested in separate rounds.</w:t>
      </w:r>
    </w:p>
    <w:p>
      <w:r>
        <w:t>The new control instead reuses the current team flow pipeline: 20 flows per source IP, stride 10, start-time ordering, no padding and the one-hour span filter. Six shortcut columns are removed; destination-port indicators remain. IP addresses are metadata, not input features. One CNN is trained per split protocol; architecture, features, optimizer, seed and 50-epoch budget are held fixed.</w:t>
      </w:r>
    </w:p>
    <w:tbl>
      <w:tblPr>
        <w:tblW w:type="auto" w:w="0"/>
        <w:jc w:val="center"/>
        <w:tblLayout w:type="fixed"/>
        <w:tblLook w:firstColumn="1" w:firstRow="1" w:lastColumn="0" w:lastRow="0" w:noHBand="0" w:noVBand="1" w:val="04A0"/>
      </w:tblPr>
      <w:tblGrid>
        <w:gridCol w:w="2592"/>
        <w:gridCol w:w="2203"/>
        <w:gridCol w:w="2275"/>
        <w:gridCol w:w="2160"/>
        <w:gridCol w:w="936"/>
      </w:tblGrid>
      <w:tr>
        <w:trPr>
          <w:cantSplit/>
          <w:tblHeader/>
        </w:trPr>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left"/>
            </w:pPr>
            <w:r>
              <w:rPr>
                <w:rFonts w:ascii="Calibri" w:hAnsi="Calibri"/>
                <w:b/>
                <w:color w:val="000000"/>
                <w:sz w:val="19"/>
              </w:rPr>
              <w:t>NB15 protocol</w:t>
            </w:r>
          </w:p>
        </w:tc>
        <w:tc>
          <w:tcPr>
            <w:tcW w:type="dxa" w:w="220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Benign training</w:t>
              <w:br/>
              <w:t>windows / hosts</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Benign validation</w:t>
              <w:br/>
              <w:t>windows / hosts</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Test benign</w:t>
              <w:br/>
              <w:t>+ attacks</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Test</w:t>
              <w:br/>
              <w:t>hosts</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Original bucket control</w:t>
            </w:r>
          </w:p>
        </w:tc>
        <w:tc>
          <w:tcPr>
            <w:tcW w:type="dxa" w:w="220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52,934 / 7</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9,224 / 5</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15,464 + 3,047</w:t>
              <w:br/>
              <w:t>or + 3,205</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4 per</w:t>
              <w:br/>
              <w:t>round</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Team flow time split</w:t>
            </w:r>
          </w:p>
        </w:tc>
        <w:tc>
          <w:tcPr>
            <w:tcW w:type="dxa" w:w="220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137,544 / 28</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42,858 / 16</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43,138 + 4,133</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22</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Team flow host holdout</w:t>
            </w:r>
          </w:p>
        </w:tc>
        <w:tc>
          <w:tcPr>
            <w:tcW w:type="dxa" w:w="220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135,120 / 20</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43,413 / 6</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45,064 + 2,722</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7</w:t>
            </w:r>
          </w:p>
        </w:tc>
      </w:tr>
    </w:tbl>
    <w:p>
      <w:pPr>
        <w:spacing w:after="0" w:before="0" w:line="240" w:lineRule="auto"/>
      </w:pPr>
      <w:r>
        <w:rPr>
          <w:sz w:val="4"/>
        </w:rPr>
      </w:r>
    </w:p>
    <w:p>
      <w:pPr>
        <w:spacing w:line="240" w:lineRule="auto"/>
      </w:pPr>
      <w:r>
        <w:rPr>
          <w:sz w:val="19"/>
        </w:rPr>
        <w:t>Test attack shares are 16.46% and 17.17% for the original bucket rounds, 8.74% for the time-split reproduction and 5.70% for host holdout. The new holdout has zero pairwise source-IP overlap among train, validation and test, and fits scaling/imputation on benign training hosts only. Test hosts are normal 59.166.0.{1,4} and 149.171.126.{1,5,6,16}, plus attack source 175.45.176.2.</w:t>
      </w:r>
    </w:p>
    <w:p>
      <w:pPr>
        <w:pStyle w:val="Heading1"/>
      </w:pPr>
      <w:r>
        <w:t>What the host control establishes</w:t>
      </w:r>
    </w:p>
    <w:tbl>
      <w:tblPr>
        <w:tblW w:type="auto" w:w="0"/>
        <w:jc w:val="center"/>
        <w:tblLayout w:type="fixed"/>
        <w:tblLook w:firstColumn="1" w:firstRow="1" w:lastColumn="0" w:lastRow="0" w:noHBand="0" w:noVBand="1" w:val="04A0"/>
      </w:tblPr>
      <w:tblGrid>
        <w:gridCol w:w="3917"/>
        <w:gridCol w:w="1454"/>
        <w:gridCol w:w="2563"/>
        <w:gridCol w:w="2232"/>
      </w:tblGrid>
      <w:tr>
        <w:trPr>
          <w:cantSplit/>
          <w:tblHeader/>
        </w:trPr>
        <w:tc>
          <w:tcPr>
            <w:tcW w:type="dxa" w:w="391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left"/>
            </w:pPr>
            <w:r>
              <w:rPr>
                <w:rFonts w:ascii="Calibri" w:hAnsi="Calibri"/>
                <w:b/>
                <w:color w:val="000000"/>
                <w:sz w:val="19"/>
              </w:rPr>
              <w:t>Benign group in host holdout</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Benign</w:t>
              <w:br/>
              <w:t>windows</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ROC AUC versus</w:t>
              <w:br/>
              <w:t>the same attacks</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False positive</w:t>
              <w:br/>
              <w:t>rate</w:t>
            </w:r>
          </w:p>
        </w:tc>
      </w:tr>
      <w:tr>
        <w:trPr>
          <w:cantSplit/>
        </w:trPr>
        <w:tc>
          <w:tcPr>
            <w:tcW w:type="dxa" w:w="391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59.166.0.* / two source IPs</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44,964</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0.999959</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0.89%</w:t>
            </w:r>
          </w:p>
        </w:tc>
      </w:tr>
      <w:tr>
        <w:trPr>
          <w:cantSplit/>
        </w:trPr>
        <w:tc>
          <w:tcPr>
            <w:tcW w:type="dxa" w:w="391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149.171.126.* / four source IPs</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100</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0.478931</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100.00%</w:t>
            </w:r>
          </w:p>
        </w:tc>
      </w:tr>
    </w:tbl>
    <w:p>
      <w:pPr>
        <w:spacing w:after="0" w:before="0" w:line="240" w:lineRule="auto"/>
      </w:pPr>
      <w:r>
        <w:rPr>
          <w:sz w:val="4"/>
        </w:rPr>
      </w:r>
    </w:p>
    <w:p>
      <w:r>
        <w:t>All 100 benign 149.* windows are falsely flagged, yet they are only 0.22% of benign test windows. The overall AUC of 0.998803 therefore hides a severe minority-host failure. The original bucket control also ranks attacks below the held-out 149.* benign host: subgroup AUC is 0.0268 / 0.0158 despite overall AUC near 0.98. This is not only a threshold problem.</w:t>
      </w:r>
    </w:p>
    <w:p>
      <w:pPr>
        <w:spacing w:line="240" w:lineRule="auto"/>
      </w:pPr>
      <w:r>
        <w:rPr>
          <w:sz w:val="19"/>
        </w:rPr>
        <w:t>The two new models both reach AUC 1 on their 9,613 common test windows, but that subset contains only one 149.* benign window. It cannot resolve the failing subgroup. The holdout also changes capture-time and role composition; 149.* hosts already exist in its training set. These findings show host-associated heterogeneity, not causal proof that the model memorized IP addresses. Full-data unlabeled category selection is retained to match the team pipeline, so preprocessing is not fully inductive.</w:t>
      </w:r>
    </w:p>
    <w:p>
      <w:r>
        <w:br w:type="page"/>
      </w:r>
    </w:p>
    <w:p>
      <w:pPr>
        <w:pStyle w:val="Heading1"/>
      </w:pPr>
      <w:r>
        <w:t>IDS2018 distribution and longer training</w:t>
      </w:r>
    </w:p>
    <w:p>
      <w:r>
        <w:t>This pilot trains and tests within IDS2018; it is not NB15-to-IDS2018 transfer. It retains 88 bucket features, 100-second masked windows and stride 5. Day-stratified random network-wide 30-minute blocks supply the splits, with no shared buckets or blocks. Source IPs may recur: 22,575 source IPs occur in both training and test.</w:t>
      </w:r>
    </w:p>
    <w:tbl>
      <w:tblPr>
        <w:tblW w:type="auto" w:w="0"/>
        <w:jc w:val="center"/>
        <w:tblLayout w:type="fixed"/>
        <w:tblLook w:firstColumn="1" w:firstRow="1" w:lastColumn="0" w:lastRow="0" w:noHBand="0" w:noVBand="1" w:val="04A0"/>
      </w:tblPr>
      <w:tblGrid>
        <w:gridCol w:w="2333"/>
        <w:gridCol w:w="1800"/>
        <w:gridCol w:w="1872"/>
        <w:gridCol w:w="1886"/>
        <w:gridCol w:w="2275"/>
      </w:tblGrid>
      <w:tr>
        <w:trPr>
          <w:cantSplit/>
          <w:tblHeader/>
        </w:trPr>
        <w:tc>
          <w:tcPr>
            <w:tcW w:type="dxa" w:w="23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left"/>
            </w:pPr>
            <w:r>
              <w:rPr>
                <w:rFonts w:ascii="Calibri" w:hAnsi="Calibri"/>
                <w:b/>
                <w:color w:val="000000"/>
                <w:sz w:val="19"/>
              </w:rPr>
              <w:t>IDS2018 split</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Windows</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Source IPs</w:t>
            </w:r>
          </w:p>
        </w:tc>
        <w:tc>
          <w:tcPr>
            <w:tcW w:type="dxa" w:w="188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Attack</w:t>
              <w:br/>
              <w:t>windows</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One active</w:t>
              <w:br/>
              <w:t>bin</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Train</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100,000</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80,402</w:t>
            </w:r>
          </w:p>
        </w:tc>
        <w:tc>
          <w:tcPr>
            <w:tcW w:type="dxa" w:w="188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85.56%</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Validation</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20,000</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16,882</w:t>
            </w:r>
          </w:p>
        </w:tc>
        <w:tc>
          <w:tcPr>
            <w:tcW w:type="dxa" w:w="188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79.28%</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Calibration</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20,000</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15,602</w:t>
            </w:r>
          </w:p>
        </w:tc>
        <w:tc>
          <w:tcPr>
            <w:tcW w:type="dxa" w:w="188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77.19%</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Test</w:t>
            </w:r>
          </w:p>
        </w:tc>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501,046</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56,240</w:t>
            </w:r>
          </w:p>
        </w:tc>
        <w:tc>
          <w:tcPr>
            <w:tcW w:type="dxa" w:w="188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4,093</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52.11%</w:t>
            </w:r>
          </w:p>
        </w:tc>
      </w:tr>
    </w:tbl>
    <w:p>
      <w:pPr>
        <w:spacing w:after="0" w:before="0" w:line="240" w:lineRule="auto"/>
      </w:pPr>
      <w:r>
        <w:rPr>
          <w:sz w:val="4"/>
        </w:rPr>
      </w:r>
    </w:p>
    <w:p>
      <w:pPr>
        <w:spacing w:line="240" w:lineRule="auto"/>
      </w:pPr>
      <w:r>
        <w:rPr>
          <w:sz w:val="19"/>
        </w:rPr>
        <w:t>Test attack prevalence is 0.817%; nine of 14 labels occur. The largest attack subsets are infiltration (1,965 windows), LOIC HTTP DDoS (921) and Web brute force (487); subsets overlap. Flow and window counts have different units. Training uses day/host/block balancing; test retains all nonempty in-block windows. Empty bins inside windows are masked out of reconstruction loss.</w:t>
      </w:r>
    </w:p>
    <w:p>
      <w:r>
        <w:t>Extending the cap from 30 to 300 epochs with patience 30 stopped at epoch 84 and selected epoch 54. Best normal-validation MSE fell 9.12%, from 0.004761 to 0.004327. The first 30 epochs reproduced the old losses exactly; saved scalers were identical. This meets the validation stopping rule, not multi-seed stability. At the calibration 1% FPR threshold, the new model detects 1,539 attacks but raises 17,778 false positives; precision falls from 8.43% to 7.97% despite higher AP.</w:t>
      </w:r>
    </w:p>
    <w:p>
      <w:pPr>
        <w:pStyle w:val="Heading1"/>
      </w:pPr>
      <w:r>
        <w:t>Sparse windows and attack differences</w:t>
      </w:r>
    </w:p>
    <w:tbl>
      <w:tblPr>
        <w:tblW w:type="auto" w:w="0"/>
        <w:jc w:val="center"/>
        <w:tblLayout w:type="fixed"/>
        <w:tblLook w:firstColumn="1" w:firstRow="1" w:lastColumn="0" w:lastRow="0" w:noHBand="0" w:noVBand="1" w:val="04A0"/>
      </w:tblPr>
      <w:tblGrid>
        <w:gridCol w:w="3312"/>
        <w:gridCol w:w="1728"/>
        <w:gridCol w:w="1498"/>
        <w:gridCol w:w="1987"/>
        <w:gridCol w:w="1642"/>
      </w:tblGrid>
      <w:tr>
        <w:trPr>
          <w:cantSplit/>
          <w:tblHeader/>
        </w:trPr>
        <w:tc>
          <w:tcPr>
            <w:tcW w:type="dxa" w:w="33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left"/>
            </w:pPr>
            <w:r>
              <w:rPr>
                <w:rFonts w:ascii="Calibri" w:hAnsi="Calibri"/>
                <w:b/>
                <w:color w:val="000000"/>
                <w:sz w:val="19"/>
              </w:rPr>
              <w:t>Active bins per test window</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Benign</w:t>
              <w:br/>
              <w:t>windows</w:t>
            </w:r>
          </w:p>
        </w:tc>
        <w:tc>
          <w:tcPr>
            <w:tcW w:type="dxa" w:w="149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Attack</w:t>
              <w:br/>
              <w:t>windows</w:t>
            </w:r>
          </w:p>
        </w:tc>
        <w:tc>
          <w:tcPr>
            <w:tcW w:type="dxa" w:w="19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Actual FPR at</w:t>
              <w:br/>
              <w:t>nominal 1%</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CE6EE"/>
          </w:tcPr>
          <w:p>
            <w:pPr>
              <w:spacing w:after="0" w:line="240" w:lineRule="auto"/>
              <w:jc w:val="center"/>
            </w:pPr>
            <w:r>
              <w:rPr>
                <w:rFonts w:ascii="Calibri" w:hAnsi="Calibri"/>
                <w:b/>
                <w:color w:val="000000"/>
                <w:sz w:val="19"/>
              </w:rPr>
              <w:t>Attack</w:t>
              <w:br/>
              <w:t>recall</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1</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260,200</w:t>
            </w:r>
          </w:p>
        </w:tc>
        <w:tc>
          <w:tcPr>
            <w:tcW w:type="dxa" w:w="149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914</w:t>
            </w:r>
          </w:p>
        </w:tc>
        <w:tc>
          <w:tcPr>
            <w:tcW w:type="dxa" w:w="19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0.061%</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4.81%</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2 to 4</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162,411</w:t>
            </w:r>
          </w:p>
        </w:tc>
        <w:tc>
          <w:tcPr>
            <w:tcW w:type="dxa" w:w="149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1,039</w:t>
            </w:r>
          </w:p>
        </w:tc>
        <w:tc>
          <w:tcPr>
            <w:tcW w:type="dxa" w:w="19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2.46%</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19.35%</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left"/>
            </w:pPr>
            <w:r>
              <w:rPr>
                <w:rFonts w:ascii="Calibri" w:hAnsi="Calibri"/>
                <w:b w:val="0"/>
                <w:color w:val="000000"/>
                <w:sz w:val="19"/>
              </w:rPr>
              <w:t>5 to 10</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74,342</w:t>
            </w:r>
          </w:p>
        </w:tc>
        <w:tc>
          <w:tcPr>
            <w:tcW w:type="dxa" w:w="149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2,140</w:t>
            </w:r>
          </w:p>
        </w:tc>
        <w:tc>
          <w:tcPr>
            <w:tcW w:type="dxa" w:w="19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18.32%</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0" w:lineRule="auto"/>
              <w:jc w:val="center"/>
            </w:pPr>
            <w:r>
              <w:rPr>
                <w:rFonts w:ascii="Calibri" w:hAnsi="Calibri"/>
                <w:b w:val="0"/>
                <w:color w:val="000000"/>
                <w:sz w:val="19"/>
              </w:rPr>
              <w:t>60.47%</w:t>
            </w:r>
          </w:p>
        </w:tc>
      </w:tr>
    </w:tbl>
    <w:p>
      <w:pPr>
        <w:spacing w:after="0" w:before="0" w:line="240" w:lineRule="auto"/>
      </w:pPr>
      <w:r>
        <w:rPr>
          <w:sz w:val="4"/>
        </w:rPr>
      </w:r>
    </w:p>
    <w:p>
      <w:r>
        <w:t>Masking avoids dilution by empty bins but does not create temporal context. Calibration overrepresents one-bin windows, while dense normal windows have much higher scores. This supports occupancy-related threshold mismatch, without proving causality. At the same global threshold, recall is 100% for HOIC, SlowHTTPTest and SSH brute force, but 11.25% for infiltration, 1.85% for Web brute force and 0% for XSS and SQL injection. Five absent attack types remain unevaluated.</w:t>
      </w:r>
    </w:p>
    <w:p>
      <w:pPr>
        <w:pStyle w:val="Heading1"/>
      </w:pPr>
      <w:r>
        <w:t>Conclusions for discussion</w:t>
      </w:r>
    </w:p>
    <w:p>
      <w:r>
        <w:t>High aggregate AUC is insufficient: NB15 can conceal failed benign host groups, and IDS2018 shows sparse-window and attack-specific weaknesses. Even when bucket controls exclude exact IP and port values, behavioural proxies for host roles remain. These controls do not establish that NB15 is universally easy, or that IP memorization alone explains our results.</w:t>
      </w:r>
    </w:p>
    <w:p>
      <w:r>
        <w:t>Our next checks should align calibration with the intended occupancy distribution and report subgroup FPR and recall. A single-bucket or shuffled-order control can then test whether temporal order adds value, alongside active-bucket sequences retaining time gaps. Simply adding epochs did not solve detection. A dataset switch should remain a separate decision.</w:t>
      </w:r>
    </w:p>
    <w:p>
      <w:pPr>
        <w:spacing w:line="240" w:lineRule="auto"/>
      </w:pPr>
      <w:r>
        <w:rPr>
          <w:sz w:val="19"/>
        </w:rPr>
        <w:t>Evidence: saved team AE-branch ablation summaries; local NB15 temporal and source-host controls; CIC coverage audit, prepared manifest and seed-0 runs. Team metrics are validation-selection results. Local metrics are single-seed tests on frozen splits; overlapping windows are correlated, not independent events.</w:t>
      </w:r>
    </w:p>
    <w:sectPr w:rsidR="00FC693F" w:rsidRPr="0006063C" w:rsidSect="00034616">
      <w:pgSz w:w="12240" w:h="15840"/>
      <w:pgMar w:top="922"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Autoencoder Intrusion Detection Experiment Update</dc:title>
  <dc:subject>NB15 source-host controls and IDS2018 longer-training results for supervisor discussion</dc:subject>
  <dc:creator>DSA4266 Project Team</dc:creator>
  <cp:keywords>CNN autoencoder, UNSW NB15, CICIDS2018, experiment update</cp:keywords>
  <dc:description>generated by python-docx</dc:description>
  <cp:lastModifiedBy/>
  <cp:revision>1</cp:revision>
  <dcterms:created xsi:type="dcterms:W3CDTF">2013-12-23T23:15:00Z</dcterms:created>
  <dcterms:modified xsi:type="dcterms:W3CDTF">2013-12-23T23:15:00Z</dcterms:modified>
  <cp:category/>
</cp:coreProperties>
</file>