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Autoencoder Intrusion Detection Experiment Update</w:t>
      </w:r>
    </w:p>
    <w:p>
      <w:pPr>
        <w:spacing w:after="100"/>
      </w:pPr>
      <w:r>
        <w:rPr>
          <w:sz w:val="19"/>
        </w:rPr>
        <w:t>UNSW NB15 controls and CICIDS2018 pilot     15 October 2026</w:t>
      </w:r>
    </w:p>
    <w:p>
      <w:r>
        <w:t>The experiments indicate that performance depends strongly on sequence construction and evaluation protocol. My CNN autoencoder controls retain useful ranking ability, but frozen-threshold detection rates reveal limitations that near-perfect validation AUC does not capture. CICIDS2018 remains exploratory; we have not decided to replace UNSW NB15.</w:t>
      </w:r>
    </w:p>
    <w:p>
      <w:pPr>
        <w:pStyle w:val="Heading1"/>
      </w:pPr>
      <w:r>
        <w:t>Experiment setup</w:t>
      </w:r>
    </w:p>
    <w:p>
      <w:r>
        <w:rPr>
          <w:b/>
        </w:rPr>
        <w:t>Team NB15 experiments.</w:t>
      </w:r>
      <w:r>
        <w:t xml:space="preserve"> CNN, LSTM and hybrid autoencoders use sequences of 20 flows per source host, with chronological splitting and boundary exclusion. Feature ablations remove suspected shortcuts, while destination-port indicators remain. The saved architecture comparison evaluates validation windows; its test split is sealed.</w:t>
      </w:r>
    </w:p>
    <w:p>
      <w:r>
        <w:rPr>
          <w:b/>
        </w:rPr>
        <w:t>My NB15 control.</w:t>
      </w:r>
      <w:r>
        <w:t xml:space="preserve"> One CNN-AE uses 88 behavioural features per 10-second bucket and 10 consecutive buckets per 100-second sequence, with stride 1. Exact port values are replaced by distribution summaries. Benign training and validation use 52,934 and 9,224 sequences from separate hosts. One model is tested against two held-out attack hosts using the same benign test pool.</w:t>
      </w:r>
    </w:p>
    <w:p>
      <w:r>
        <w:rPr>
          <w:b/>
        </w:rPr>
        <w:t>My CICIDS2018 pilot.</w:t>
      </w:r>
      <w:r>
        <w:t xml:space="preserve"> The same 88 bucket features form 100-second windows, with stride 5 buckets or 50 seconds. An input mask marks empty buckets, which are excluded from reconstruction loss. Separate global 30-minute time blocks supply 100,000 benign training, 20,000 validation and 20,000 calibration windows. Test windows retain both classes. Hosts may recur across splits.</w:t>
      </w:r>
    </w:p>
    <w:p>
      <w:pPr>
        <w:pStyle w:val="Heading1"/>
      </w:pPr>
      <w:r>
        <w:t>CNN results</w:t>
      </w:r>
    </w:p>
    <w:tbl>
      <w:tblPr>
        <w:tblW w:type="auto" w:w="0"/>
        <w:jc w:val="center"/>
        <w:tblLayout w:type="fixed"/>
        <w:tblLook w:firstColumn="1" w:firstRow="1" w:lastColumn="0" w:lastRow="0" w:noHBand="0" w:noVBand="1" w:val="04A0"/>
      </w:tblPr>
      <w:tblGrid>
        <w:gridCol w:w="3226"/>
        <w:gridCol w:w="1210"/>
        <w:gridCol w:w="1210"/>
        <w:gridCol w:w="2362"/>
        <w:gridCol w:w="2160"/>
      </w:tblGrid>
      <w:tr>
        <w:trPr>
          <w:cantSplit/>
          <w:tblHeader/>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left"/>
            </w:pPr>
            <w:r>
              <w:rPr>
                <w:rFonts w:ascii="Calibri" w:hAnsi="Calibri"/>
                <w:b/>
                <w:color w:val="000000"/>
                <w:sz w:val="20"/>
              </w:rPr>
              <w:t>Experiment and split</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ROC AUC</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PR AUC</w:t>
              <w:br/>
              <w:t>AP</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Detection rate</w:t>
              <w:br/>
              <w:t>nominal 1% FPR</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Actual</w:t>
              <w:br/>
              <w:t>test FPR</w:t>
            </w:r>
          </w:p>
        </w:tc>
      </w:tr>
      <w:tr>
        <w:trPr>
          <w:cantSplit/>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Team NB15 A</w:t>
              <w:br/>
              <w:t>validation</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0.9999</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0.9980</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100.00%</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w:t>
            </w:r>
          </w:p>
        </w:tc>
      </w:tr>
      <w:tr>
        <w:trPr>
          <w:cantSplit/>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Team NB15 B</w:t>
              <w:br/>
              <w:t>validation</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0.9993</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0.9936</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99.16%</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w:t>
            </w:r>
          </w:p>
        </w:tc>
      </w:tr>
      <w:tr>
        <w:trPr>
          <w:cantSplit/>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My NB15 Round 1</w:t>
              <w:br/>
              <w:t>test</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0.9806</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0.7814</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2.46%</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0.045%</w:t>
            </w:r>
          </w:p>
        </w:tc>
      </w:tr>
      <w:tr>
        <w:trPr>
          <w:cantSplit/>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My NB15 Round 2</w:t>
              <w:br/>
              <w:t>test</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0.9803</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0.7801</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1.53%</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0.045%</w:t>
            </w:r>
          </w:p>
        </w:tc>
      </w:tr>
      <w:tr>
        <w:trPr>
          <w:cantSplit/>
        </w:trPr>
        <w:tc>
          <w:tcPr>
            <w:tcW w:type="dxa" w:w="3226"/>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My CICIDS2018</w:t>
              <w:br/>
              <w:t>test</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0.8554</w:t>
            </w:r>
          </w:p>
        </w:tc>
        <w:tc>
          <w:tcPr>
            <w:tcW w:type="dxa" w:w="121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0.2313</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36.82%</w:t>
            </w:r>
          </w:p>
        </w:tc>
        <w:tc>
          <w:tcPr>
            <w:tcW w:type="dxa" w:w="2160"/>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3.29%</w:t>
            </w:r>
          </w:p>
        </w:tc>
      </w:tr>
    </w:tbl>
    <w:p>
      <w:pPr>
        <w:spacing w:after="0"/>
      </w:pPr>
    </w:p>
    <w:p>
      <w:pPr>
        <w:spacing w:after="100"/>
      </w:pPr>
      <w:r>
        <w:rPr>
          <w:sz w:val="19"/>
        </w:rPr>
        <w:t>Team rows are three-seed means from two saved feature-ablation runs; local controls use seed 0. AP means average precision. Thresholds are fitted to benign validation scores for NB15 and separate benign calibration scores for CIC. The local CNNs have approximately 250,000 parameters.</w:t>
      </w:r>
    </w:p>
    <w:p>
      <w:pPr>
        <w:spacing w:after="100"/>
      </w:pPr>
      <w:r>
        <w:rPr>
          <w:sz w:val="19"/>
        </w:rPr>
        <w:t>NB15 test sizes are 18,511 and 18,669 windows, with attack prevalence of 16.46% and 17.17%. CIC has 501,046 test windows, including 4,093 attacks or 0.817%. Different splits, features and prevalence prevent a direct benchmark ranking; PR AUC is particularly sensitive to prevalence.</w:t>
      </w:r>
    </w:p>
    <w:p>
      <w:r>
        <w:br w:type="page"/>
      </w:r>
    </w:p>
    <w:p>
      <w:pPr>
        <w:pStyle w:val="Heading1"/>
      </w:pPr>
      <w:r>
        <w:t>What the CIC pilot reveals</w:t>
      </w:r>
    </w:p>
    <w:p>
      <w:r>
        <w:t>Detection varies substantially by attack. At the nominal 1% calibration FPR threshold, recall is 100% for HOIC DDoS and 97.50% for LOIC HTTP DDoS, but only 9.77% for infiltration, 2.05% for Web brute force, 0.75% for XSS, and 0% for Bot and SQL injection. Nine of 14 attack labels occur in this test split; the other five are unevaluated. Some represented types have only tens of overlapping windows.</w:t>
      </w:r>
    </w:p>
    <w:tbl>
      <w:tblPr>
        <w:tblW w:type="auto" w:w="0"/>
        <w:jc w:val="center"/>
        <w:tblLayout w:type="fixed"/>
        <w:tblLook w:firstColumn="1" w:firstRow="1" w:lastColumn="0" w:lastRow="0" w:noHBand="0" w:noVBand="1" w:val="04A0"/>
      </w:tblPr>
      <w:tblGrid>
        <w:gridCol w:w="3082"/>
        <w:gridCol w:w="2362"/>
        <w:gridCol w:w="2362"/>
        <w:gridCol w:w="2362"/>
      </w:tblGrid>
      <w:tr>
        <w:trPr>
          <w:cantSplit/>
          <w:tblHeader/>
        </w:trPr>
        <w:tc>
          <w:tcPr>
            <w:tcW w:type="dxa" w:w="308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left"/>
            </w:pPr>
            <w:r>
              <w:rPr>
                <w:rFonts w:ascii="Calibri" w:hAnsi="Calibri"/>
                <w:b/>
                <w:color w:val="000000"/>
                <w:sz w:val="20"/>
              </w:rPr>
              <w:t>Nominal calibration FPR</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Actual test FPR</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Attack recall</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DCE6EE"/>
          </w:tcPr>
          <w:p>
            <w:pPr>
              <w:spacing w:after="0" w:line="240" w:lineRule="auto"/>
              <w:jc w:val="center"/>
            </w:pPr>
            <w:r>
              <w:rPr>
                <w:rFonts w:ascii="Calibri" w:hAnsi="Calibri"/>
                <w:b/>
                <w:color w:val="000000"/>
                <w:sz w:val="20"/>
              </w:rPr>
              <w:t>Alert precision</w:t>
            </w:r>
          </w:p>
        </w:tc>
      </w:tr>
      <w:tr>
        <w:trPr>
          <w:cantSplit/>
        </w:trPr>
        <w:tc>
          <w:tcPr>
            <w:tcW w:type="dxa" w:w="308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0.1%</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0.35%</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30.88%</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42.05%</w:t>
            </w:r>
          </w:p>
        </w:tc>
      </w:tr>
      <w:tr>
        <w:trPr>
          <w:cantSplit/>
        </w:trPr>
        <w:tc>
          <w:tcPr>
            <w:tcW w:type="dxa" w:w="308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1%</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3.29%</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36.82%</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8.43%</w:t>
            </w:r>
          </w:p>
        </w:tc>
      </w:tr>
      <w:tr>
        <w:trPr>
          <w:cantSplit/>
        </w:trPr>
        <w:tc>
          <w:tcPr>
            <w:tcW w:type="dxa" w:w="308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left"/>
            </w:pPr>
            <w:r>
              <w:rPr>
                <w:rFonts w:ascii="Calibri" w:hAnsi="Calibri"/>
                <w:b w:val="0"/>
                <w:color w:val="000000"/>
                <w:sz w:val="20"/>
              </w:rPr>
              <w:t>5%</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18.89%</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65.45%</w:t>
            </w:r>
          </w:p>
        </w:tc>
        <w:tc>
          <w:tcPr>
            <w:tcW w:type="dxa" w:w="2362"/>
            <w:vAlign w:val="center"/>
            <w:tcBorders>
              <w:top w:val="single" w:sz="4" w:color="D9D9D9"/>
              <w:left w:val="single" w:sz="4" w:color="D9D9D9"/>
              <w:bottom w:val="single" w:sz="4" w:color="D9D9D9"/>
              <w:right w:val="single" w:sz="4" w:color="D9D9D9"/>
            </w:tcBorders>
            <w:tcMar>
              <w:top w:w="85" w:type="dxa"/>
              <w:bottom w:w="85" w:type="dxa"/>
              <w:left w:w="90" w:type="dxa"/>
              <w:right w:w="90" w:type="dxa"/>
            </w:tcMar>
            <w:shd w:fill="FFFFFF"/>
          </w:tcPr>
          <w:p>
            <w:pPr>
              <w:spacing w:after="0" w:line="240" w:lineRule="auto"/>
              <w:jc w:val="center"/>
            </w:pPr>
            <w:r>
              <w:rPr>
                <w:rFonts w:ascii="Calibri" w:hAnsi="Calibri"/>
                <w:b w:val="0"/>
                <w:color w:val="000000"/>
                <w:sz w:val="20"/>
              </w:rPr>
              <w:t>2.77%</w:t>
            </w:r>
          </w:p>
        </w:tc>
      </w:tr>
    </w:tbl>
    <w:p>
      <w:pPr>
        <w:spacing w:after="0"/>
      </w:pPr>
    </w:p>
    <w:p>
      <w:r>
        <w:t>At the nominal 1% setting, 1,507 attack windows are detected alongside 16,370 false positives. Counts refer to windows, not independent attack events or deduplicated alerts. Training took about 42 seconds over 30 epochs; validation loss was lowest at epoch 30, so convergence is not yet established.</w:t>
      </w:r>
    </w:p>
    <w:p>
      <w:pPr>
        <w:pStyle w:val="Heading1"/>
      </w:pPr>
      <w:r>
        <w:t>Sparse windows and threshold transfer</w:t>
      </w:r>
    </w:p>
    <w:p>
      <w:r>
        <w:t>Masking prevents empty bins from diluting reconstruction error, but cannot create temporal information. Only one bucket is active in 85.56% of training windows, 77.19% of calibration windows and 52.11% of test windows. The host-balanced sampler therefore overrepresents sparse traffic relative to natural test traffic.</w:t>
      </w:r>
    </w:p>
    <w:p>
      <w:r>
        <w:t>The three occupancy groups have different benign false-positive rates. Reweighting their calibration FPRs to match the benign test composition predicts 3.297%, close to the observed 3.294%. This supports occupancy composition as a major explanation for threshold drift; it does not establish causality.</w:t>
      </w:r>
    </w:p>
    <w:p>
      <w:r>
        <w:t>A score using only the number of active buckets achieves ROC AUC 0.7372 and AP 0.0403, below the CNN-AE's 0.8554 and 0.2313. The network learns more than this density proxy, but its benefit from temporal order remains untested.</w:t>
      </w:r>
    </w:p>
    <w:p>
      <w:pPr>
        <w:pStyle w:val="Heading1"/>
      </w:pPr>
      <w:r>
        <w:t>Conclusions and discussion</w:t>
      </w:r>
    </w:p>
    <w:p>
      <w:r>
        <w:t>Near-perfect NB15 validation scores do not establish reliable detection under changed evaluation conditions. The temporal NB15 control exposes poor threshold transfer, while the CIC pilot shows attack-specific weaknesses and sensitivity to sparse-window sampling. These results do not yet justify attributing the differences solely to dataset difficulty.</w:t>
      </w:r>
    </w:p>
    <w:p>
      <w:r>
        <w:t>I propose first aligning calibration with the intended traffic distribution, then comparing fixed-time masked windows with active-bucket sequences that retain time gaps, plus a single-bucket or shuffled-order control. This would test whether temporal structure adds value before broader tuning or a dataset switch.</w:t>
      </w:r>
    </w:p>
    <w:p>
      <w:pPr>
        <w:spacing w:after="100"/>
      </w:pPr>
      <w:r>
        <w:rPr>
          <w:sz w:val="19"/>
        </w:rPr>
        <w:t>Evidence: team origin/AE ablation_noshort and ablation_noshort2 summaries and ae_ablation.py; local cnn_ae_temporal_control_seed0 results; CIC cnn_ae_stride5_seed0 results and data_stride5 manifest. Team scores are validation-selection results; local results are single-seed test pilots. Overlapping windows are correlated.</w:t>
      </w:r>
    </w:p>
    <w:sectPr w:rsidR="00FC693F" w:rsidRPr="0006063C" w:rsidSect="00034616">
      <w:pgSz w:w="12240" w:h="15840"/>
      <w:pgMar w:top="922" w:right="1037" w:bottom="92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Autoencoder Intrusion Detection Experiment Update</dc:title>
  <dc:subject>UNSW NB15 controls and CICIDS2018 pilot results for supervisor discussion</dc:subject>
  <dc:creator>DSA4266 Project Team</dc:creator>
  <cp:keywords>CNN autoencoder, UNSW NB15, CICIDS2018, experiment update</cp:keywords>
  <dc:description>generated by python-docx</dc:description>
  <cp:lastModifiedBy/>
  <cp:revision>1</cp:revision>
  <dcterms:created xsi:type="dcterms:W3CDTF">2013-12-23T23:15:00Z</dcterms:created>
  <dcterms:modified xsi:type="dcterms:W3CDTF">2013-12-23T23:15:00Z</dcterms:modified>
  <cp:category/>
</cp:coreProperties>
</file>