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Description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data was collected from the four following locations: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Cleveland Clinic Foundation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Hungarian Institute of Cardiology, Budapest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Hospital, Zurich, Switzerland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V.A. Medical Center, Long Beach, CA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Information: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hospital: location of the hospital (Cleveland; Hungarian; Switzerland; VA)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 age of the patient in years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sex: sex of the pateient (1 = male; 0 = female)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- Chest pain type (1: typical angina; 2: atypical angina; 3: non-anginal pain; 4: asymptomatic)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trestbps: resting blood pressure (in mm Hg on admission to the hospital)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chol: serum cholestoral in mg/dl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fbs: fasting blood sugar &gt; 120 mg/dl (1 = true; 0 = false)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restecg: resting electrocardiographic results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0: normal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1: having ST-T wave abnormality (T wave inversions and/or ST elevation or depression of &gt; 0.05 mV)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2: showing probable or definite left ventricular hypertrophy by Estes' criteria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thalach: maximum heart rate achieved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exang: exercise induced angina (1 = yes; 0 = no)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oldpeak = ST depression induced by exercise relative to rest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slope: the slope of the peak exercise ST segment (1: upsloping; 2: flat; 3 downsloping)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ca: number of major vessels (0-3) colored by flourosopy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thal: 3 = normal; 6 = fixed defect; 7 = reversable defect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num: angiographic disease status or diagnosis of heart disease (0: &lt; 50% diameter narrowing; 1: &gt; 50% diameter narrowing)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