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разработку высокопроизводительной рабочей станции для профессионального видеомонтажа и 3D-рендеринга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Процессор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Модель: Intel Core i7-13700K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Количество ядер: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Базовая частота: не менее 3.4 ГГц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Кэш-память: 30 МБ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Материнская плата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Характеристики: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Производитель: ASUS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Модель: ROG Strix Z790-E Gaming WiFi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Сокет: LGA 1700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Формфактор: ATX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Чипсет: Intel Z790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Оперативная память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Спецификация: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Производитель: Corsair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Модель: Vengeance RGB PRO 32GB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Объем: 32 ГБ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Тип: DDR4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Частота: 3600 МГц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Накопитель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Тип: SSD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Производитель: Samsung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Модель: 980 PRO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Объем: 1 ТБ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Интерфейс: PCIe 4.0 NVMe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Скорость чтения: до 7000 МБ/с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Видеокарта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Модель: NVIDIA GeForce RTX 4090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Видеопамять: 24 ГБ GDDR6X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Базовая частота: 2.2 ГГц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Все компоненты должны быть совместимы между собой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Система предназначена для профессионального видеомонтажа и 3D-рендеринга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Необходима высокая производительность и стабильность работы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Подготовил: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Инженер отдела разработки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Дата: [Текущая дата]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