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4E67" w14:textId="285E2D90" w:rsidR="00F77551" w:rsidRPr="00BA46AE" w:rsidRDefault="00282751" w:rsidP="00BA46AE">
      <w:pPr>
        <w:pStyle w:val="Heading1"/>
      </w:pPr>
      <w:bookmarkStart w:id="0" w:name="_Toc178607184"/>
      <w:bookmarkStart w:id="1" w:name="_Ref173836425"/>
      <w:r w:rsidRPr="00BA46AE">
        <w:t>M</w:t>
      </w:r>
      <w:r w:rsidR="00F77551" w:rsidRPr="00BA46AE">
        <w:t>etadata template</w:t>
      </w:r>
      <w:r w:rsidR="00171A17" w:rsidRPr="00BA46AE">
        <w:t xml:space="preserve"> for </w:t>
      </w:r>
      <w:bookmarkEnd w:id="0"/>
      <w:r w:rsidR="008963A3" w:rsidRPr="008963A3">
        <w:t>Learning Resources</w:t>
      </w:r>
      <w:r w:rsidRPr="00BA46AE">
        <w:t xml:space="preserve"> (V1.0)</w:t>
      </w:r>
    </w:p>
    <w:p w14:paraId="092E41A5" w14:textId="3E03EDDB" w:rsidR="004F3E1D" w:rsidRDefault="004F3E1D" w:rsidP="00A555F0">
      <w:pPr>
        <w:spacing w:after="120"/>
        <w:rPr>
          <w:sz w:val="20"/>
          <w:szCs w:val="20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C2E" w:rsidRPr="00C33045" w14:paraId="42FA6F63" w14:textId="77777777" w:rsidTr="0021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</w:tcBorders>
          </w:tcPr>
          <w:p w14:paraId="30B02A7F" w14:textId="77777777" w:rsidR="00DA0C2E" w:rsidRDefault="00DA0C2E" w:rsidP="002173F9">
            <w:pPr>
              <w:spacing w:after="60"/>
              <w:jc w:val="left"/>
              <w:rPr>
                <w:sz w:val="20"/>
                <w:szCs w:val="20"/>
              </w:rPr>
            </w:pPr>
          </w:p>
          <w:p w14:paraId="4D9D43DF" w14:textId="35AC467B" w:rsidR="00C17F2F" w:rsidRDefault="00C17F2F" w:rsidP="00C17F2F">
            <w:pPr>
              <w:spacing w:after="6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Collector: </w:t>
            </w:r>
            <w:r w:rsidR="00C66A5C" w:rsidRPr="00C66A5C">
              <w:rPr>
                <w:b w:val="0"/>
                <w:bCs w:val="0"/>
                <w:color w:val="FF0000"/>
                <w:sz w:val="18"/>
                <w:szCs w:val="18"/>
              </w:rPr>
              <w:t>Angela Aragon-Angel</w:t>
            </w:r>
          </w:p>
          <w:p w14:paraId="25419136" w14:textId="707D4AD5" w:rsidR="00C17F2F" w:rsidRDefault="00C17F2F" w:rsidP="00C17F2F">
            <w:pPr>
              <w:spacing w:after="60"/>
              <w:jc w:val="left"/>
              <w:rPr>
                <w:color w:val="FF0000"/>
                <w:sz w:val="18"/>
                <w:szCs w:val="18"/>
              </w:rPr>
            </w:pPr>
            <w:r w:rsidRPr="00135564">
              <w:rPr>
                <w:sz w:val="20"/>
                <w:szCs w:val="20"/>
              </w:rPr>
              <w:t xml:space="preserve">Revision Date: </w:t>
            </w:r>
            <w:r w:rsidR="00C66A5C" w:rsidRPr="00C66A5C">
              <w:rPr>
                <w:b w:val="0"/>
                <w:bCs w:val="0"/>
                <w:color w:val="FF0000"/>
                <w:sz w:val="18"/>
                <w:szCs w:val="18"/>
              </w:rPr>
              <w:t>17/12/2024</w:t>
            </w:r>
          </w:p>
          <w:p w14:paraId="5F6C9E3B" w14:textId="4B3CD551" w:rsidR="00C17F2F" w:rsidRPr="00812345" w:rsidRDefault="00C17F2F" w:rsidP="00C17F2F">
            <w:pPr>
              <w:spacing w:after="60"/>
              <w:jc w:val="left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812345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v</w:t>
            </w:r>
            <w:r w:rsidRPr="00812345">
              <w:rPr>
                <w:b w:val="0"/>
                <w:bCs w:val="0"/>
                <w:color w:val="FF0000"/>
                <w:sz w:val="18"/>
                <w:szCs w:val="18"/>
              </w:rPr>
              <w:t>1.0</w:t>
            </w:r>
          </w:p>
          <w:p w14:paraId="2E490967" w14:textId="77777777" w:rsidR="00DA0C2E" w:rsidRPr="00812345" w:rsidRDefault="00DA0C2E" w:rsidP="002173F9">
            <w:pPr>
              <w:spacing w:after="60"/>
              <w:jc w:val="left"/>
              <w:rPr>
                <w:sz w:val="20"/>
                <w:szCs w:val="20"/>
              </w:rPr>
            </w:pPr>
          </w:p>
        </w:tc>
      </w:tr>
      <w:tr w:rsidR="00CC61E7" w:rsidRPr="00CC61E7" w14:paraId="6DCA7F59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000EF" w14:textId="77777777" w:rsidR="00DA0C2E" w:rsidRPr="00CC61E7" w:rsidRDefault="00DA0C2E" w:rsidP="002173F9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Title</w:t>
            </w:r>
          </w:p>
          <w:p w14:paraId="5B808DBD" w14:textId="79BC61DD" w:rsidR="00DA0C2E" w:rsidRPr="00CC61E7" w:rsidRDefault="00C66A5C" w:rsidP="002173F9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 xml:space="preserve">GNSS contributions to Space Weather monitoring: </w:t>
            </w:r>
            <w:proofErr w:type="spellStart"/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>/UPC Real-Time products for Precise Navigation, Ionosphere and Space Weather Monitoring</w:t>
            </w:r>
          </w:p>
        </w:tc>
      </w:tr>
      <w:tr w:rsidR="00CC61E7" w:rsidRPr="00C66A5C" w14:paraId="281BCDED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DE8C35" w14:textId="77777777" w:rsidR="00EF23EE" w:rsidRPr="00CC61E7" w:rsidRDefault="00EF23EE" w:rsidP="00EF23EE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color w:val="auto"/>
              </w:rPr>
            </w:pPr>
            <w:r w:rsidRPr="00CC61E7">
              <w:rPr>
                <w:color w:val="auto"/>
              </w:rPr>
              <w:t>Author/s</w:t>
            </w:r>
          </w:p>
          <w:p w14:paraId="1CC0B63C" w14:textId="4528C62B" w:rsidR="00EF23EE" w:rsidRPr="00C66A5C" w:rsidRDefault="00C66A5C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  <w:lang w:val="es-ES"/>
              </w:rPr>
            </w:pPr>
            <w:r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 xml:space="preserve">Cristhian </w:t>
            </w:r>
            <w:proofErr w:type="spellStart"/>
            <w:r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Timoté</w:t>
            </w:r>
            <w:proofErr w:type="spellEnd"/>
            <w:r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 xml:space="preserve"> and Guillermo González-Casado</w:t>
            </w:r>
            <w:r w:rsidR="00CC61E7" w:rsidRPr="00C66A5C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.</w:t>
            </w:r>
          </w:p>
        </w:tc>
      </w:tr>
      <w:tr w:rsidR="00CC61E7" w:rsidRPr="00CC61E7" w14:paraId="577C5167" w14:textId="77777777" w:rsidTr="0037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A1235F" w14:textId="77777777" w:rsidR="00DA0C2E" w:rsidRPr="00CC61E7" w:rsidRDefault="00DA0C2E" w:rsidP="00370E65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Subject</w:t>
            </w:r>
          </w:p>
          <w:p w14:paraId="12D6DA2B" w14:textId="2590D83E" w:rsidR="00DA0C2E" w:rsidRPr="00CC61E7" w:rsidRDefault="00C66A5C" w:rsidP="00370E65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296BC6">
              <w:rPr>
                <w:b w:val="0"/>
                <w:bCs w:val="0"/>
                <w:color w:val="FF0000"/>
                <w:sz w:val="18"/>
                <w:szCs w:val="18"/>
              </w:rPr>
              <w:t>Global Navigation Satellite Systems (GNSS), Space Weather, Ionospheric Modelling, Positioning and Navigation, Ionospheric Scintillation, Real Time Monitoring</w:t>
            </w:r>
          </w:p>
        </w:tc>
      </w:tr>
      <w:tr w:rsidR="00CC61E7" w:rsidRPr="00CC61E7" w14:paraId="170D9793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044A20" w14:textId="77777777" w:rsidR="00C17F2F" w:rsidRPr="00CC61E7" w:rsidRDefault="00DA0C2E" w:rsidP="00C17F2F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 xml:space="preserve">Description </w:t>
            </w:r>
          </w:p>
          <w:p w14:paraId="7317FE47" w14:textId="77777777" w:rsidR="00C66A5C" w:rsidRPr="00977F1E" w:rsidRDefault="00C66A5C" w:rsidP="00C66A5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The Space Weather Prediction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Center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 (SWPC) at the National Oceanic and Atmospheric Administration (NOAA), just published a new on the last October 25th issuing a “revised prediction for solar activity during Solar Cycle 25 that concludes solar activity will increase more quickly and peak at a higher level than that predicted by an expert panel in December 2019. The updated prediction now calls for Solar Cycle 25 to peak between January and October of 2024, with a maximum sunspot number between 137 and 173”.</w:t>
            </w:r>
          </w:p>
          <w:p w14:paraId="7A82EE7D" w14:textId="77777777" w:rsidR="00C66A5C" w:rsidRPr="00977F1E" w:rsidRDefault="00C66A5C" w:rsidP="00C66A5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In that context, this training offers a tutorial on two main hot topics on GNSS positioning in two consecutive sessions or lessons: Galileo High Accuracy Service and Ionospheric Scintillation.</w:t>
            </w:r>
          </w:p>
          <w:p w14:paraId="0C0425A1" w14:textId="77777777" w:rsidR="00C66A5C" w:rsidRPr="00977F1E" w:rsidRDefault="00C66A5C" w:rsidP="00C66A5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First session: The Galileo High Accuracy Positioning Service (HAS) will offer free-of-charge real-time improved user positioning performances down to a decimetre level, with multiple constellations of the </w:t>
            </w: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lastRenderedPageBreak/>
              <w:t xml:space="preserve">GNSS. The Service Level 1 (SL1) of Galileo HAS is based on a Precise Point Positioning (PPP) user algorithm, and SL2 is enhanced with ionospheric corrections for Fast-PPP navigation, both with ambiguity fixing capabilities. An overview of the ionospheric model developed by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/UPC for Galileo HAS SL2, and other associated products, will be presented in this second part of the tutorial.</w:t>
            </w:r>
          </w:p>
          <w:p w14:paraId="6F3D2050" w14:textId="5DA4F652" w:rsidR="00DA0C2E" w:rsidRPr="00CC61E7" w:rsidRDefault="00C66A5C" w:rsidP="00C66A5C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Second session: Scintillation is one the major limitations in achieving high-accuracy GNSS positioning, especially at low latitudes, where severe scintillation frequently occurs. Scintillation is currently monitored with specialized Ionospheric Scintillation Monitoring Receivers (ISMRs), but only a few tens of ISMRs are available and their data are provided just at a few locations and for short periods of time. In this tutorial, we will present a new technique developed by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/UPC to monitor scintillation with conventional multi-frequency geodetic receivers operating at 1 Hz. This technique opens the door to use the huge databases available from permanent GNSS networks (such as the EUREF, IGS or others) for scintillation studies.</w:t>
            </w:r>
          </w:p>
        </w:tc>
      </w:tr>
      <w:tr w:rsidR="00CC61E7" w:rsidRPr="00CC61E7" w14:paraId="2E57255F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418B52" w14:textId="77777777" w:rsidR="00C17F2F" w:rsidRPr="00CC61E7" w:rsidRDefault="00C17F2F" w:rsidP="00C17F2F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lastRenderedPageBreak/>
              <w:t>Abstract</w:t>
            </w:r>
          </w:p>
          <w:p w14:paraId="4D7585EB" w14:textId="77777777" w:rsidR="00495E4C" w:rsidRPr="001E74C8" w:rsidRDefault="00495E4C" w:rsidP="00495E4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 xml:space="preserve">This tutorial covers two key topics in GNSS positioning and its applications: The Galileo High Accuracy Service (HAS) and ionospheric scintillation. Galileo HAS offers real-time </w:t>
            </w:r>
            <w:proofErr w:type="spellStart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decimeter</w:t>
            </w:r>
            <w:proofErr w:type="spellEnd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-level accuracy using GNSS constellations, with Service Level 2 enhanced by ionospheric corrections. In this regard, the tutorial describes a tool able to provide ionospheric corrections fulfilling the requirements of the Galileo HAS. Additionally, in the second session of the tutorial a novel technique that enables monitoring scintillation using conventional GNSS receivers will be introduced, expanding the potential for scintillation research across large GNSS networks.</w:t>
            </w:r>
          </w:p>
          <w:p w14:paraId="54612862" w14:textId="309F6968" w:rsidR="00C17F2F" w:rsidRPr="00CC61E7" w:rsidRDefault="00495E4C" w:rsidP="00495E4C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 xml:space="preserve">The real time tools described in this tutorial are the result of the participation of the </w:t>
            </w:r>
            <w:proofErr w:type="spellStart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/UPC research group in several contracts awarded by the European Space Agency</w:t>
            </w:r>
            <w:r w:rsidRPr="008C17C8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2EF9088F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0416B1" w14:textId="77777777" w:rsidR="00DA0C2E" w:rsidRPr="00CC61E7" w:rsidRDefault="00BA46AE" w:rsidP="00BB6281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Learning Outcomes</w:t>
            </w:r>
          </w:p>
          <w:p w14:paraId="397C8237" w14:textId="77777777" w:rsidR="00BC250C" w:rsidRPr="00C44EE8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It is expected at the end of the training that attendees:</w:t>
            </w:r>
          </w:p>
          <w:p w14:paraId="789C3831" w14:textId="77777777" w:rsidR="00BC250C" w:rsidRPr="00C44EE8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Familiarize with the Galileo High Accuracy Service (HAS), including its Service Levels (SL1 and SL2), requirements, and benefits from the user point of view.</w:t>
            </w:r>
          </w:p>
          <w:p w14:paraId="1C24A331" w14:textId="77777777" w:rsidR="00BC250C" w:rsidRPr="00C44EE8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Practical application of the Galileo High Accuracy service (HAS): use of practical examples to achieve enhanced GNSS positioning accuracy using Galileo HAS, including a comparative for different type of navigation solutions.</w:t>
            </w:r>
          </w:p>
          <w:p w14:paraId="44955E26" w14:textId="77777777" w:rsidR="00BC250C" w:rsidRPr="00C44EE8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Updated Knowledge on the impact of Solar Activity on the ionosphere using GNSS.</w:t>
            </w:r>
          </w:p>
          <w:p w14:paraId="3149BF5B" w14:textId="77777777" w:rsidR="00BC250C" w:rsidRPr="00C44EE8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lastRenderedPageBreak/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Understanding Ionospheric Scintillation: An introduction into the ionospheric scintillation, one of the key challenges in GNSS positioning. The training covers techniques for monitoring scintillation, with a focus on its impacts at low latitudes, where it is more frequent and intense.</w:t>
            </w:r>
          </w:p>
          <w:p w14:paraId="6977AB71" w14:textId="753EE0F2" w:rsidR="00BB6281" w:rsidRPr="00CC61E7" w:rsidRDefault="00BC250C" w:rsidP="00BC250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 xml:space="preserve">New Techniques for Scintillation Monitoring in real-time: Participants will be introduced to real-time techniques developed by </w:t>
            </w:r>
            <w:proofErr w:type="spellStart"/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/UPC that use conventional geodetic GNSS receivers for monitoring scintillation in a global scale.</w:t>
            </w:r>
          </w:p>
        </w:tc>
      </w:tr>
      <w:tr w:rsidR="00CC61E7" w:rsidRPr="00CC61E7" w14:paraId="503DF19F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DA263A" w14:textId="77777777" w:rsidR="00BA46AE" w:rsidRPr="00CC61E7" w:rsidRDefault="00BA46AE" w:rsidP="00BA46AE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lastRenderedPageBreak/>
              <w:t>Target audience</w:t>
            </w:r>
          </w:p>
          <w:p w14:paraId="03AE4948" w14:textId="5490479D" w:rsidR="00BA46AE" w:rsidRPr="00CC61E7" w:rsidRDefault="00380729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Since t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he tutorial covers a wide range of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topics in fields of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 geodesy, cartography, GNSS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, It Is addressed to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professionals in such field with some experience. Also, </w:t>
            </w:r>
            <w:r w:rsidRPr="00391EE8">
              <w:rPr>
                <w:b w:val="0"/>
                <w:bCs w:val="0"/>
                <w:color w:val="FF0000"/>
                <w:sz w:val="18"/>
                <w:szCs w:val="18"/>
              </w:rPr>
              <w:t>postdocs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and</w:t>
            </w:r>
            <w:r w:rsidRPr="00391EE8">
              <w:rPr>
                <w:b w:val="0"/>
                <w:bCs w:val="0"/>
                <w:color w:val="FF0000"/>
                <w:sz w:val="18"/>
                <w:szCs w:val="18"/>
              </w:rPr>
              <w:t xml:space="preserve"> JRFs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b w:val="0"/>
                <w:bCs w:val="0"/>
                <w:color w:val="FF0000"/>
                <w:sz w:val="18"/>
                <w:szCs w:val="18"/>
              </w:rPr>
              <w:t>In</w:t>
            </w:r>
            <w:proofErr w:type="gramEnd"/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those specifics areas.</w:t>
            </w:r>
          </w:p>
        </w:tc>
      </w:tr>
      <w:tr w:rsidR="00CC61E7" w:rsidRPr="00CC61E7" w14:paraId="41F62D9F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476F67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color w:val="auto"/>
              </w:rPr>
            </w:pPr>
            <w:r w:rsidRPr="00CC61E7">
              <w:rPr>
                <w:color w:val="auto"/>
              </w:rPr>
              <w:t>Date created</w:t>
            </w:r>
          </w:p>
          <w:p w14:paraId="26F28C1E" w14:textId="483B8D06" w:rsidR="00BA46AE" w:rsidRPr="00CC61E7" w:rsidRDefault="00380729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May/2024</w:t>
            </w:r>
            <w:r w:rsidR="00CC61E7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2B8BB6D1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0AFF46" w14:textId="77777777" w:rsidR="007753C1" w:rsidRPr="00CC61E7" w:rsidRDefault="007753C1" w:rsidP="007753C1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Type</w:t>
            </w:r>
          </w:p>
          <w:p w14:paraId="01A4D4FE" w14:textId="384F9671" w:rsidR="007753C1" w:rsidRPr="00CC61E7" w:rsidRDefault="008E2029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Live p</w:t>
            </w:r>
            <w:r w:rsidR="007753C1" w:rsidRPr="00CC61E7">
              <w:rPr>
                <w:b w:val="0"/>
                <w:bCs w:val="0"/>
                <w:color w:val="FF0000"/>
                <w:sz w:val="18"/>
                <w:szCs w:val="18"/>
              </w:rPr>
              <w:t>resentation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with audience</w:t>
            </w:r>
            <w:r w:rsidR="00CC61E7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66A5C" w14:paraId="26B7AAD1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1944F7" w14:textId="77777777" w:rsidR="007753C1" w:rsidRPr="00CC61E7" w:rsidRDefault="007753C1" w:rsidP="007753C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CC61E7">
              <w:rPr>
                <w:color w:val="auto"/>
              </w:rPr>
              <w:t>Format</w:t>
            </w:r>
          </w:p>
          <w:p w14:paraId="714CB48E" w14:textId="1778BFC8" w:rsidR="007753C1" w:rsidRPr="00C66A5C" w:rsidRDefault="008E2029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  <w:lang w:val="es-ES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Microsoft PPT presentation</w:t>
            </w:r>
            <w:r w:rsidR="00CC61E7" w:rsidRPr="00C66A5C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.</w:t>
            </w:r>
          </w:p>
        </w:tc>
      </w:tr>
      <w:tr w:rsidR="00CC61E7" w:rsidRPr="00CC61E7" w14:paraId="6E760FB6" w14:textId="77777777" w:rsidTr="00F36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93BB3D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 xml:space="preserve">Publisher </w:t>
            </w:r>
          </w:p>
          <w:p w14:paraId="225693EF" w14:textId="59829094" w:rsidR="00AE24D4" w:rsidRPr="00CC61E7" w:rsidRDefault="00475887" w:rsidP="00CC61E7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UPC</w:t>
            </w:r>
          </w:p>
        </w:tc>
      </w:tr>
      <w:tr w:rsidR="00CC61E7" w:rsidRPr="00CC61E7" w14:paraId="10EFA6E6" w14:textId="77777777" w:rsidTr="00F3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57516" w14:textId="77777777" w:rsidR="007753C1" w:rsidRPr="00CC61E7" w:rsidRDefault="007753C1" w:rsidP="007753C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CC61E7">
              <w:rPr>
                <w:color w:val="auto"/>
              </w:rPr>
              <w:t>Contributor/s</w:t>
            </w:r>
          </w:p>
          <w:p w14:paraId="06589F9B" w14:textId="747EE72E" w:rsidR="007753C1" w:rsidRPr="00CC61E7" w:rsidRDefault="00C52304" w:rsidP="007753C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Research</w:t>
            </w:r>
            <w:r w:rsidR="00092BB1">
              <w:rPr>
                <w:b w:val="0"/>
                <w:bCs w:val="0"/>
                <w:color w:val="FF0000"/>
                <w:sz w:val="18"/>
                <w:szCs w:val="18"/>
              </w:rPr>
              <w:t xml:space="preserve"> group of Astronomy and </w:t>
            </w:r>
            <w:proofErr w:type="spellStart"/>
            <w:r w:rsidR="00092BB1">
              <w:rPr>
                <w:b w:val="0"/>
                <w:bCs w:val="0"/>
                <w:color w:val="FF0000"/>
                <w:sz w:val="18"/>
                <w:szCs w:val="18"/>
              </w:rPr>
              <w:t>GEomatics</w:t>
            </w:r>
            <w:proofErr w:type="spellEnd"/>
            <w:r w:rsidR="00092BB1">
              <w:rPr>
                <w:b w:val="0"/>
                <w:bCs w:val="0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092BB1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="00092BB1">
              <w:rPr>
                <w:b w:val="0"/>
                <w:bCs w:val="0"/>
                <w:color w:val="FF0000"/>
                <w:sz w:val="18"/>
                <w:szCs w:val="18"/>
              </w:rPr>
              <w:t>) of UPC</w:t>
            </w:r>
            <w:r w:rsidR="00CC61E7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4A14473B" w14:textId="77777777" w:rsidTr="0035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BBB1A3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Location (URL)</w:t>
            </w:r>
          </w:p>
          <w:p w14:paraId="0BE422B6" w14:textId="43A8C746" w:rsidR="00DA0C2E" w:rsidRPr="00C66A5C" w:rsidRDefault="007B4D80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 w:rsidRPr="007B4D80">
              <w:rPr>
                <w:b w:val="0"/>
                <w:bCs w:val="0"/>
                <w:color w:val="auto"/>
                <w:sz w:val="18"/>
                <w:szCs w:val="18"/>
                <w:lang w:val="en-US"/>
              </w:rPr>
              <w:t>https://github.com/SpaceSUITE-ReactiveResponseCourses/GNSS-Contributions-to-Space-Weather</w:t>
            </w:r>
          </w:p>
        </w:tc>
      </w:tr>
      <w:tr w:rsidR="00CC61E7" w:rsidRPr="00CC61E7" w14:paraId="5DD6B31F" w14:textId="77777777" w:rsidTr="0017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D8ECFF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Language</w:t>
            </w:r>
          </w:p>
          <w:p w14:paraId="47C7FA36" w14:textId="5D367F5F" w:rsidR="00DA0C2E" w:rsidRPr="00CC61E7" w:rsidRDefault="007B4D80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English</w:t>
            </w:r>
            <w:r w:rsidR="00CC61E7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63A26516" w14:textId="77777777" w:rsidTr="0017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3F433C" w14:textId="77777777" w:rsidR="007753C1" w:rsidRPr="00CC61E7" w:rsidRDefault="007753C1" w:rsidP="007753C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CC61E7">
              <w:rPr>
                <w:color w:val="auto"/>
              </w:rPr>
              <w:lastRenderedPageBreak/>
              <w:t>Source/s</w:t>
            </w:r>
          </w:p>
          <w:p w14:paraId="2B151A65" w14:textId="08A72B62" w:rsidR="007753C1" w:rsidRPr="00CC61E7" w:rsidRDefault="001E7736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Research papers from </w:t>
            </w:r>
            <w:proofErr w:type="spellStart"/>
            <w:r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to be found at: </w:t>
            </w:r>
            <w:r w:rsidRPr="001E7736">
              <w:rPr>
                <w:b w:val="0"/>
                <w:bCs w:val="0"/>
                <w:color w:val="FF0000"/>
                <w:sz w:val="18"/>
                <w:szCs w:val="18"/>
              </w:rPr>
              <w:t>https://gage.upc.edu/en/publications/peer-reviewed-papers-on-gnss</w:t>
            </w:r>
          </w:p>
        </w:tc>
      </w:tr>
      <w:tr w:rsidR="00CC61E7" w:rsidRPr="00CC61E7" w14:paraId="1DCEE74C" w14:textId="77777777" w:rsidTr="0017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195677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License</w:t>
            </w:r>
          </w:p>
          <w:p w14:paraId="706996E6" w14:textId="620C283F" w:rsidR="00E877EA" w:rsidRPr="00CC61E7" w:rsidRDefault="00E877EA" w:rsidP="00CC61E7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 w:rsidRPr="00CC61E7">
              <w:rPr>
                <w:b w:val="0"/>
                <w:bCs w:val="0"/>
                <w:color w:val="FF0000"/>
                <w:sz w:val="18"/>
                <w:szCs w:val="18"/>
              </w:rPr>
              <w:t>CC-BY-SA</w:t>
            </w:r>
            <w:r w:rsidR="00CC61E7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063314D4" w14:textId="77777777" w:rsidTr="00C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06309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Duration</w:t>
            </w:r>
          </w:p>
          <w:p w14:paraId="28CE1CC9" w14:textId="7009E62C" w:rsidR="00DA0C2E" w:rsidRPr="00CC61E7" w:rsidRDefault="00820C29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4 hours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449190D6" w14:textId="77777777" w:rsidTr="00C9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108754" w14:textId="77777777" w:rsidR="003541ED" w:rsidRPr="00CC61E7" w:rsidRDefault="003541ED" w:rsidP="00C94E5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EQF level</w:t>
            </w:r>
          </w:p>
          <w:p w14:paraId="1E1FC9E8" w14:textId="1A3E88E7" w:rsidR="003541ED" w:rsidRPr="00CC61E7" w:rsidRDefault="00D55914" w:rsidP="003541ED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EQF 7 &amp; 8</w:t>
            </w:r>
            <w:r w:rsid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31405DDB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62A789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 xml:space="preserve">Table Of Contents </w:t>
            </w:r>
          </w:p>
          <w:p w14:paraId="614C9F2F" w14:textId="41135BCF" w:rsidR="00B42926" w:rsidRPr="006B3BAD" w:rsidRDefault="00B42926" w:rsidP="00B42926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 xml:space="preserve">First 2-hour tutorial: </w:t>
            </w:r>
            <w:r w:rsidRPr="004750DD">
              <w:rPr>
                <w:b w:val="0"/>
                <w:bCs w:val="0"/>
                <w:color w:val="FF0000"/>
              </w:rPr>
              <w:t>Real-Time Central Processing Facility for High Accuracy Navigation (IONO4HAS)</w:t>
            </w:r>
          </w:p>
          <w:p w14:paraId="5D5216C5" w14:textId="6EBFCAC5" w:rsidR="00BB6281" w:rsidRPr="00CC61E7" w:rsidRDefault="00B42926" w:rsidP="009C5660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304F3B">
              <w:rPr>
                <w:b w:val="0"/>
                <w:color w:val="FF0000"/>
              </w:rPr>
              <w:t>Second 2-hour tutorial: World-wide ionospheric scintillation monitoring in real time using non-specialized receivers.</w:t>
            </w:r>
          </w:p>
        </w:tc>
      </w:tr>
      <w:tr w:rsidR="00CC61E7" w:rsidRPr="00CC61E7" w14:paraId="65A16EEE" w14:textId="77777777" w:rsidTr="00B01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ED99E9" w14:textId="6DAB1D76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Workload</w:t>
            </w:r>
          </w:p>
          <w:p w14:paraId="32363BD0" w14:textId="0E42B18B" w:rsidR="00476DFC" w:rsidRPr="00CC61E7" w:rsidRDefault="00E877EA" w:rsidP="00476DF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B12414">
              <w:rPr>
                <w:b w:val="0"/>
                <w:bCs w:val="0"/>
                <w:color w:val="FF0000"/>
                <w:sz w:val="18"/>
                <w:szCs w:val="18"/>
              </w:rPr>
              <w:t>Amount of time students are expected to invest in order to meet the defined learning outcomes, quantified using ECTS (European Credit Transfer and Accumulation System) credits.</w:t>
            </w:r>
          </w:p>
        </w:tc>
      </w:tr>
      <w:tr w:rsidR="00CC61E7" w:rsidRPr="00CC61E7" w14:paraId="4A317A87" w14:textId="77777777" w:rsidTr="00B01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B38E3D" w14:textId="77777777" w:rsidR="007753C1" w:rsidRPr="00CC61E7" w:rsidRDefault="007753C1" w:rsidP="007753C1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Training Program</w:t>
            </w:r>
            <w:r w:rsidRPr="00CC61E7">
              <w:rPr>
                <w:color w:val="auto"/>
              </w:rPr>
              <w:tab/>
            </w:r>
          </w:p>
          <w:p w14:paraId="2D55A897" w14:textId="6EC0F9BE" w:rsidR="00574EC1" w:rsidRPr="00CC61E7" w:rsidRDefault="009C5660" w:rsidP="007753C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GNSS Training Program</w:t>
            </w:r>
            <w:r w:rsidR="007753C1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3EBF2C1C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F88BC7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Prerequisites</w:t>
            </w:r>
          </w:p>
          <w:p w14:paraId="6E61F349" w14:textId="137AF8CF" w:rsidR="00476DFC" w:rsidRPr="00CC61E7" w:rsidRDefault="009C5660" w:rsidP="00E877EA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1956A7">
              <w:rPr>
                <w:b w:val="0"/>
                <w:bCs w:val="0"/>
                <w:color w:val="FF0000"/>
                <w:sz w:val="18"/>
                <w:szCs w:val="18"/>
              </w:rPr>
              <w:t>Basic knowledge in GNSS systems (Single Point Positioning and Precise Point Positioning Techniques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)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3B2040BD" w14:textId="77777777" w:rsidTr="004C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CFE406" w14:textId="77777777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Type of assessment</w:t>
            </w:r>
          </w:p>
          <w:p w14:paraId="6A6B8D7F" w14:textId="0119B74C" w:rsidR="00476DFC" w:rsidRPr="00CC61E7" w:rsidRDefault="009C5660" w:rsidP="00476DF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26A77EB8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C9D075" w14:textId="77777777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lastRenderedPageBreak/>
              <w:t>Certification</w:t>
            </w:r>
          </w:p>
          <w:p w14:paraId="024EDE01" w14:textId="63657E84" w:rsidR="00476DFC" w:rsidRPr="00CC61E7" w:rsidRDefault="009C5660" w:rsidP="00476DF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Certification of attendance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3781780F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B50EB9" w14:textId="77777777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Title of the micro-credential</w:t>
            </w:r>
          </w:p>
          <w:p w14:paraId="77028A53" w14:textId="297E5096" w:rsidR="00476DFC" w:rsidRPr="00CC61E7" w:rsidRDefault="009C5660" w:rsidP="00476DF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32229EAF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E7A333" w14:textId="77777777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proofErr w:type="spellStart"/>
            <w:r w:rsidRPr="00CC61E7">
              <w:rPr>
                <w:color w:val="auto"/>
              </w:rPr>
              <w:t>Microcredential</w:t>
            </w:r>
            <w:proofErr w:type="spellEnd"/>
            <w:r w:rsidRPr="00CC61E7">
              <w:rPr>
                <w:color w:val="auto"/>
              </w:rPr>
              <w:t xml:space="preserve"> awarding body</w:t>
            </w:r>
          </w:p>
          <w:p w14:paraId="5D6CCDDE" w14:textId="30AE9F33" w:rsidR="00476DFC" w:rsidRPr="00CC61E7" w:rsidRDefault="009C5660" w:rsidP="00476DF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2FA8E87A" w14:textId="77777777" w:rsidTr="002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0EFB4E" w14:textId="77777777" w:rsidR="00E877EA" w:rsidRPr="00CC61E7" w:rsidRDefault="00E877EA" w:rsidP="00E877EA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r w:rsidRPr="00CC61E7">
              <w:rPr>
                <w:color w:val="auto"/>
              </w:rPr>
              <w:t>Relation/s (</w:t>
            </w:r>
            <w:proofErr w:type="spellStart"/>
            <w:r w:rsidRPr="00CC61E7">
              <w:rPr>
                <w:color w:val="auto"/>
              </w:rPr>
              <w:t>BoK</w:t>
            </w:r>
            <w:proofErr w:type="spellEnd"/>
            <w:r w:rsidRPr="00CC61E7">
              <w:rPr>
                <w:color w:val="auto"/>
              </w:rPr>
              <w:t>)</w:t>
            </w:r>
          </w:p>
          <w:p w14:paraId="64D08C72" w14:textId="12EC8648" w:rsidR="00476DFC" w:rsidRPr="00CC61E7" w:rsidRDefault="009C5660" w:rsidP="00E877EA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r w:rsid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CC61E7" w:rsidRPr="00CC61E7" w14:paraId="6DB16CFA" w14:textId="77777777" w:rsidTr="0021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EA0D1" w14:textId="77777777" w:rsidR="00476DFC" w:rsidRPr="00CC61E7" w:rsidRDefault="00476DFC" w:rsidP="00476DFC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auto"/>
              </w:rPr>
            </w:pPr>
            <w:proofErr w:type="spellStart"/>
            <w:r w:rsidRPr="00CC61E7">
              <w:rPr>
                <w:color w:val="auto"/>
              </w:rPr>
              <w:t>BoK</w:t>
            </w:r>
            <w:proofErr w:type="spellEnd"/>
            <w:r w:rsidRPr="00CC61E7">
              <w:rPr>
                <w:color w:val="auto"/>
              </w:rPr>
              <w:t xml:space="preserve"> Links</w:t>
            </w:r>
          </w:p>
          <w:p w14:paraId="4136C85D" w14:textId="65838131" w:rsidR="00476DFC" w:rsidRPr="00CC61E7" w:rsidRDefault="009C5660" w:rsidP="00BB6281">
            <w:pPr>
              <w:tabs>
                <w:tab w:val="left" w:pos="1515"/>
              </w:tabs>
              <w:spacing w:before="120" w:after="120" w:line="276" w:lineRule="auto"/>
              <w:rPr>
                <w:color w:val="auto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bookmarkStart w:id="2" w:name="_GoBack"/>
            <w:bookmarkEnd w:id="2"/>
            <w:r w:rsidR="00E877EA" w:rsidRPr="00B12414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bookmarkEnd w:id="1"/>
    </w:tbl>
    <w:p w14:paraId="43028674" w14:textId="77777777" w:rsidR="006609E6" w:rsidRPr="00CD42BD" w:rsidRDefault="006609E6" w:rsidP="00776B3F"/>
    <w:sectPr w:rsidR="006609E6" w:rsidRPr="00CD42BD" w:rsidSect="00BA46A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" w:right="1440" w:bottom="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25C49" w14:textId="77777777" w:rsidR="00805671" w:rsidRDefault="00805671">
      <w:pPr>
        <w:spacing w:after="0"/>
      </w:pPr>
      <w:r>
        <w:separator/>
      </w:r>
    </w:p>
  </w:endnote>
  <w:endnote w:type="continuationSeparator" w:id="0">
    <w:p w14:paraId="1C11DCBC" w14:textId="77777777" w:rsidR="00805671" w:rsidRDefault="00805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 Extra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23BB3" w14:textId="77777777" w:rsidR="001358DD" w:rsidRDefault="001358DD">
    <w:pPr>
      <w:tabs>
        <w:tab w:val="center" w:pos="4680"/>
        <w:tab w:val="right" w:pos="9360"/>
        <w:tab w:val="left" w:pos="5670"/>
      </w:tabs>
      <w:spacing w:after="0"/>
      <w:ind w:right="1796"/>
      <w:jc w:val="left"/>
      <w:rPr>
        <w:color w:val="0E145D"/>
        <w:sz w:val="2"/>
        <w:szCs w:val="2"/>
      </w:rPr>
    </w:pPr>
  </w:p>
  <w:tbl>
    <w:tblPr>
      <w:tblStyle w:val="1"/>
      <w:tblW w:w="10620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310"/>
      <w:gridCol w:w="5310"/>
    </w:tblGrid>
    <w:tr w:rsidR="001358DD" w14:paraId="01DA2805" w14:textId="77777777">
      <w:tc>
        <w:tcPr>
          <w:tcW w:w="53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DA90B88" w14:textId="77777777" w:rsidR="001358DD" w:rsidRDefault="001358DD">
          <w:pPr>
            <w:spacing w:before="120"/>
            <w:rPr>
              <w:color w:val="0E145D"/>
              <w:sz w:val="2"/>
              <w:szCs w:val="2"/>
            </w:rPr>
          </w:pPr>
          <w:r>
            <w:rPr>
              <w:noProof/>
              <w:color w:val="0E145D"/>
              <w:sz w:val="36"/>
              <w:szCs w:val="36"/>
            </w:rPr>
            <w:drawing>
              <wp:inline distT="114300" distB="114300" distL="114300" distR="114300" wp14:anchorId="251C6AA0" wp14:editId="4E334B2C">
                <wp:extent cx="839932" cy="190500"/>
                <wp:effectExtent l="0" t="0" r="0" b="0"/>
                <wp:docPr id="7749848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32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-6524" w:type="dxa"/>
            <w:left w:w="-6524" w:type="dxa"/>
            <w:bottom w:w="-6524" w:type="dxa"/>
            <w:right w:w="-6524" w:type="dxa"/>
          </w:tcMar>
          <w:vAlign w:val="center"/>
        </w:tcPr>
        <w:p w14:paraId="092C4184" w14:textId="35B096E3" w:rsidR="001358DD" w:rsidRDefault="001358DD">
          <w:pPr>
            <w:widowControl w:val="0"/>
            <w:spacing w:after="0"/>
            <w:jc w:val="right"/>
            <w:rPr>
              <w:rFonts w:ascii="Poppins Light" w:eastAsia="Poppins Light" w:hAnsi="Poppins Light" w:cs="Poppins Light"/>
              <w:sz w:val="18"/>
              <w:szCs w:val="18"/>
            </w:rPr>
          </w:pPr>
          <w:proofErr w:type="spellStart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>SpaceSUITE</w:t>
          </w:r>
          <w:proofErr w:type="spellEnd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 Consortium 2024-</w:t>
          </w:r>
          <w:proofErr w:type="gramStart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>2027  |</w:t>
          </w:r>
          <w:proofErr w:type="gramEnd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 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t xml:space="preserve"> 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begin"/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instrText>PAGE</w:instrTex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separate"/>
          </w:r>
          <w:r>
            <w:rPr>
              <w:rFonts w:ascii="Poppins Light" w:eastAsia="Poppins Light" w:hAnsi="Poppins Light" w:cs="Poppins Light"/>
              <w:noProof/>
              <w:sz w:val="18"/>
              <w:szCs w:val="18"/>
            </w:rPr>
            <w:t>1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end"/>
          </w:r>
        </w:p>
      </w:tc>
    </w:tr>
  </w:tbl>
  <w:p w14:paraId="293DEABC" w14:textId="77777777" w:rsidR="001358DD" w:rsidRDefault="001358DD">
    <w:pPr>
      <w:tabs>
        <w:tab w:val="center" w:pos="4680"/>
        <w:tab w:val="right" w:pos="9360"/>
        <w:tab w:val="left" w:pos="5670"/>
      </w:tabs>
      <w:spacing w:after="0"/>
      <w:ind w:right="1796"/>
      <w:jc w:val="left"/>
      <w:rPr>
        <w:rFonts w:ascii="Calibri" w:eastAsia="Calibri" w:hAnsi="Calibri" w:cs="Calibri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0E6ED" w14:textId="77777777" w:rsidR="001358DD" w:rsidRDefault="001358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right="-483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ab/>
    </w:r>
  </w:p>
  <w:tbl>
    <w:tblPr>
      <w:tblStyle w:val="1"/>
      <w:tblW w:w="10620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310"/>
      <w:gridCol w:w="5310"/>
    </w:tblGrid>
    <w:tr w:rsidR="00776B3F" w14:paraId="0DC1DCCC" w14:textId="77777777" w:rsidTr="0020295C">
      <w:tc>
        <w:tcPr>
          <w:tcW w:w="53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FEDEF58" w14:textId="77777777" w:rsidR="00776B3F" w:rsidRDefault="00776B3F" w:rsidP="00776B3F">
          <w:pPr>
            <w:spacing w:before="120"/>
            <w:rPr>
              <w:color w:val="0E145D"/>
              <w:sz w:val="2"/>
              <w:szCs w:val="2"/>
            </w:rPr>
          </w:pPr>
          <w:r>
            <w:rPr>
              <w:noProof/>
              <w:color w:val="0E145D"/>
              <w:sz w:val="36"/>
              <w:szCs w:val="36"/>
            </w:rPr>
            <w:drawing>
              <wp:inline distT="114300" distB="114300" distL="114300" distR="114300" wp14:anchorId="61402F56" wp14:editId="1680D0EE">
                <wp:extent cx="839932" cy="190500"/>
                <wp:effectExtent l="0" t="0" r="0" b="0"/>
                <wp:docPr id="659732809" name="image2.png" descr="Immagine che contiene schermata, Carattere, Blu elettrico, Elementi grafici&#10;&#10;Descrizione generat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732809" name="image2.png" descr="Immagine che contiene schermata, Carattere, Blu elettrico, Elementi grafici&#10;&#10;Descrizione generat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32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-6524" w:type="dxa"/>
            <w:left w:w="-6524" w:type="dxa"/>
            <w:bottom w:w="-6524" w:type="dxa"/>
            <w:right w:w="-6524" w:type="dxa"/>
          </w:tcMar>
          <w:vAlign w:val="center"/>
        </w:tcPr>
        <w:p w14:paraId="7603E054" w14:textId="77777777" w:rsidR="00776B3F" w:rsidRDefault="00776B3F" w:rsidP="00776B3F">
          <w:pPr>
            <w:widowControl w:val="0"/>
            <w:spacing w:after="0"/>
            <w:jc w:val="right"/>
            <w:rPr>
              <w:rFonts w:ascii="Poppins Light" w:eastAsia="Poppins Light" w:hAnsi="Poppins Light" w:cs="Poppins Light"/>
              <w:sz w:val="18"/>
              <w:szCs w:val="18"/>
            </w:rPr>
          </w:pPr>
          <w:proofErr w:type="spellStart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>SpaceSUITE</w:t>
          </w:r>
          <w:proofErr w:type="spellEnd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 Consortium 2024-</w:t>
          </w:r>
          <w:proofErr w:type="gramStart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>2027  |</w:t>
          </w:r>
          <w:proofErr w:type="gramEnd"/>
          <w:r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 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t xml:space="preserve"> 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begin"/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instrText>PAGE</w:instrTex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separate"/>
          </w:r>
          <w:r>
            <w:rPr>
              <w:rFonts w:ascii="Poppins Light" w:eastAsia="Poppins Light" w:hAnsi="Poppins Light" w:cs="Poppins Light"/>
              <w:noProof/>
              <w:sz w:val="18"/>
              <w:szCs w:val="18"/>
            </w:rPr>
            <w:t>1</w:t>
          </w:r>
          <w:r>
            <w:rPr>
              <w:rFonts w:ascii="Poppins Light" w:eastAsia="Poppins Light" w:hAnsi="Poppins Light" w:cs="Poppins Light"/>
              <w:sz w:val="18"/>
              <w:szCs w:val="18"/>
            </w:rPr>
            <w:fldChar w:fldCharType="end"/>
          </w:r>
        </w:p>
      </w:tc>
    </w:tr>
  </w:tbl>
  <w:p w14:paraId="5880B3D0" w14:textId="77777777" w:rsidR="001358DD" w:rsidRDefault="001358DD" w:rsidP="00776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977"/>
      </w:tabs>
      <w:spacing w:after="0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3DF1C" w14:textId="77777777" w:rsidR="00805671" w:rsidRDefault="00805671">
      <w:pPr>
        <w:spacing w:after="0"/>
      </w:pPr>
      <w:r>
        <w:separator/>
      </w:r>
    </w:p>
  </w:footnote>
  <w:footnote w:type="continuationSeparator" w:id="0">
    <w:p w14:paraId="23DA7AAA" w14:textId="77777777" w:rsidR="00805671" w:rsidRDefault="008056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9D10" w14:textId="77777777" w:rsidR="001358DD" w:rsidRDefault="001358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670"/>
      </w:tabs>
      <w:spacing w:after="0"/>
      <w:ind w:right="1796"/>
      <w:jc w:val="left"/>
      <w:rPr>
        <w:color w:val="0E145D"/>
        <w:sz w:val="2"/>
        <w:szCs w:val="2"/>
      </w:rPr>
    </w:pPr>
  </w:p>
  <w:tbl>
    <w:tblPr>
      <w:tblStyle w:val="2"/>
      <w:tblW w:w="10620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795"/>
      <w:gridCol w:w="825"/>
    </w:tblGrid>
    <w:tr w:rsidR="001358DD" w14:paraId="30173C9B" w14:textId="77777777">
      <w:tc>
        <w:tcPr>
          <w:tcW w:w="9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59462E" w14:textId="4FF0DB4E" w:rsidR="001358DD" w:rsidRDefault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Poppins ExtraLight" w:eastAsia="Poppins ExtraLight" w:hAnsi="Poppins ExtraLight" w:cs="Poppins ExtraLight"/>
              <w:sz w:val="18"/>
              <w:szCs w:val="18"/>
            </w:rPr>
          </w:pPr>
          <w:r w:rsidRPr="00776B3F">
            <w:rPr>
              <w:rFonts w:ascii="Poppins ExtraLight" w:eastAsia="Poppins ExtraLight" w:hAnsi="Poppins ExtraLight" w:cs="Poppins ExtraLight"/>
              <w:sz w:val="18"/>
              <w:szCs w:val="18"/>
            </w:rPr>
            <w:t>Metadata template for Training Actions (V1.0)</w:t>
          </w:r>
        </w:p>
      </w:tc>
      <w:tc>
        <w:tcPr>
          <w:tcW w:w="8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E6249B" w14:textId="77777777" w:rsidR="001358DD" w:rsidRDefault="001358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color w:val="0E145D"/>
              <w:sz w:val="2"/>
              <w:szCs w:val="2"/>
            </w:rPr>
          </w:pPr>
          <w:r>
            <w:rPr>
              <w:noProof/>
              <w:color w:val="0E145D"/>
              <w:sz w:val="24"/>
              <w:szCs w:val="24"/>
            </w:rPr>
            <w:drawing>
              <wp:inline distT="114300" distB="114300" distL="114300" distR="114300" wp14:anchorId="0B2BE3D5" wp14:editId="2DD024B1">
                <wp:extent cx="352425" cy="352425"/>
                <wp:effectExtent l="0" t="0" r="0" b="0"/>
                <wp:docPr id="11274428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76B3F" w14:paraId="04394DF5" w14:textId="77777777">
      <w:tc>
        <w:tcPr>
          <w:tcW w:w="9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4ECCC0F" w14:textId="77777777" w:rsidR="00776B3F" w:rsidRPr="00776B3F" w:rsidRDefault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Poppins ExtraLight" w:eastAsia="Poppins ExtraLight" w:hAnsi="Poppins ExtraLight" w:cs="Poppins ExtraLight"/>
              <w:sz w:val="18"/>
              <w:szCs w:val="18"/>
            </w:rPr>
          </w:pPr>
        </w:p>
      </w:tc>
      <w:tc>
        <w:tcPr>
          <w:tcW w:w="8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5D4553" w14:textId="77777777" w:rsidR="00776B3F" w:rsidRDefault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noProof/>
              <w:color w:val="0E145D"/>
              <w:sz w:val="24"/>
              <w:szCs w:val="24"/>
            </w:rPr>
          </w:pPr>
        </w:p>
      </w:tc>
    </w:tr>
  </w:tbl>
  <w:p w14:paraId="067CC82D" w14:textId="77777777" w:rsidR="001358DD" w:rsidRDefault="001358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670"/>
      </w:tabs>
      <w:spacing w:after="0"/>
      <w:ind w:right="1796"/>
      <w:jc w:val="left"/>
      <w:rPr>
        <w:color w:val="0E145D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2"/>
      <w:tblW w:w="10620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795"/>
      <w:gridCol w:w="825"/>
    </w:tblGrid>
    <w:tr w:rsidR="00776B3F" w14:paraId="45D49365" w14:textId="77777777" w:rsidTr="0020295C">
      <w:tc>
        <w:tcPr>
          <w:tcW w:w="9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5CDDC46" w14:textId="6C48807D" w:rsidR="00776B3F" w:rsidRDefault="00776B3F" w:rsidP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Poppins ExtraLight" w:eastAsia="Poppins ExtraLight" w:hAnsi="Poppins ExtraLight" w:cs="Poppins ExtraLight"/>
              <w:sz w:val="18"/>
              <w:szCs w:val="18"/>
            </w:rPr>
          </w:pPr>
          <w:r w:rsidRPr="00776B3F"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Metadata template for </w:t>
          </w:r>
          <w:r w:rsidR="008963A3" w:rsidRPr="008963A3">
            <w:rPr>
              <w:rFonts w:ascii="Poppins ExtraLight" w:eastAsia="Poppins ExtraLight" w:hAnsi="Poppins ExtraLight" w:cs="Poppins ExtraLight"/>
              <w:sz w:val="18"/>
              <w:szCs w:val="18"/>
            </w:rPr>
            <w:t xml:space="preserve">Learning Resources </w:t>
          </w:r>
          <w:r w:rsidRPr="00776B3F">
            <w:rPr>
              <w:rFonts w:ascii="Poppins ExtraLight" w:eastAsia="Poppins ExtraLight" w:hAnsi="Poppins ExtraLight" w:cs="Poppins ExtraLight"/>
              <w:sz w:val="18"/>
              <w:szCs w:val="18"/>
            </w:rPr>
            <w:t>(V1.0)</w:t>
          </w:r>
        </w:p>
      </w:tc>
      <w:tc>
        <w:tcPr>
          <w:tcW w:w="8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8837E1" w14:textId="77777777" w:rsidR="00776B3F" w:rsidRDefault="00776B3F" w:rsidP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color w:val="0E145D"/>
              <w:sz w:val="2"/>
              <w:szCs w:val="2"/>
            </w:rPr>
          </w:pPr>
          <w:r>
            <w:rPr>
              <w:noProof/>
              <w:color w:val="0E145D"/>
              <w:sz w:val="24"/>
              <w:szCs w:val="24"/>
            </w:rPr>
            <w:drawing>
              <wp:inline distT="114300" distB="114300" distL="114300" distR="114300" wp14:anchorId="3F172E1B" wp14:editId="691150C1">
                <wp:extent cx="352425" cy="352425"/>
                <wp:effectExtent l="0" t="0" r="0" b="0"/>
                <wp:docPr id="919201211" name="image3.png" descr="Immagine che contiene cerchio, arte, Policromia, Simmetria&#10;&#10;Descrizione generat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201211" name="image3.png" descr="Immagine che contiene cerchio, arte, Policromia, Simmetria&#10;&#10;Descrizione generat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76B3F" w14:paraId="3B441CF1" w14:textId="77777777" w:rsidTr="0020295C">
      <w:tc>
        <w:tcPr>
          <w:tcW w:w="9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7276FAC" w14:textId="77777777" w:rsidR="00776B3F" w:rsidRPr="00776B3F" w:rsidRDefault="00776B3F" w:rsidP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Poppins ExtraLight" w:eastAsia="Poppins ExtraLight" w:hAnsi="Poppins ExtraLight" w:cs="Poppins ExtraLight"/>
              <w:sz w:val="18"/>
              <w:szCs w:val="18"/>
            </w:rPr>
          </w:pPr>
        </w:p>
      </w:tc>
      <w:tc>
        <w:tcPr>
          <w:tcW w:w="8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F3D521" w14:textId="77777777" w:rsidR="00776B3F" w:rsidRDefault="00776B3F" w:rsidP="00776B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noProof/>
              <w:color w:val="0E145D"/>
              <w:sz w:val="24"/>
              <w:szCs w:val="24"/>
            </w:rPr>
          </w:pPr>
        </w:p>
      </w:tc>
    </w:tr>
  </w:tbl>
  <w:p w14:paraId="5690B352" w14:textId="77777777" w:rsidR="00776B3F" w:rsidRDefault="00776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BA6"/>
    <w:multiLevelType w:val="multilevel"/>
    <w:tmpl w:val="040C001D"/>
    <w:styleLink w:val="SpaceSUITE1"/>
    <w:lvl w:ilvl="0">
      <w:start w:val="1"/>
      <w:numFmt w:val="decimal"/>
      <w:lvlText w:val="%1)"/>
      <w:lvlJc w:val="left"/>
      <w:pPr>
        <w:ind w:left="360" w:hanging="360"/>
      </w:pPr>
      <w:rPr>
        <w:rFonts w:ascii="Poppins" w:hAnsi="Poppins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Poppins" w:hAnsi="Poppins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Poppins" w:hAnsi="Poppins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oppins" w:hAnsi="Poppins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EF5044"/>
    <w:multiLevelType w:val="hybridMultilevel"/>
    <w:tmpl w:val="74BCEB5E"/>
    <w:lvl w:ilvl="0" w:tplc="22768EF4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C522D"/>
    <w:multiLevelType w:val="multilevel"/>
    <w:tmpl w:val="8098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E0B19"/>
    <w:multiLevelType w:val="hybridMultilevel"/>
    <w:tmpl w:val="B53A0BAA"/>
    <w:lvl w:ilvl="0" w:tplc="0410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1E043212"/>
    <w:multiLevelType w:val="multilevel"/>
    <w:tmpl w:val="2DDA7DCC"/>
    <w:lvl w:ilvl="0">
      <w:start w:val="1"/>
      <w:numFmt w:val="decimal"/>
      <w:pStyle w:val="Titolo2Linkvit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" w15:restartNumberingAfterBreak="0">
    <w:nsid w:val="1FAC4912"/>
    <w:multiLevelType w:val="hybridMultilevel"/>
    <w:tmpl w:val="F2508E70"/>
    <w:lvl w:ilvl="0" w:tplc="DD021B08">
      <w:start w:val="1"/>
      <w:numFmt w:val="decimal"/>
      <w:lvlText w:val="%1."/>
      <w:lvlJc w:val="left"/>
      <w:pPr>
        <w:ind w:left="4320" w:hanging="360"/>
      </w:pPr>
    </w:lvl>
    <w:lvl w:ilvl="1" w:tplc="0410000F">
      <w:start w:val="1"/>
      <w:numFmt w:val="decimal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2A5417FE"/>
    <w:multiLevelType w:val="hybridMultilevel"/>
    <w:tmpl w:val="A502A732"/>
    <w:lvl w:ilvl="0" w:tplc="94E4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50501B"/>
    <w:multiLevelType w:val="multilevel"/>
    <w:tmpl w:val="0F22F946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8" w15:restartNumberingAfterBreak="0">
    <w:nsid w:val="2CD930D5"/>
    <w:multiLevelType w:val="hybridMultilevel"/>
    <w:tmpl w:val="4EA2FB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9719B6"/>
    <w:multiLevelType w:val="multilevel"/>
    <w:tmpl w:val="1A44F472"/>
    <w:lvl w:ilvl="0">
      <w:start w:val="1"/>
      <w:numFmt w:val="decimal"/>
      <w:pStyle w:val="Titl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319F5D33"/>
    <w:multiLevelType w:val="hybridMultilevel"/>
    <w:tmpl w:val="82D6DBA2"/>
    <w:lvl w:ilvl="0" w:tplc="91BE9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76E97"/>
    <w:multiLevelType w:val="hybridMultilevel"/>
    <w:tmpl w:val="18A25AA6"/>
    <w:lvl w:ilvl="0" w:tplc="0840BEE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3A440ACC"/>
    <w:multiLevelType w:val="hybridMultilevel"/>
    <w:tmpl w:val="0A34BF96"/>
    <w:lvl w:ilvl="0" w:tplc="61DCA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E7D8F"/>
    <w:multiLevelType w:val="hybridMultilevel"/>
    <w:tmpl w:val="777EA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5502D"/>
    <w:multiLevelType w:val="multilevel"/>
    <w:tmpl w:val="425AC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15" w15:restartNumberingAfterBreak="0">
    <w:nsid w:val="4D1B54AC"/>
    <w:multiLevelType w:val="hybridMultilevel"/>
    <w:tmpl w:val="5CDCF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67A17"/>
    <w:multiLevelType w:val="hybridMultilevel"/>
    <w:tmpl w:val="69A66294"/>
    <w:lvl w:ilvl="0" w:tplc="CE1213F0">
      <w:start w:val="1"/>
      <w:numFmt w:val="decimal"/>
      <w:lvlText w:val="%1."/>
      <w:lvlJc w:val="left"/>
      <w:pPr>
        <w:ind w:left="720" w:hanging="360"/>
      </w:pPr>
    </w:lvl>
    <w:lvl w:ilvl="1" w:tplc="2CE6DC9C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71C72"/>
    <w:multiLevelType w:val="hybridMultilevel"/>
    <w:tmpl w:val="60EA7168"/>
    <w:lvl w:ilvl="0" w:tplc="1D665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5172"/>
    <w:multiLevelType w:val="hybridMultilevel"/>
    <w:tmpl w:val="AC1E8B50"/>
    <w:lvl w:ilvl="0" w:tplc="7C4E39B8">
      <w:start w:val="1"/>
      <w:numFmt w:val="decimal"/>
      <w:pStyle w:val="Heading5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D3FEE"/>
    <w:multiLevelType w:val="hybridMultilevel"/>
    <w:tmpl w:val="BC882DB8"/>
    <w:lvl w:ilvl="0" w:tplc="3B8E3C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3530B"/>
    <w:multiLevelType w:val="hybridMultilevel"/>
    <w:tmpl w:val="8BF4B988"/>
    <w:lvl w:ilvl="0" w:tplc="453A4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8"/>
  </w:num>
  <w:num w:numId="5">
    <w:abstractNumId w:val="13"/>
  </w:num>
  <w:num w:numId="6">
    <w:abstractNumId w:val="2"/>
  </w:num>
  <w:num w:numId="7">
    <w:abstractNumId w:val="8"/>
  </w:num>
  <w:num w:numId="8">
    <w:abstractNumId w:val="19"/>
  </w:num>
  <w:num w:numId="9">
    <w:abstractNumId w:val="16"/>
  </w:num>
  <w:num w:numId="10">
    <w:abstractNumId w:val="10"/>
  </w:num>
  <w:num w:numId="11">
    <w:abstractNumId w:val="20"/>
  </w:num>
  <w:num w:numId="12">
    <w:abstractNumId w:val="17"/>
  </w:num>
  <w:num w:numId="13">
    <w:abstractNumId w:val="12"/>
  </w:num>
  <w:num w:numId="14">
    <w:abstractNumId w:val="5"/>
  </w:num>
  <w:num w:numId="15">
    <w:abstractNumId w:val="4"/>
  </w:num>
  <w:num w:numId="16">
    <w:abstractNumId w:val="1"/>
  </w:num>
  <w:num w:numId="17">
    <w:abstractNumId w:val="11"/>
  </w:num>
  <w:num w:numId="18">
    <w:abstractNumId w:val="3"/>
  </w:num>
  <w:num w:numId="19">
    <w:abstractNumId w:val="6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4"/>
  </w:num>
  <w:num w:numId="26">
    <w:abstractNumId w:val="19"/>
  </w:num>
  <w:num w:numId="2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E7"/>
    <w:rsid w:val="00005CC3"/>
    <w:rsid w:val="00011AB7"/>
    <w:rsid w:val="0001318B"/>
    <w:rsid w:val="00015871"/>
    <w:rsid w:val="00023589"/>
    <w:rsid w:val="000235A2"/>
    <w:rsid w:val="00025D0D"/>
    <w:rsid w:val="0003051D"/>
    <w:rsid w:val="00031D1D"/>
    <w:rsid w:val="0003370A"/>
    <w:rsid w:val="00041AEC"/>
    <w:rsid w:val="00041EAA"/>
    <w:rsid w:val="000444CC"/>
    <w:rsid w:val="000478A9"/>
    <w:rsid w:val="000540DD"/>
    <w:rsid w:val="00054756"/>
    <w:rsid w:val="00055156"/>
    <w:rsid w:val="00062118"/>
    <w:rsid w:val="00063FF0"/>
    <w:rsid w:val="00064561"/>
    <w:rsid w:val="00065499"/>
    <w:rsid w:val="000662BB"/>
    <w:rsid w:val="00066AE4"/>
    <w:rsid w:val="00070500"/>
    <w:rsid w:val="00074934"/>
    <w:rsid w:val="00074C66"/>
    <w:rsid w:val="000777D0"/>
    <w:rsid w:val="00077C7A"/>
    <w:rsid w:val="00077C87"/>
    <w:rsid w:val="00077E9B"/>
    <w:rsid w:val="0008205C"/>
    <w:rsid w:val="00082572"/>
    <w:rsid w:val="00083E80"/>
    <w:rsid w:val="00087A62"/>
    <w:rsid w:val="00092BB1"/>
    <w:rsid w:val="00093225"/>
    <w:rsid w:val="00093A74"/>
    <w:rsid w:val="00093ACD"/>
    <w:rsid w:val="00096EBB"/>
    <w:rsid w:val="000A0E82"/>
    <w:rsid w:val="000A38F2"/>
    <w:rsid w:val="000A44D0"/>
    <w:rsid w:val="000A4ADE"/>
    <w:rsid w:val="000B2D01"/>
    <w:rsid w:val="000B3F97"/>
    <w:rsid w:val="000B7CF7"/>
    <w:rsid w:val="000C20FC"/>
    <w:rsid w:val="000C7D69"/>
    <w:rsid w:val="000D2C82"/>
    <w:rsid w:val="000D2CA3"/>
    <w:rsid w:val="000D39D5"/>
    <w:rsid w:val="000D6174"/>
    <w:rsid w:val="000D7FE7"/>
    <w:rsid w:val="000E2702"/>
    <w:rsid w:val="000E3EE3"/>
    <w:rsid w:val="000E65F0"/>
    <w:rsid w:val="000E6F79"/>
    <w:rsid w:val="000F5961"/>
    <w:rsid w:val="000F7066"/>
    <w:rsid w:val="001017A4"/>
    <w:rsid w:val="00112C43"/>
    <w:rsid w:val="00121A82"/>
    <w:rsid w:val="0012281A"/>
    <w:rsid w:val="0012518D"/>
    <w:rsid w:val="00127417"/>
    <w:rsid w:val="00130B91"/>
    <w:rsid w:val="001310D8"/>
    <w:rsid w:val="00132A36"/>
    <w:rsid w:val="001339CB"/>
    <w:rsid w:val="00135564"/>
    <w:rsid w:val="001358DD"/>
    <w:rsid w:val="00140F23"/>
    <w:rsid w:val="0014709B"/>
    <w:rsid w:val="001471AD"/>
    <w:rsid w:val="00152F4B"/>
    <w:rsid w:val="00153A6E"/>
    <w:rsid w:val="00153FA6"/>
    <w:rsid w:val="00154240"/>
    <w:rsid w:val="0015439D"/>
    <w:rsid w:val="0015744F"/>
    <w:rsid w:val="00164055"/>
    <w:rsid w:val="00167D5B"/>
    <w:rsid w:val="00171A17"/>
    <w:rsid w:val="00171DB8"/>
    <w:rsid w:val="00173825"/>
    <w:rsid w:val="00177150"/>
    <w:rsid w:val="0017737B"/>
    <w:rsid w:val="0018012F"/>
    <w:rsid w:val="001847D0"/>
    <w:rsid w:val="0018597A"/>
    <w:rsid w:val="00187C2B"/>
    <w:rsid w:val="0019230E"/>
    <w:rsid w:val="00194BFE"/>
    <w:rsid w:val="001A7B38"/>
    <w:rsid w:val="001B0225"/>
    <w:rsid w:val="001B075B"/>
    <w:rsid w:val="001B18AB"/>
    <w:rsid w:val="001B1FB4"/>
    <w:rsid w:val="001B27A6"/>
    <w:rsid w:val="001C1272"/>
    <w:rsid w:val="001C40ED"/>
    <w:rsid w:val="001C435D"/>
    <w:rsid w:val="001C69F6"/>
    <w:rsid w:val="001C6B33"/>
    <w:rsid w:val="001D11A3"/>
    <w:rsid w:val="001D44AF"/>
    <w:rsid w:val="001D61AA"/>
    <w:rsid w:val="001E106B"/>
    <w:rsid w:val="001E1594"/>
    <w:rsid w:val="001E2B26"/>
    <w:rsid w:val="001E30DD"/>
    <w:rsid w:val="001E3619"/>
    <w:rsid w:val="001E40FD"/>
    <w:rsid w:val="001E4460"/>
    <w:rsid w:val="001E7736"/>
    <w:rsid w:val="001F0869"/>
    <w:rsid w:val="001F366E"/>
    <w:rsid w:val="001F45C7"/>
    <w:rsid w:val="001F7D04"/>
    <w:rsid w:val="00201D57"/>
    <w:rsid w:val="002029E8"/>
    <w:rsid w:val="00207BD6"/>
    <w:rsid w:val="00212C7D"/>
    <w:rsid w:val="002163DA"/>
    <w:rsid w:val="00216739"/>
    <w:rsid w:val="00217918"/>
    <w:rsid w:val="00220931"/>
    <w:rsid w:val="00220BC1"/>
    <w:rsid w:val="00225174"/>
    <w:rsid w:val="002374BE"/>
    <w:rsid w:val="00237CE7"/>
    <w:rsid w:val="002462DD"/>
    <w:rsid w:val="002478EC"/>
    <w:rsid w:val="00247931"/>
    <w:rsid w:val="002543ED"/>
    <w:rsid w:val="0026206E"/>
    <w:rsid w:val="0026621A"/>
    <w:rsid w:val="00272829"/>
    <w:rsid w:val="00275188"/>
    <w:rsid w:val="002764C4"/>
    <w:rsid w:val="00282751"/>
    <w:rsid w:val="002844AE"/>
    <w:rsid w:val="00291F59"/>
    <w:rsid w:val="00292AD4"/>
    <w:rsid w:val="002937C4"/>
    <w:rsid w:val="00295120"/>
    <w:rsid w:val="002956ED"/>
    <w:rsid w:val="00297341"/>
    <w:rsid w:val="00297D12"/>
    <w:rsid w:val="002A2EB1"/>
    <w:rsid w:val="002A472B"/>
    <w:rsid w:val="002A7FAF"/>
    <w:rsid w:val="002B160B"/>
    <w:rsid w:val="002B2019"/>
    <w:rsid w:val="002B38AB"/>
    <w:rsid w:val="002B4015"/>
    <w:rsid w:val="002B67FA"/>
    <w:rsid w:val="002B7174"/>
    <w:rsid w:val="002C75EE"/>
    <w:rsid w:val="002C7955"/>
    <w:rsid w:val="002D24CB"/>
    <w:rsid w:val="002D31B3"/>
    <w:rsid w:val="002D4563"/>
    <w:rsid w:val="002D4D09"/>
    <w:rsid w:val="002D58BD"/>
    <w:rsid w:val="002D7724"/>
    <w:rsid w:val="002E13E5"/>
    <w:rsid w:val="002E1B45"/>
    <w:rsid w:val="002E2BB5"/>
    <w:rsid w:val="002F11E0"/>
    <w:rsid w:val="002F1B9B"/>
    <w:rsid w:val="002F25BB"/>
    <w:rsid w:val="002F287A"/>
    <w:rsid w:val="002F6315"/>
    <w:rsid w:val="003030C7"/>
    <w:rsid w:val="00303878"/>
    <w:rsid w:val="00303D2B"/>
    <w:rsid w:val="00306043"/>
    <w:rsid w:val="0030646E"/>
    <w:rsid w:val="003074A8"/>
    <w:rsid w:val="00310B1C"/>
    <w:rsid w:val="00310C3C"/>
    <w:rsid w:val="00311DCD"/>
    <w:rsid w:val="00311EF6"/>
    <w:rsid w:val="00313C74"/>
    <w:rsid w:val="00316168"/>
    <w:rsid w:val="00320660"/>
    <w:rsid w:val="003209E0"/>
    <w:rsid w:val="003213CC"/>
    <w:rsid w:val="00321F71"/>
    <w:rsid w:val="00322A82"/>
    <w:rsid w:val="00326D93"/>
    <w:rsid w:val="00333EEA"/>
    <w:rsid w:val="00336AF1"/>
    <w:rsid w:val="003377E1"/>
    <w:rsid w:val="00337A6C"/>
    <w:rsid w:val="00346E5B"/>
    <w:rsid w:val="00350E30"/>
    <w:rsid w:val="00351AB0"/>
    <w:rsid w:val="00351C44"/>
    <w:rsid w:val="003541ED"/>
    <w:rsid w:val="00361321"/>
    <w:rsid w:val="003705F3"/>
    <w:rsid w:val="0037207A"/>
    <w:rsid w:val="00376B07"/>
    <w:rsid w:val="00380729"/>
    <w:rsid w:val="00382C90"/>
    <w:rsid w:val="00383189"/>
    <w:rsid w:val="00387F02"/>
    <w:rsid w:val="0039047C"/>
    <w:rsid w:val="003917AE"/>
    <w:rsid w:val="003936F2"/>
    <w:rsid w:val="003955E7"/>
    <w:rsid w:val="00396E8D"/>
    <w:rsid w:val="00396EFE"/>
    <w:rsid w:val="00397B72"/>
    <w:rsid w:val="003A342B"/>
    <w:rsid w:val="003A3C27"/>
    <w:rsid w:val="003A44A4"/>
    <w:rsid w:val="003A50C9"/>
    <w:rsid w:val="003A6983"/>
    <w:rsid w:val="003A7969"/>
    <w:rsid w:val="003B2D5B"/>
    <w:rsid w:val="003B6BEB"/>
    <w:rsid w:val="003B76A6"/>
    <w:rsid w:val="003C187D"/>
    <w:rsid w:val="003C3BB3"/>
    <w:rsid w:val="003C6006"/>
    <w:rsid w:val="003C615A"/>
    <w:rsid w:val="003D38A1"/>
    <w:rsid w:val="003D68C0"/>
    <w:rsid w:val="003D7DA0"/>
    <w:rsid w:val="003D7FD2"/>
    <w:rsid w:val="003E0F58"/>
    <w:rsid w:val="003E148B"/>
    <w:rsid w:val="003E1B1B"/>
    <w:rsid w:val="003E33E8"/>
    <w:rsid w:val="003E4BBF"/>
    <w:rsid w:val="003E5AB5"/>
    <w:rsid w:val="003E64DC"/>
    <w:rsid w:val="003F122C"/>
    <w:rsid w:val="003F613E"/>
    <w:rsid w:val="003F68A0"/>
    <w:rsid w:val="00401B73"/>
    <w:rsid w:val="004029EB"/>
    <w:rsid w:val="004073C2"/>
    <w:rsid w:val="00411995"/>
    <w:rsid w:val="00412E76"/>
    <w:rsid w:val="004140FD"/>
    <w:rsid w:val="00424FC1"/>
    <w:rsid w:val="00425318"/>
    <w:rsid w:val="004350AF"/>
    <w:rsid w:val="0043660D"/>
    <w:rsid w:val="0044051E"/>
    <w:rsid w:val="00440E9E"/>
    <w:rsid w:val="004474C8"/>
    <w:rsid w:val="00454BFC"/>
    <w:rsid w:val="004607D5"/>
    <w:rsid w:val="00460BB2"/>
    <w:rsid w:val="00463903"/>
    <w:rsid w:val="00463AC3"/>
    <w:rsid w:val="0046605B"/>
    <w:rsid w:val="00466706"/>
    <w:rsid w:val="004709F7"/>
    <w:rsid w:val="0047111E"/>
    <w:rsid w:val="00472B71"/>
    <w:rsid w:val="00473B83"/>
    <w:rsid w:val="004755CB"/>
    <w:rsid w:val="00475887"/>
    <w:rsid w:val="004767BA"/>
    <w:rsid w:val="00476DFC"/>
    <w:rsid w:val="00477A46"/>
    <w:rsid w:val="00477BD9"/>
    <w:rsid w:val="00483116"/>
    <w:rsid w:val="004831D5"/>
    <w:rsid w:val="00484E9B"/>
    <w:rsid w:val="00486E9C"/>
    <w:rsid w:val="004914BD"/>
    <w:rsid w:val="004929DE"/>
    <w:rsid w:val="004953A2"/>
    <w:rsid w:val="00495E4C"/>
    <w:rsid w:val="00495EE9"/>
    <w:rsid w:val="004976AF"/>
    <w:rsid w:val="00497F91"/>
    <w:rsid w:val="004A003D"/>
    <w:rsid w:val="004A2934"/>
    <w:rsid w:val="004A377F"/>
    <w:rsid w:val="004A40CE"/>
    <w:rsid w:val="004B1132"/>
    <w:rsid w:val="004B17F2"/>
    <w:rsid w:val="004B44E4"/>
    <w:rsid w:val="004C0753"/>
    <w:rsid w:val="004C1CB8"/>
    <w:rsid w:val="004C2B8C"/>
    <w:rsid w:val="004C345E"/>
    <w:rsid w:val="004C36BA"/>
    <w:rsid w:val="004C5270"/>
    <w:rsid w:val="004C73F8"/>
    <w:rsid w:val="004D531A"/>
    <w:rsid w:val="004E0784"/>
    <w:rsid w:val="004E2734"/>
    <w:rsid w:val="004E45BE"/>
    <w:rsid w:val="004F056C"/>
    <w:rsid w:val="004F375E"/>
    <w:rsid w:val="004F3E1D"/>
    <w:rsid w:val="004F7562"/>
    <w:rsid w:val="0050217D"/>
    <w:rsid w:val="0051134F"/>
    <w:rsid w:val="00511D19"/>
    <w:rsid w:val="00512BF3"/>
    <w:rsid w:val="00512DB0"/>
    <w:rsid w:val="00514BD2"/>
    <w:rsid w:val="005163BB"/>
    <w:rsid w:val="00516C80"/>
    <w:rsid w:val="00520DD8"/>
    <w:rsid w:val="00525BCD"/>
    <w:rsid w:val="00527D4F"/>
    <w:rsid w:val="00530422"/>
    <w:rsid w:val="00536308"/>
    <w:rsid w:val="005428CF"/>
    <w:rsid w:val="005441E3"/>
    <w:rsid w:val="0054561C"/>
    <w:rsid w:val="00556C15"/>
    <w:rsid w:val="00561148"/>
    <w:rsid w:val="005642A2"/>
    <w:rsid w:val="00574EC1"/>
    <w:rsid w:val="005779A2"/>
    <w:rsid w:val="005839BF"/>
    <w:rsid w:val="0058541F"/>
    <w:rsid w:val="00585EBD"/>
    <w:rsid w:val="0059055D"/>
    <w:rsid w:val="0059113B"/>
    <w:rsid w:val="005935C9"/>
    <w:rsid w:val="00594003"/>
    <w:rsid w:val="005A0F54"/>
    <w:rsid w:val="005A338C"/>
    <w:rsid w:val="005A378C"/>
    <w:rsid w:val="005A5A8C"/>
    <w:rsid w:val="005A7014"/>
    <w:rsid w:val="005B0C5A"/>
    <w:rsid w:val="005B340E"/>
    <w:rsid w:val="005B5D88"/>
    <w:rsid w:val="005B6249"/>
    <w:rsid w:val="005B6589"/>
    <w:rsid w:val="005B67B0"/>
    <w:rsid w:val="005C07EC"/>
    <w:rsid w:val="005C43FA"/>
    <w:rsid w:val="005C50B4"/>
    <w:rsid w:val="005E2040"/>
    <w:rsid w:val="005E44D3"/>
    <w:rsid w:val="005E502B"/>
    <w:rsid w:val="005F2F01"/>
    <w:rsid w:val="00601541"/>
    <w:rsid w:val="00602BDE"/>
    <w:rsid w:val="006143F1"/>
    <w:rsid w:val="0061599D"/>
    <w:rsid w:val="00616E77"/>
    <w:rsid w:val="00620D04"/>
    <w:rsid w:val="006222F5"/>
    <w:rsid w:val="006227CD"/>
    <w:rsid w:val="00633C18"/>
    <w:rsid w:val="0064297D"/>
    <w:rsid w:val="00651058"/>
    <w:rsid w:val="006527B2"/>
    <w:rsid w:val="00655DC5"/>
    <w:rsid w:val="00660447"/>
    <w:rsid w:val="006609E6"/>
    <w:rsid w:val="006633D2"/>
    <w:rsid w:val="006636C1"/>
    <w:rsid w:val="00663728"/>
    <w:rsid w:val="00671DD7"/>
    <w:rsid w:val="00672F94"/>
    <w:rsid w:val="006749B0"/>
    <w:rsid w:val="006763ED"/>
    <w:rsid w:val="00680081"/>
    <w:rsid w:val="006829CB"/>
    <w:rsid w:val="00686A92"/>
    <w:rsid w:val="006910F6"/>
    <w:rsid w:val="006958E5"/>
    <w:rsid w:val="006A2C39"/>
    <w:rsid w:val="006A3693"/>
    <w:rsid w:val="006A4E0C"/>
    <w:rsid w:val="006A6667"/>
    <w:rsid w:val="006A69D6"/>
    <w:rsid w:val="006A7065"/>
    <w:rsid w:val="006B05CD"/>
    <w:rsid w:val="006B0682"/>
    <w:rsid w:val="006B0E67"/>
    <w:rsid w:val="006B1C6B"/>
    <w:rsid w:val="006B23EA"/>
    <w:rsid w:val="006B28CC"/>
    <w:rsid w:val="006C148B"/>
    <w:rsid w:val="006C1C01"/>
    <w:rsid w:val="006C3FBA"/>
    <w:rsid w:val="006D1D75"/>
    <w:rsid w:val="006D2325"/>
    <w:rsid w:val="006E0032"/>
    <w:rsid w:val="006E7A0E"/>
    <w:rsid w:val="006E7BB6"/>
    <w:rsid w:val="006E7D46"/>
    <w:rsid w:val="006F06E1"/>
    <w:rsid w:val="006F098B"/>
    <w:rsid w:val="006F2DF3"/>
    <w:rsid w:val="006F340B"/>
    <w:rsid w:val="007026FB"/>
    <w:rsid w:val="007028E2"/>
    <w:rsid w:val="0070575D"/>
    <w:rsid w:val="00710D1C"/>
    <w:rsid w:val="007118C8"/>
    <w:rsid w:val="0071575F"/>
    <w:rsid w:val="007276D7"/>
    <w:rsid w:val="00734A5E"/>
    <w:rsid w:val="007356FA"/>
    <w:rsid w:val="007363AF"/>
    <w:rsid w:val="007416F9"/>
    <w:rsid w:val="007425FB"/>
    <w:rsid w:val="00754E27"/>
    <w:rsid w:val="007641FC"/>
    <w:rsid w:val="00766C6D"/>
    <w:rsid w:val="00767A2F"/>
    <w:rsid w:val="007712F1"/>
    <w:rsid w:val="00773313"/>
    <w:rsid w:val="007753C1"/>
    <w:rsid w:val="00776B3F"/>
    <w:rsid w:val="0077744E"/>
    <w:rsid w:val="00781AFC"/>
    <w:rsid w:val="0078294B"/>
    <w:rsid w:val="007847A8"/>
    <w:rsid w:val="00784ECA"/>
    <w:rsid w:val="00790B7F"/>
    <w:rsid w:val="00790DF5"/>
    <w:rsid w:val="00792A95"/>
    <w:rsid w:val="00796BD0"/>
    <w:rsid w:val="007970AA"/>
    <w:rsid w:val="007A70DF"/>
    <w:rsid w:val="007B4D80"/>
    <w:rsid w:val="007B6510"/>
    <w:rsid w:val="007D0C14"/>
    <w:rsid w:val="007D2D43"/>
    <w:rsid w:val="007D4768"/>
    <w:rsid w:val="007E4CDF"/>
    <w:rsid w:val="007E58F2"/>
    <w:rsid w:val="007E6284"/>
    <w:rsid w:val="007F0B0A"/>
    <w:rsid w:val="007F3A38"/>
    <w:rsid w:val="007F3E2D"/>
    <w:rsid w:val="007F4232"/>
    <w:rsid w:val="0080525C"/>
    <w:rsid w:val="00805671"/>
    <w:rsid w:val="00807CDF"/>
    <w:rsid w:val="00812345"/>
    <w:rsid w:val="008129F0"/>
    <w:rsid w:val="00812A56"/>
    <w:rsid w:val="0081337A"/>
    <w:rsid w:val="00814A04"/>
    <w:rsid w:val="0082033B"/>
    <w:rsid w:val="00820C29"/>
    <w:rsid w:val="0082365E"/>
    <w:rsid w:val="00824F30"/>
    <w:rsid w:val="0082619A"/>
    <w:rsid w:val="0083162D"/>
    <w:rsid w:val="0084056A"/>
    <w:rsid w:val="00844CA2"/>
    <w:rsid w:val="008450C1"/>
    <w:rsid w:val="00850FE3"/>
    <w:rsid w:val="00851F3E"/>
    <w:rsid w:val="00853161"/>
    <w:rsid w:val="00862273"/>
    <w:rsid w:val="0086448B"/>
    <w:rsid w:val="008673CE"/>
    <w:rsid w:val="00874530"/>
    <w:rsid w:val="00877452"/>
    <w:rsid w:val="008820E7"/>
    <w:rsid w:val="0088341E"/>
    <w:rsid w:val="00887437"/>
    <w:rsid w:val="00890A85"/>
    <w:rsid w:val="008929FD"/>
    <w:rsid w:val="00894579"/>
    <w:rsid w:val="00895145"/>
    <w:rsid w:val="008951E3"/>
    <w:rsid w:val="008963A3"/>
    <w:rsid w:val="008971EE"/>
    <w:rsid w:val="00897BFA"/>
    <w:rsid w:val="008A454D"/>
    <w:rsid w:val="008B0120"/>
    <w:rsid w:val="008B7798"/>
    <w:rsid w:val="008C12FD"/>
    <w:rsid w:val="008C6986"/>
    <w:rsid w:val="008C7CAC"/>
    <w:rsid w:val="008D4C31"/>
    <w:rsid w:val="008D7BA0"/>
    <w:rsid w:val="008E2029"/>
    <w:rsid w:val="008E223C"/>
    <w:rsid w:val="008E3CA7"/>
    <w:rsid w:val="008E4E09"/>
    <w:rsid w:val="008E7BDF"/>
    <w:rsid w:val="008F19CB"/>
    <w:rsid w:val="008F4E96"/>
    <w:rsid w:val="008F5D6F"/>
    <w:rsid w:val="0090030F"/>
    <w:rsid w:val="00901119"/>
    <w:rsid w:val="00901B73"/>
    <w:rsid w:val="00902730"/>
    <w:rsid w:val="009036CD"/>
    <w:rsid w:val="009054AD"/>
    <w:rsid w:val="00910CA1"/>
    <w:rsid w:val="0091148B"/>
    <w:rsid w:val="00911B55"/>
    <w:rsid w:val="009135C8"/>
    <w:rsid w:val="0091588F"/>
    <w:rsid w:val="00916937"/>
    <w:rsid w:val="00916AC8"/>
    <w:rsid w:val="00917888"/>
    <w:rsid w:val="009208A2"/>
    <w:rsid w:val="009218E3"/>
    <w:rsid w:val="00922EA6"/>
    <w:rsid w:val="00923EE0"/>
    <w:rsid w:val="0092730D"/>
    <w:rsid w:val="00937ED6"/>
    <w:rsid w:val="00942113"/>
    <w:rsid w:val="00946C74"/>
    <w:rsid w:val="0095566E"/>
    <w:rsid w:val="00963A0F"/>
    <w:rsid w:val="00967985"/>
    <w:rsid w:val="00973967"/>
    <w:rsid w:val="00974E36"/>
    <w:rsid w:val="00976973"/>
    <w:rsid w:val="009811DC"/>
    <w:rsid w:val="0098272E"/>
    <w:rsid w:val="0098715E"/>
    <w:rsid w:val="0099138D"/>
    <w:rsid w:val="00992EF7"/>
    <w:rsid w:val="00995AB4"/>
    <w:rsid w:val="009962A9"/>
    <w:rsid w:val="009A019F"/>
    <w:rsid w:val="009A079D"/>
    <w:rsid w:val="009A1A3E"/>
    <w:rsid w:val="009A1B33"/>
    <w:rsid w:val="009B1973"/>
    <w:rsid w:val="009B26C1"/>
    <w:rsid w:val="009B61C4"/>
    <w:rsid w:val="009B7B9E"/>
    <w:rsid w:val="009C0479"/>
    <w:rsid w:val="009C072F"/>
    <w:rsid w:val="009C15A2"/>
    <w:rsid w:val="009C2837"/>
    <w:rsid w:val="009C33E6"/>
    <w:rsid w:val="009C4F73"/>
    <w:rsid w:val="009C5660"/>
    <w:rsid w:val="009C5BB4"/>
    <w:rsid w:val="009C6115"/>
    <w:rsid w:val="009C658E"/>
    <w:rsid w:val="009C6EB0"/>
    <w:rsid w:val="009D3B15"/>
    <w:rsid w:val="009D3E55"/>
    <w:rsid w:val="009D5837"/>
    <w:rsid w:val="009E3589"/>
    <w:rsid w:val="009E3915"/>
    <w:rsid w:val="009E4C4D"/>
    <w:rsid w:val="009F0E70"/>
    <w:rsid w:val="009F205B"/>
    <w:rsid w:val="009F44D4"/>
    <w:rsid w:val="009F666D"/>
    <w:rsid w:val="009F7D80"/>
    <w:rsid w:val="00A00371"/>
    <w:rsid w:val="00A00F90"/>
    <w:rsid w:val="00A053E6"/>
    <w:rsid w:val="00A11B54"/>
    <w:rsid w:val="00A1249C"/>
    <w:rsid w:val="00A12EA3"/>
    <w:rsid w:val="00A20B84"/>
    <w:rsid w:val="00A22DD4"/>
    <w:rsid w:val="00A27164"/>
    <w:rsid w:val="00A27A5D"/>
    <w:rsid w:val="00A325B8"/>
    <w:rsid w:val="00A335C9"/>
    <w:rsid w:val="00A33AF0"/>
    <w:rsid w:val="00A4020E"/>
    <w:rsid w:val="00A44FC1"/>
    <w:rsid w:val="00A45DB0"/>
    <w:rsid w:val="00A46422"/>
    <w:rsid w:val="00A46D4C"/>
    <w:rsid w:val="00A5116F"/>
    <w:rsid w:val="00A555F0"/>
    <w:rsid w:val="00A56B99"/>
    <w:rsid w:val="00A56E02"/>
    <w:rsid w:val="00A57DB8"/>
    <w:rsid w:val="00A66421"/>
    <w:rsid w:val="00A66EC0"/>
    <w:rsid w:val="00A724C7"/>
    <w:rsid w:val="00A73A77"/>
    <w:rsid w:val="00A7442E"/>
    <w:rsid w:val="00A74659"/>
    <w:rsid w:val="00A74E89"/>
    <w:rsid w:val="00A75D6B"/>
    <w:rsid w:val="00A77E7E"/>
    <w:rsid w:val="00A82DAA"/>
    <w:rsid w:val="00A83C45"/>
    <w:rsid w:val="00A93AE4"/>
    <w:rsid w:val="00AA04F9"/>
    <w:rsid w:val="00AA21F1"/>
    <w:rsid w:val="00AA42FF"/>
    <w:rsid w:val="00AA49B2"/>
    <w:rsid w:val="00AA7D78"/>
    <w:rsid w:val="00AA7DB0"/>
    <w:rsid w:val="00AB0C39"/>
    <w:rsid w:val="00AB0CE5"/>
    <w:rsid w:val="00AB3885"/>
    <w:rsid w:val="00AB666C"/>
    <w:rsid w:val="00AB7287"/>
    <w:rsid w:val="00AC3AC2"/>
    <w:rsid w:val="00AC7724"/>
    <w:rsid w:val="00AD0105"/>
    <w:rsid w:val="00AD475B"/>
    <w:rsid w:val="00AD57AC"/>
    <w:rsid w:val="00AD5EAC"/>
    <w:rsid w:val="00AD71BC"/>
    <w:rsid w:val="00AD7DAF"/>
    <w:rsid w:val="00AE24D4"/>
    <w:rsid w:val="00AE277C"/>
    <w:rsid w:val="00AE2B16"/>
    <w:rsid w:val="00AE3574"/>
    <w:rsid w:val="00AE68D9"/>
    <w:rsid w:val="00AE6AB7"/>
    <w:rsid w:val="00AF00CF"/>
    <w:rsid w:val="00AF0500"/>
    <w:rsid w:val="00AF5D05"/>
    <w:rsid w:val="00B01395"/>
    <w:rsid w:val="00B01AAD"/>
    <w:rsid w:val="00B03975"/>
    <w:rsid w:val="00B04A05"/>
    <w:rsid w:val="00B11360"/>
    <w:rsid w:val="00B12414"/>
    <w:rsid w:val="00B16490"/>
    <w:rsid w:val="00B20877"/>
    <w:rsid w:val="00B222C3"/>
    <w:rsid w:val="00B247C4"/>
    <w:rsid w:val="00B253CB"/>
    <w:rsid w:val="00B2662C"/>
    <w:rsid w:val="00B27E78"/>
    <w:rsid w:val="00B3083F"/>
    <w:rsid w:val="00B34D25"/>
    <w:rsid w:val="00B351A1"/>
    <w:rsid w:val="00B361A1"/>
    <w:rsid w:val="00B37CAE"/>
    <w:rsid w:val="00B41672"/>
    <w:rsid w:val="00B42926"/>
    <w:rsid w:val="00B42C8E"/>
    <w:rsid w:val="00B45B98"/>
    <w:rsid w:val="00B50571"/>
    <w:rsid w:val="00B50B15"/>
    <w:rsid w:val="00B55CDF"/>
    <w:rsid w:val="00B61688"/>
    <w:rsid w:val="00B6350C"/>
    <w:rsid w:val="00B6702C"/>
    <w:rsid w:val="00B77E35"/>
    <w:rsid w:val="00B81245"/>
    <w:rsid w:val="00B815A8"/>
    <w:rsid w:val="00B81C61"/>
    <w:rsid w:val="00B82A42"/>
    <w:rsid w:val="00B8616B"/>
    <w:rsid w:val="00B870BF"/>
    <w:rsid w:val="00B9159E"/>
    <w:rsid w:val="00B92A81"/>
    <w:rsid w:val="00BA1959"/>
    <w:rsid w:val="00BA2F17"/>
    <w:rsid w:val="00BA46AE"/>
    <w:rsid w:val="00BA4853"/>
    <w:rsid w:val="00BB123D"/>
    <w:rsid w:val="00BB6281"/>
    <w:rsid w:val="00BC250C"/>
    <w:rsid w:val="00BC374D"/>
    <w:rsid w:val="00BC5B22"/>
    <w:rsid w:val="00BC6883"/>
    <w:rsid w:val="00BD0A2A"/>
    <w:rsid w:val="00BD2EBA"/>
    <w:rsid w:val="00BD45BC"/>
    <w:rsid w:val="00BD6182"/>
    <w:rsid w:val="00BD6C74"/>
    <w:rsid w:val="00BE3840"/>
    <w:rsid w:val="00BE6D52"/>
    <w:rsid w:val="00BE7DAF"/>
    <w:rsid w:val="00BF14EB"/>
    <w:rsid w:val="00BF16AB"/>
    <w:rsid w:val="00BF1D28"/>
    <w:rsid w:val="00BF22BC"/>
    <w:rsid w:val="00BF27A4"/>
    <w:rsid w:val="00BF5803"/>
    <w:rsid w:val="00BF74C2"/>
    <w:rsid w:val="00C0124B"/>
    <w:rsid w:val="00C04AEA"/>
    <w:rsid w:val="00C057B5"/>
    <w:rsid w:val="00C10053"/>
    <w:rsid w:val="00C100D8"/>
    <w:rsid w:val="00C10121"/>
    <w:rsid w:val="00C110FF"/>
    <w:rsid w:val="00C124B4"/>
    <w:rsid w:val="00C1370F"/>
    <w:rsid w:val="00C16827"/>
    <w:rsid w:val="00C1716B"/>
    <w:rsid w:val="00C17F2F"/>
    <w:rsid w:val="00C21E36"/>
    <w:rsid w:val="00C2326E"/>
    <w:rsid w:val="00C23F81"/>
    <w:rsid w:val="00C24659"/>
    <w:rsid w:val="00C32395"/>
    <w:rsid w:val="00C33045"/>
    <w:rsid w:val="00C33741"/>
    <w:rsid w:val="00C42597"/>
    <w:rsid w:val="00C4468C"/>
    <w:rsid w:val="00C462EC"/>
    <w:rsid w:val="00C4672E"/>
    <w:rsid w:val="00C50200"/>
    <w:rsid w:val="00C5077E"/>
    <w:rsid w:val="00C5207E"/>
    <w:rsid w:val="00C52304"/>
    <w:rsid w:val="00C6213A"/>
    <w:rsid w:val="00C63772"/>
    <w:rsid w:val="00C65A22"/>
    <w:rsid w:val="00C66A5C"/>
    <w:rsid w:val="00C707FE"/>
    <w:rsid w:val="00C72A35"/>
    <w:rsid w:val="00C739ED"/>
    <w:rsid w:val="00C7780A"/>
    <w:rsid w:val="00C86619"/>
    <w:rsid w:val="00C9094B"/>
    <w:rsid w:val="00C92F77"/>
    <w:rsid w:val="00C93EC2"/>
    <w:rsid w:val="00C94179"/>
    <w:rsid w:val="00C943CE"/>
    <w:rsid w:val="00C96CDB"/>
    <w:rsid w:val="00C96EBC"/>
    <w:rsid w:val="00CA1B28"/>
    <w:rsid w:val="00CA3EBF"/>
    <w:rsid w:val="00CA7CED"/>
    <w:rsid w:val="00CA7D00"/>
    <w:rsid w:val="00CB614B"/>
    <w:rsid w:val="00CB63F3"/>
    <w:rsid w:val="00CB688E"/>
    <w:rsid w:val="00CC194F"/>
    <w:rsid w:val="00CC19C3"/>
    <w:rsid w:val="00CC1B9C"/>
    <w:rsid w:val="00CC1D25"/>
    <w:rsid w:val="00CC239D"/>
    <w:rsid w:val="00CC2644"/>
    <w:rsid w:val="00CC3D9F"/>
    <w:rsid w:val="00CC61E7"/>
    <w:rsid w:val="00CD19FD"/>
    <w:rsid w:val="00CD42BD"/>
    <w:rsid w:val="00CD478F"/>
    <w:rsid w:val="00CD7955"/>
    <w:rsid w:val="00CE551D"/>
    <w:rsid w:val="00CF05B3"/>
    <w:rsid w:val="00CF0765"/>
    <w:rsid w:val="00CF0EC8"/>
    <w:rsid w:val="00CF2644"/>
    <w:rsid w:val="00CF2BB9"/>
    <w:rsid w:val="00CF57C8"/>
    <w:rsid w:val="00CF5856"/>
    <w:rsid w:val="00CF5D5E"/>
    <w:rsid w:val="00D00D16"/>
    <w:rsid w:val="00D03E87"/>
    <w:rsid w:val="00D0405C"/>
    <w:rsid w:val="00D04513"/>
    <w:rsid w:val="00D05091"/>
    <w:rsid w:val="00D10AA9"/>
    <w:rsid w:val="00D114F2"/>
    <w:rsid w:val="00D12457"/>
    <w:rsid w:val="00D13085"/>
    <w:rsid w:val="00D20D8A"/>
    <w:rsid w:val="00D34271"/>
    <w:rsid w:val="00D37605"/>
    <w:rsid w:val="00D44725"/>
    <w:rsid w:val="00D50927"/>
    <w:rsid w:val="00D50FF9"/>
    <w:rsid w:val="00D55914"/>
    <w:rsid w:val="00D60331"/>
    <w:rsid w:val="00D606EB"/>
    <w:rsid w:val="00D60C8F"/>
    <w:rsid w:val="00D64D4F"/>
    <w:rsid w:val="00D65AB3"/>
    <w:rsid w:val="00D67D71"/>
    <w:rsid w:val="00D72CD2"/>
    <w:rsid w:val="00D7336B"/>
    <w:rsid w:val="00D74ADC"/>
    <w:rsid w:val="00D74BB8"/>
    <w:rsid w:val="00D7513C"/>
    <w:rsid w:val="00D77096"/>
    <w:rsid w:val="00D774E4"/>
    <w:rsid w:val="00D8283C"/>
    <w:rsid w:val="00D846A6"/>
    <w:rsid w:val="00D86447"/>
    <w:rsid w:val="00D90F9A"/>
    <w:rsid w:val="00D93304"/>
    <w:rsid w:val="00D945FB"/>
    <w:rsid w:val="00DA0A8C"/>
    <w:rsid w:val="00DA0C2E"/>
    <w:rsid w:val="00DA4D77"/>
    <w:rsid w:val="00DA5C3D"/>
    <w:rsid w:val="00DA6687"/>
    <w:rsid w:val="00DA79D4"/>
    <w:rsid w:val="00DB0FA8"/>
    <w:rsid w:val="00DB160E"/>
    <w:rsid w:val="00DB1D1A"/>
    <w:rsid w:val="00DB1F9E"/>
    <w:rsid w:val="00DB3122"/>
    <w:rsid w:val="00DB64CA"/>
    <w:rsid w:val="00DB771F"/>
    <w:rsid w:val="00DC4E8A"/>
    <w:rsid w:val="00DC7334"/>
    <w:rsid w:val="00DE137F"/>
    <w:rsid w:val="00DE210F"/>
    <w:rsid w:val="00DE49FB"/>
    <w:rsid w:val="00DE5D8A"/>
    <w:rsid w:val="00DE7290"/>
    <w:rsid w:val="00DF0002"/>
    <w:rsid w:val="00DF042C"/>
    <w:rsid w:val="00DF0A27"/>
    <w:rsid w:val="00DF22E8"/>
    <w:rsid w:val="00DF442D"/>
    <w:rsid w:val="00E02FB3"/>
    <w:rsid w:val="00E0669F"/>
    <w:rsid w:val="00E06BA6"/>
    <w:rsid w:val="00E06F9E"/>
    <w:rsid w:val="00E0766B"/>
    <w:rsid w:val="00E113C5"/>
    <w:rsid w:val="00E14D4D"/>
    <w:rsid w:val="00E150A8"/>
    <w:rsid w:val="00E238B3"/>
    <w:rsid w:val="00E244C6"/>
    <w:rsid w:val="00E24774"/>
    <w:rsid w:val="00E251C3"/>
    <w:rsid w:val="00E5036F"/>
    <w:rsid w:val="00E5041A"/>
    <w:rsid w:val="00E514D3"/>
    <w:rsid w:val="00E60002"/>
    <w:rsid w:val="00E7050E"/>
    <w:rsid w:val="00E71425"/>
    <w:rsid w:val="00E75989"/>
    <w:rsid w:val="00E75EE3"/>
    <w:rsid w:val="00E76762"/>
    <w:rsid w:val="00E80926"/>
    <w:rsid w:val="00E81961"/>
    <w:rsid w:val="00E877EA"/>
    <w:rsid w:val="00E90EFE"/>
    <w:rsid w:val="00E93286"/>
    <w:rsid w:val="00E941BE"/>
    <w:rsid w:val="00EA08AF"/>
    <w:rsid w:val="00EA5071"/>
    <w:rsid w:val="00EB0922"/>
    <w:rsid w:val="00EB3745"/>
    <w:rsid w:val="00EB4332"/>
    <w:rsid w:val="00EB4A8B"/>
    <w:rsid w:val="00EB71FE"/>
    <w:rsid w:val="00EB7742"/>
    <w:rsid w:val="00EC35EB"/>
    <w:rsid w:val="00EC65E0"/>
    <w:rsid w:val="00ED14EF"/>
    <w:rsid w:val="00ED470C"/>
    <w:rsid w:val="00ED5170"/>
    <w:rsid w:val="00ED5449"/>
    <w:rsid w:val="00ED6531"/>
    <w:rsid w:val="00EE13BD"/>
    <w:rsid w:val="00EE5BF7"/>
    <w:rsid w:val="00EE6AFD"/>
    <w:rsid w:val="00EF23EE"/>
    <w:rsid w:val="00EF486C"/>
    <w:rsid w:val="00EF4E4A"/>
    <w:rsid w:val="00F01CEF"/>
    <w:rsid w:val="00F02C67"/>
    <w:rsid w:val="00F07BA8"/>
    <w:rsid w:val="00F10D12"/>
    <w:rsid w:val="00F11EB9"/>
    <w:rsid w:val="00F17F57"/>
    <w:rsid w:val="00F20481"/>
    <w:rsid w:val="00F221CF"/>
    <w:rsid w:val="00F234C1"/>
    <w:rsid w:val="00F265E6"/>
    <w:rsid w:val="00F26656"/>
    <w:rsid w:val="00F32082"/>
    <w:rsid w:val="00F3264F"/>
    <w:rsid w:val="00F345ED"/>
    <w:rsid w:val="00F35FC4"/>
    <w:rsid w:val="00F37199"/>
    <w:rsid w:val="00F43998"/>
    <w:rsid w:val="00F439D6"/>
    <w:rsid w:val="00F43A29"/>
    <w:rsid w:val="00F44770"/>
    <w:rsid w:val="00F46495"/>
    <w:rsid w:val="00F46E48"/>
    <w:rsid w:val="00F54E99"/>
    <w:rsid w:val="00F61B82"/>
    <w:rsid w:val="00F61D9B"/>
    <w:rsid w:val="00F6354E"/>
    <w:rsid w:val="00F67B12"/>
    <w:rsid w:val="00F7077D"/>
    <w:rsid w:val="00F72523"/>
    <w:rsid w:val="00F77551"/>
    <w:rsid w:val="00F82CC1"/>
    <w:rsid w:val="00F84549"/>
    <w:rsid w:val="00F84E46"/>
    <w:rsid w:val="00F90BFF"/>
    <w:rsid w:val="00FA156D"/>
    <w:rsid w:val="00FA2962"/>
    <w:rsid w:val="00FA30A5"/>
    <w:rsid w:val="00FA4998"/>
    <w:rsid w:val="00FB148F"/>
    <w:rsid w:val="00FB622A"/>
    <w:rsid w:val="00FB749C"/>
    <w:rsid w:val="00FC0413"/>
    <w:rsid w:val="00FC4469"/>
    <w:rsid w:val="00FC4603"/>
    <w:rsid w:val="00FC5148"/>
    <w:rsid w:val="00FC5B36"/>
    <w:rsid w:val="00FD14C6"/>
    <w:rsid w:val="00FD3F11"/>
    <w:rsid w:val="00FD46F0"/>
    <w:rsid w:val="00FD692B"/>
    <w:rsid w:val="00FE070D"/>
    <w:rsid w:val="00FE0C58"/>
    <w:rsid w:val="00FE1042"/>
    <w:rsid w:val="00FE5217"/>
    <w:rsid w:val="00FE6015"/>
    <w:rsid w:val="00FE71E5"/>
    <w:rsid w:val="00FE7232"/>
    <w:rsid w:val="00FF3413"/>
    <w:rsid w:val="00FF7ACA"/>
    <w:rsid w:val="0F99A506"/>
    <w:rsid w:val="11172DB1"/>
    <w:rsid w:val="277BF64C"/>
    <w:rsid w:val="3245AE92"/>
    <w:rsid w:val="35C0C329"/>
    <w:rsid w:val="37538C4A"/>
    <w:rsid w:val="3EBAB111"/>
    <w:rsid w:val="466C10D5"/>
    <w:rsid w:val="48B66D25"/>
    <w:rsid w:val="4A2036FA"/>
    <w:rsid w:val="4E0D77A1"/>
    <w:rsid w:val="5BC0F716"/>
    <w:rsid w:val="621113FB"/>
    <w:rsid w:val="6A794BF0"/>
    <w:rsid w:val="6D314524"/>
    <w:rsid w:val="6F67648D"/>
    <w:rsid w:val="7D51D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1EB09"/>
  <w15:docId w15:val="{2F4E1B4F-56FC-4C44-A319-1C2FCF35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oppins" w:eastAsia="Poppins" w:hAnsi="Poppins" w:cs="Poppins"/>
        <w:color w:val="000000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Text"/>
    <w:qFormat/>
    <w:rsid w:val="003D7FD2"/>
    <w:pPr>
      <w:jc w:val="both"/>
    </w:pPr>
    <w:rPr>
      <w:lang w:val="en-GB"/>
    </w:rPr>
  </w:style>
  <w:style w:type="paragraph" w:styleId="Heading1">
    <w:name w:val="heading 1"/>
    <w:aliases w:val="Title 1"/>
    <w:basedOn w:val="Normal"/>
    <w:next w:val="Normal"/>
    <w:link w:val="Heading1Char"/>
    <w:autoRedefine/>
    <w:uiPriority w:val="9"/>
    <w:qFormat/>
    <w:rsid w:val="00BA46AE"/>
    <w:pPr>
      <w:keepNext/>
      <w:keepLines/>
      <w:spacing w:before="400" w:after="40"/>
      <w:jc w:val="left"/>
      <w:outlineLvl w:val="0"/>
    </w:pPr>
    <w:rPr>
      <w:rFonts w:eastAsiaTheme="majorEastAsia" w:cstheme="majorBidi"/>
      <w:b/>
      <w:color w:val="0E145D"/>
      <w:sz w:val="36"/>
      <w:szCs w:val="36"/>
    </w:rPr>
  </w:style>
  <w:style w:type="paragraph" w:styleId="Heading2">
    <w:name w:val="heading 2"/>
    <w:aliases w:val="Title 2"/>
    <w:basedOn w:val="Heading1"/>
    <w:next w:val="Normal"/>
    <w:link w:val="Heading2Char"/>
    <w:autoRedefine/>
    <w:uiPriority w:val="9"/>
    <w:unhideWhenUsed/>
    <w:qFormat/>
    <w:rsid w:val="00F90BFF"/>
    <w:pPr>
      <w:numPr>
        <w:ilvl w:val="1"/>
        <w:numId w:val="15"/>
      </w:numPr>
      <w:spacing w:before="40" w:after="0"/>
      <w:outlineLvl w:val="1"/>
    </w:pPr>
    <w:rPr>
      <w:b w:val="0"/>
      <w:szCs w:val="32"/>
    </w:rPr>
  </w:style>
  <w:style w:type="paragraph" w:styleId="Heading3">
    <w:name w:val="heading 3"/>
    <w:aliases w:val="Title 3"/>
    <w:basedOn w:val="Normal"/>
    <w:next w:val="Normal"/>
    <w:link w:val="Heading3Char"/>
    <w:autoRedefine/>
    <w:uiPriority w:val="9"/>
    <w:unhideWhenUsed/>
    <w:qFormat/>
    <w:rsid w:val="00F90BFF"/>
    <w:pPr>
      <w:keepNext/>
      <w:keepLines/>
      <w:numPr>
        <w:ilvl w:val="2"/>
        <w:numId w:val="15"/>
      </w:numPr>
      <w:spacing w:before="40" w:after="0"/>
      <w:jc w:val="left"/>
      <w:outlineLvl w:val="2"/>
    </w:pPr>
    <w:rPr>
      <w:rFonts w:eastAsiaTheme="majorEastAsia" w:cstheme="majorBidi"/>
      <w:color w:val="0E145D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0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E145D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100D8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E145D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C100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E145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55F9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55F9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55F9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0225"/>
    <w:pPr>
      <w:numPr>
        <w:numId w:val="2"/>
      </w:numPr>
      <w:spacing w:after="0" w:line="204" w:lineRule="auto"/>
      <w:contextualSpacing/>
    </w:pPr>
    <w:rPr>
      <w:rFonts w:eastAsiaTheme="majorEastAsia" w:cstheme="majorBidi"/>
      <w:caps/>
      <w:spacing w:val="-15"/>
      <w:sz w:val="36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B0225"/>
    <w:pPr>
      <w:spacing w:after="240"/>
      <w:jc w:val="left"/>
    </w:pPr>
    <w:rPr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B0225"/>
    <w:pPr>
      <w:spacing w:before="120" w:after="120"/>
      <w:ind w:left="720"/>
    </w:pPr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B0225"/>
    <w:pPr>
      <w:spacing w:before="100" w:beforeAutospacing="1" w:after="240"/>
      <w:ind w:left="720"/>
      <w:jc w:val="left"/>
    </w:pPr>
    <w:rPr>
      <w:rFonts w:eastAsiaTheme="majorEastAsia" w:cstheme="majorBidi"/>
      <w:spacing w:val="-6"/>
      <w:sz w:val="28"/>
      <w:szCs w:val="32"/>
    </w:rPr>
  </w:style>
  <w:style w:type="paragraph" w:styleId="ListParagraph">
    <w:name w:val="List Paragraph"/>
    <w:basedOn w:val="Normal"/>
    <w:autoRedefine/>
    <w:uiPriority w:val="34"/>
    <w:qFormat/>
    <w:rsid w:val="00412E76"/>
    <w:pPr>
      <w:numPr>
        <w:numId w:val="8"/>
      </w:numPr>
      <w:tabs>
        <w:tab w:val="left" w:pos="1515"/>
      </w:tabs>
      <w:spacing w:before="120" w:after="120" w:line="276" w:lineRule="auto"/>
      <w:contextualSpacing/>
    </w:pPr>
    <w:rPr>
      <w:color w:val="auto"/>
      <w:sz w:val="18"/>
      <w:szCs w:val="18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BA46AE"/>
    <w:rPr>
      <w:rFonts w:eastAsiaTheme="majorEastAsia" w:cstheme="majorBidi"/>
      <w:b/>
      <w:color w:val="0E145D"/>
      <w:sz w:val="36"/>
      <w:szCs w:val="36"/>
      <w:lang w:val="en-GB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F90BFF"/>
    <w:rPr>
      <w:rFonts w:eastAsiaTheme="majorEastAsia" w:cstheme="majorBidi"/>
      <w:color w:val="0E145D"/>
      <w:sz w:val="36"/>
      <w:szCs w:val="32"/>
      <w:lang w:val="en-GB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F90BFF"/>
    <w:rPr>
      <w:rFonts w:eastAsiaTheme="majorEastAsia" w:cstheme="majorBidi"/>
      <w:color w:val="0E145D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100D8"/>
    <w:rPr>
      <w:rFonts w:asciiTheme="majorHAnsi" w:eastAsiaTheme="majorEastAsia" w:hAnsiTheme="majorHAnsi" w:cstheme="majorBidi"/>
      <w:color w:val="0E145D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100D8"/>
    <w:rPr>
      <w:rFonts w:asciiTheme="majorHAnsi" w:eastAsiaTheme="majorEastAsia" w:hAnsiTheme="majorHAnsi" w:cstheme="majorBidi"/>
      <w:caps/>
      <w:color w:val="0E145D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D8"/>
    <w:rPr>
      <w:rFonts w:asciiTheme="majorHAnsi" w:eastAsiaTheme="majorEastAsia" w:hAnsiTheme="majorHAnsi" w:cstheme="majorBidi"/>
      <w:i/>
      <w:iCs/>
      <w:caps/>
      <w:color w:val="0E145D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25"/>
    <w:rPr>
      <w:rFonts w:asciiTheme="majorHAnsi" w:eastAsiaTheme="majorEastAsia" w:hAnsiTheme="majorHAnsi" w:cstheme="majorBidi"/>
      <w:b/>
      <w:bCs/>
      <w:color w:val="055F9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25"/>
    <w:rPr>
      <w:rFonts w:asciiTheme="majorHAnsi" w:eastAsiaTheme="majorEastAsia" w:hAnsiTheme="majorHAnsi" w:cstheme="majorBidi"/>
      <w:b/>
      <w:bCs/>
      <w:i/>
      <w:iCs/>
      <w:color w:val="055F9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25"/>
    <w:rPr>
      <w:rFonts w:asciiTheme="majorHAnsi" w:eastAsiaTheme="majorEastAsia" w:hAnsiTheme="majorHAnsi" w:cstheme="majorBidi"/>
      <w:i/>
      <w:iCs/>
      <w:color w:val="055F96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1B0225"/>
    <w:rPr>
      <w:rFonts w:eastAsiaTheme="majorEastAsia" w:cstheme="majorBidi"/>
      <w:caps/>
      <w:spacing w:val="-15"/>
      <w:sz w:val="36"/>
      <w:szCs w:val="7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B0225"/>
    <w:rPr>
      <w:color w:val="000000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1B0225"/>
    <w:rPr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25"/>
    <w:rPr>
      <w:rFonts w:eastAsiaTheme="majorEastAsia" w:cstheme="majorBidi"/>
      <w:color w:val="000000"/>
      <w:spacing w:val="-6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022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F317DE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F317DE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F317DE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F317DE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F317DE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F317DE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F317DE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F317DE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F317DE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D495E97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F317D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D495E97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F317DE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D495E97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F317D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D495E97"/>
    <w:rPr>
      <w:noProof w:val="0"/>
      <w:lang w:val="en-GB"/>
    </w:rPr>
  </w:style>
  <w:style w:type="table" w:styleId="TableGrid">
    <w:name w:val="Table Grid"/>
    <w:basedOn w:val="TableNormal"/>
    <w:uiPriority w:val="39"/>
    <w:rsid w:val="00FB4123"/>
    <w:pPr>
      <w:spacing w:after="0"/>
    </w:pPr>
    <w:tblPr>
      <w:tblBorders>
        <w:top w:val="single" w:sz="4" w:space="0" w:color="0E145D" w:themeColor="text1"/>
        <w:left w:val="single" w:sz="4" w:space="0" w:color="0E145D" w:themeColor="text1"/>
        <w:bottom w:val="single" w:sz="4" w:space="0" w:color="0E145D" w:themeColor="text1"/>
        <w:right w:val="single" w:sz="4" w:space="0" w:color="0E145D" w:themeColor="text1"/>
        <w:insideH w:val="single" w:sz="4" w:space="0" w:color="0E145D" w:themeColor="text1"/>
        <w:insideV w:val="single" w:sz="4" w:space="0" w:color="0E145D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5Dark-Accent1">
    <w:name w:val="Grid Table 5 Dark Accent 1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3F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3F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B3F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B3F8" w:themeFill="accent1"/>
      </w:tcPr>
    </w:tblStylePr>
    <w:tblStylePr w:type="band1Vert">
      <w:tblPr/>
      <w:tcPr>
        <w:shd w:val="clear" w:color="auto" w:fill="B2E0FC" w:themeFill="accent1" w:themeFillTint="66"/>
      </w:tcPr>
    </w:tblStylePr>
    <w:tblStylePr w:type="band1Horz">
      <w:tblPr/>
      <w:tcPr>
        <w:shd w:val="clear" w:color="auto" w:fill="B2E0FC" w:themeFill="accent1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643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075D7"/>
    <w:pPr>
      <w:spacing w:after="0"/>
    </w:pPr>
  </w:style>
  <w:style w:type="character" w:customStyle="1" w:styleId="cf01">
    <w:name w:val="cf01"/>
    <w:basedOn w:val="DefaultParagraphFont"/>
    <w:rsid w:val="00CA4E2F"/>
    <w:rPr>
      <w:rFonts w:ascii="Segoe UI" w:hAnsi="Segoe UI" w:cs="Segoe UI" w:hint="default"/>
      <w:sz w:val="18"/>
      <w:szCs w:val="18"/>
    </w:rPr>
  </w:style>
  <w:style w:type="table" w:styleId="GridTable5Dark-Accent5">
    <w:name w:val="Grid Table 5 Dark Accent 5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65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65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65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6524" w:themeFill="accent5"/>
      </w:tcPr>
    </w:tblStylePr>
    <w:tblStylePr w:type="band1Vert">
      <w:tblPr/>
      <w:tcPr>
        <w:shd w:val="clear" w:color="auto" w:fill="FAC1A7" w:themeFill="accent5" w:themeFillTint="66"/>
      </w:tcPr>
    </w:tblStylePr>
    <w:tblStylePr w:type="band1Horz">
      <w:tblPr/>
      <w:tcPr>
        <w:shd w:val="clear" w:color="auto" w:fill="FAC1A7" w:themeFill="accent5" w:themeFillTint="66"/>
      </w:tcPr>
    </w:tblStylePr>
  </w:style>
  <w:style w:type="table" w:styleId="ListTable1Light-Accent5">
    <w:name w:val="List Table 1 Light Accent 5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2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2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0D3" w:themeFill="accent5" w:themeFillTint="33"/>
      </w:tcPr>
    </w:tblStylePr>
    <w:tblStylePr w:type="band1Horz">
      <w:tblPr/>
      <w:tcPr>
        <w:shd w:val="clear" w:color="auto" w:fill="FCE0D3" w:themeFill="accent5" w:themeFillTint="33"/>
      </w:tcPr>
    </w:tblStylePr>
  </w:style>
  <w:style w:type="paragraph" w:customStyle="1" w:styleId="pf0">
    <w:name w:val="pf0"/>
    <w:basedOn w:val="Normal"/>
    <w:rsid w:val="003C7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B0225"/>
    <w:pPr>
      <w:outlineLvl w:val="9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EE2830"/>
    <w:rPr>
      <w:color w:val="0E145D" w:themeColor="hyperlink"/>
      <w:u w:val="single"/>
    </w:rPr>
  </w:style>
  <w:style w:type="paragraph" w:customStyle="1" w:styleId="trt0xe">
    <w:name w:val="trt0xe"/>
    <w:basedOn w:val="Normal"/>
    <w:rsid w:val="002379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6D74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D74A4"/>
  </w:style>
  <w:style w:type="character" w:customStyle="1" w:styleId="normaltextrun">
    <w:name w:val="normaltextrun"/>
    <w:basedOn w:val="DefaultParagraphFont"/>
    <w:rsid w:val="00CF5856"/>
    <w:rPr>
      <w:rFonts w:asciiTheme="majorHAnsi" w:hAnsiTheme="majorHAnsi"/>
      <w:color w:val="000000"/>
    </w:rPr>
  </w:style>
  <w:style w:type="character" w:customStyle="1" w:styleId="tabchar">
    <w:name w:val="tabchar"/>
    <w:basedOn w:val="DefaultParagraphFont"/>
    <w:rsid w:val="006D74A4"/>
  </w:style>
  <w:style w:type="character" w:styleId="EndnoteReference">
    <w:name w:val="endnote reference"/>
    <w:basedOn w:val="DefaultParagraphFont"/>
    <w:uiPriority w:val="99"/>
    <w:semiHidden/>
    <w:unhideWhenUsed/>
    <w:rsid w:val="006D74A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26E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5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63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A7811"/>
    <w:rPr>
      <w:color w:val="605E5C"/>
      <w:shd w:val="clear" w:color="auto" w:fill="E1DFDD"/>
    </w:rPr>
  </w:style>
  <w:style w:type="table" w:styleId="GridTable5Dark-Accent6">
    <w:name w:val="Grid Table 5 Dark Accent 6"/>
    <w:aliases w:val="SpaceSUITE"/>
    <w:basedOn w:val="TableNormal"/>
    <w:uiPriority w:val="50"/>
    <w:rsid w:val="005A1C1C"/>
    <w:pPr>
      <w:spacing w:after="0"/>
    </w:pPr>
    <w:rPr>
      <w:color w:val="0E145D"/>
      <w14:textOutline w14:w="9525" w14:cap="rnd" w14:cmpd="sng" w14:algn="ctr">
        <w14:noFill/>
        <w14:prstDash w14:val="solid"/>
        <w14:bevel/>
      </w14:textOutline>
    </w:rPr>
    <w:tblPr>
      <w:tblStyleRowBandSize w:val="1"/>
      <w:tblStyleColBandSize w:val="1"/>
      <w:tblBorders>
        <w:top w:val="single" w:sz="4" w:space="0" w:color="0E145D"/>
        <w:left w:val="single" w:sz="4" w:space="0" w:color="0E145D"/>
        <w:bottom w:val="single" w:sz="4" w:space="0" w:color="0E145D"/>
        <w:right w:val="single" w:sz="4" w:space="0" w:color="0E145D"/>
        <w:insideH w:val="single" w:sz="4" w:space="0" w:color="0E145D"/>
        <w:insideV w:val="single" w:sz="4" w:space="0" w:color="0E145D"/>
      </w:tblBorders>
    </w:tblPr>
    <w:tcPr>
      <w:shd w:val="clear" w:color="auto" w:fill="BCDD55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3F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3F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B3F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B3F8" w:themeFill="accent6"/>
      </w:tcPr>
    </w:tblStylePr>
    <w:tblStylePr w:type="band1Vert">
      <w:tblPr/>
      <w:tcPr>
        <w:shd w:val="clear" w:color="auto" w:fill="B2E0FC" w:themeFill="accent6" w:themeFillTint="66"/>
      </w:tcPr>
    </w:tblStylePr>
    <w:tblStylePr w:type="band1Horz">
      <w:tblPr/>
      <w:tcPr>
        <w:shd w:val="clear" w:color="auto" w:fill="B2E0FC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5A1C1C"/>
    <w:pPr>
      <w:spacing w:after="0"/>
    </w:pPr>
    <w:tblPr>
      <w:tblStyleRowBandSize w:val="1"/>
      <w:tblStyleColBandSize w:val="1"/>
      <w:tblBorders>
        <w:top w:val="single" w:sz="4" w:space="0" w:color="E1888C" w:themeColor="accent2" w:themeTint="99"/>
        <w:left w:val="single" w:sz="4" w:space="0" w:color="E1888C" w:themeColor="accent2" w:themeTint="99"/>
        <w:bottom w:val="single" w:sz="4" w:space="0" w:color="E1888C" w:themeColor="accent2" w:themeTint="99"/>
        <w:right w:val="single" w:sz="4" w:space="0" w:color="E1888C" w:themeColor="accent2" w:themeTint="99"/>
        <w:insideH w:val="single" w:sz="4" w:space="0" w:color="E1888C" w:themeColor="accent2" w:themeTint="99"/>
        <w:insideV w:val="single" w:sz="4" w:space="0" w:color="E188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3A41" w:themeColor="accent2"/>
          <w:left w:val="single" w:sz="4" w:space="0" w:color="CE3A41" w:themeColor="accent2"/>
          <w:bottom w:val="single" w:sz="4" w:space="0" w:color="CE3A41" w:themeColor="accent2"/>
          <w:right w:val="single" w:sz="4" w:space="0" w:color="CE3A41" w:themeColor="accent2"/>
          <w:insideH w:val="nil"/>
          <w:insideV w:val="nil"/>
        </w:tcBorders>
        <w:shd w:val="clear" w:color="auto" w:fill="CE3A41" w:themeFill="accent2"/>
      </w:tcPr>
    </w:tblStylePr>
    <w:tblStylePr w:type="lastRow">
      <w:rPr>
        <w:b/>
        <w:bCs/>
      </w:rPr>
      <w:tblPr/>
      <w:tcPr>
        <w:tcBorders>
          <w:top w:val="double" w:sz="4" w:space="0" w:color="CE3A4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7D8" w:themeFill="accent2" w:themeFillTint="33"/>
      </w:tcPr>
    </w:tblStylePr>
    <w:tblStylePr w:type="band1Horz">
      <w:tblPr/>
      <w:tcPr>
        <w:shd w:val="clear" w:color="auto" w:fill="F5D7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1C1C"/>
    <w:pPr>
      <w:spacing w:after="0"/>
    </w:pPr>
    <w:tblPr>
      <w:tblStyleRowBandSize w:val="1"/>
      <w:tblStyleColBandSize w:val="1"/>
      <w:tblBorders>
        <w:top w:val="single" w:sz="4" w:space="0" w:color="FFE566" w:themeColor="accent3" w:themeTint="99"/>
        <w:left w:val="single" w:sz="4" w:space="0" w:color="FFE566" w:themeColor="accent3" w:themeTint="99"/>
        <w:bottom w:val="single" w:sz="4" w:space="0" w:color="FFE566" w:themeColor="accent3" w:themeTint="99"/>
        <w:right w:val="single" w:sz="4" w:space="0" w:color="FFE566" w:themeColor="accent3" w:themeTint="99"/>
        <w:insideH w:val="single" w:sz="4" w:space="0" w:color="FFE566" w:themeColor="accent3" w:themeTint="99"/>
        <w:insideV w:val="single" w:sz="4" w:space="0" w:color="FFE5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400" w:themeColor="accent3"/>
          <w:left w:val="single" w:sz="4" w:space="0" w:color="FFD400" w:themeColor="accent3"/>
          <w:bottom w:val="single" w:sz="4" w:space="0" w:color="FFD400" w:themeColor="accent3"/>
          <w:right w:val="single" w:sz="4" w:space="0" w:color="FFD400" w:themeColor="accent3"/>
          <w:insideH w:val="nil"/>
          <w:insideV w:val="nil"/>
        </w:tcBorders>
        <w:shd w:val="clear" w:color="auto" w:fill="FFD4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4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3" w:themeFillTint="33"/>
      </w:tcPr>
    </w:tblStylePr>
    <w:tblStylePr w:type="band1Horz">
      <w:tblPr/>
      <w:tcPr>
        <w:shd w:val="clear" w:color="auto" w:fill="FFF6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1C1C"/>
    <w:pPr>
      <w:spacing w:after="0"/>
    </w:pPr>
    <w:tblPr>
      <w:tblStyleRowBandSize w:val="1"/>
      <w:tblStyleColBandSize w:val="1"/>
      <w:tblBorders>
        <w:top w:val="single" w:sz="4" w:space="0" w:color="D6EA98" w:themeColor="accent4" w:themeTint="99"/>
        <w:left w:val="single" w:sz="4" w:space="0" w:color="D6EA98" w:themeColor="accent4" w:themeTint="99"/>
        <w:bottom w:val="single" w:sz="4" w:space="0" w:color="D6EA98" w:themeColor="accent4" w:themeTint="99"/>
        <w:right w:val="single" w:sz="4" w:space="0" w:color="D6EA98" w:themeColor="accent4" w:themeTint="99"/>
        <w:insideH w:val="single" w:sz="4" w:space="0" w:color="D6EA98" w:themeColor="accent4" w:themeTint="99"/>
        <w:insideV w:val="single" w:sz="4" w:space="0" w:color="D6EA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DD55" w:themeColor="accent4"/>
          <w:left w:val="single" w:sz="4" w:space="0" w:color="BCDD55" w:themeColor="accent4"/>
          <w:bottom w:val="single" w:sz="4" w:space="0" w:color="BCDD55" w:themeColor="accent4"/>
          <w:right w:val="single" w:sz="4" w:space="0" w:color="BCDD55" w:themeColor="accent4"/>
          <w:insideH w:val="nil"/>
          <w:insideV w:val="nil"/>
        </w:tcBorders>
        <w:shd w:val="clear" w:color="auto" w:fill="BCDD55" w:themeFill="accent4"/>
      </w:tcPr>
    </w:tblStylePr>
    <w:tblStylePr w:type="lastRow">
      <w:rPr>
        <w:b/>
        <w:bCs/>
      </w:rPr>
      <w:tblPr/>
      <w:tcPr>
        <w:tcBorders>
          <w:top w:val="double" w:sz="4" w:space="0" w:color="BCDD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8DC" w:themeFill="accent4" w:themeFillTint="33"/>
      </w:tcPr>
    </w:tblStylePr>
    <w:tblStylePr w:type="band1Horz">
      <w:tblPr/>
      <w:tcPr>
        <w:shd w:val="clear" w:color="auto" w:fill="F1F8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1C1C"/>
    <w:pPr>
      <w:spacing w:after="0"/>
    </w:pPr>
    <w:tblPr>
      <w:tblStyleRowBandSize w:val="1"/>
      <w:tblStyleColBandSize w:val="1"/>
      <w:tblBorders>
        <w:top w:val="single" w:sz="4" w:space="0" w:color="F8A27B" w:themeColor="accent5" w:themeTint="99"/>
        <w:left w:val="single" w:sz="4" w:space="0" w:color="F8A27B" w:themeColor="accent5" w:themeTint="99"/>
        <w:bottom w:val="single" w:sz="4" w:space="0" w:color="F8A27B" w:themeColor="accent5" w:themeTint="99"/>
        <w:right w:val="single" w:sz="4" w:space="0" w:color="F8A27B" w:themeColor="accent5" w:themeTint="99"/>
        <w:insideH w:val="single" w:sz="4" w:space="0" w:color="F8A27B" w:themeColor="accent5" w:themeTint="99"/>
        <w:insideV w:val="single" w:sz="4" w:space="0" w:color="F8A2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6524" w:themeColor="accent5"/>
          <w:left w:val="single" w:sz="4" w:space="0" w:color="F46524" w:themeColor="accent5"/>
          <w:bottom w:val="single" w:sz="4" w:space="0" w:color="F46524" w:themeColor="accent5"/>
          <w:right w:val="single" w:sz="4" w:space="0" w:color="F46524" w:themeColor="accent5"/>
          <w:insideH w:val="nil"/>
          <w:insideV w:val="nil"/>
        </w:tcBorders>
        <w:shd w:val="clear" w:color="auto" w:fill="F46524" w:themeFill="accent5"/>
      </w:tcPr>
    </w:tblStylePr>
    <w:tblStylePr w:type="lastRow">
      <w:rPr>
        <w:b/>
        <w:bCs/>
      </w:rPr>
      <w:tblPr/>
      <w:tcPr>
        <w:tcBorders>
          <w:top w:val="double" w:sz="4" w:space="0" w:color="F465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0D3" w:themeFill="accent5" w:themeFillTint="33"/>
      </w:tcPr>
    </w:tblStylePr>
    <w:tblStylePr w:type="band1Horz">
      <w:tblPr/>
      <w:tcPr>
        <w:shd w:val="clear" w:color="auto" w:fill="FC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1C1C"/>
    <w:pPr>
      <w:spacing w:after="0"/>
    </w:pPr>
    <w:tblPr>
      <w:tblStyleRowBandSize w:val="1"/>
      <w:tblStyleColBandSize w:val="1"/>
      <w:tblBorders>
        <w:top w:val="single" w:sz="4" w:space="0" w:color="8BD0FA" w:themeColor="accent6" w:themeTint="99"/>
        <w:left w:val="single" w:sz="4" w:space="0" w:color="8BD0FA" w:themeColor="accent6" w:themeTint="99"/>
        <w:bottom w:val="single" w:sz="4" w:space="0" w:color="8BD0FA" w:themeColor="accent6" w:themeTint="99"/>
        <w:right w:val="single" w:sz="4" w:space="0" w:color="8BD0FA" w:themeColor="accent6" w:themeTint="99"/>
        <w:insideH w:val="single" w:sz="4" w:space="0" w:color="8BD0FA" w:themeColor="accent6" w:themeTint="99"/>
        <w:insideV w:val="single" w:sz="4" w:space="0" w:color="8BD0F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B3F8" w:themeColor="accent6"/>
          <w:left w:val="single" w:sz="4" w:space="0" w:color="3FB3F8" w:themeColor="accent6"/>
          <w:bottom w:val="single" w:sz="4" w:space="0" w:color="3FB3F8" w:themeColor="accent6"/>
          <w:right w:val="single" w:sz="4" w:space="0" w:color="3FB3F8" w:themeColor="accent6"/>
          <w:insideH w:val="nil"/>
          <w:insideV w:val="nil"/>
        </w:tcBorders>
        <w:shd w:val="clear" w:color="auto" w:fill="3FB3F8" w:themeFill="accent6"/>
      </w:tcPr>
    </w:tblStylePr>
    <w:tblStylePr w:type="lastRow">
      <w:rPr>
        <w:b/>
        <w:bCs/>
      </w:rPr>
      <w:tblPr/>
      <w:tcPr>
        <w:tcBorders>
          <w:top w:val="double" w:sz="4" w:space="0" w:color="3FB3F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FD" w:themeFill="accent6" w:themeFillTint="33"/>
      </w:tcPr>
    </w:tblStylePr>
    <w:tblStylePr w:type="band1Horz">
      <w:tblPr/>
      <w:tcPr>
        <w:shd w:val="clear" w:color="auto" w:fill="D8EFFD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5A1C1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DD5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DD5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DD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DD55" w:themeFill="accent4"/>
      </w:tcPr>
    </w:tblStylePr>
    <w:tblStylePr w:type="band1Vert">
      <w:tblPr/>
      <w:tcPr>
        <w:shd w:val="clear" w:color="auto" w:fill="E4F1BA" w:themeFill="accent4" w:themeFillTint="66"/>
      </w:tcPr>
    </w:tblStylePr>
    <w:tblStylePr w:type="band1Horz">
      <w:tblPr/>
      <w:tcPr>
        <w:shd w:val="clear" w:color="auto" w:fill="E4F1BA" w:themeFill="accent4" w:themeFillTint="66"/>
      </w:tcPr>
    </w:tblStylePr>
  </w:style>
  <w:style w:type="table" w:styleId="ListTable1Light-Accent6">
    <w:name w:val="List Table 1 Light Accent 6"/>
    <w:basedOn w:val="TableNormal"/>
    <w:uiPriority w:val="46"/>
    <w:rsid w:val="0023285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D0F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D0F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FD" w:themeFill="accent6" w:themeFillTint="33"/>
      </w:tcPr>
    </w:tblStylePr>
    <w:tblStylePr w:type="band1Horz">
      <w:tblPr/>
      <w:tcPr>
        <w:shd w:val="clear" w:color="auto" w:fill="D8EFFD" w:themeFill="accent6" w:themeFillTint="33"/>
      </w:tcPr>
    </w:tblStylePr>
  </w:style>
  <w:style w:type="table" w:styleId="ListTable2-Accent1">
    <w:name w:val="List Table 2 Accent 1"/>
    <w:basedOn w:val="TableNormal"/>
    <w:uiPriority w:val="47"/>
    <w:rsid w:val="0023285D"/>
    <w:pPr>
      <w:spacing w:after="0"/>
    </w:pPr>
    <w:tblPr>
      <w:tblStyleRowBandSize w:val="1"/>
      <w:tblStyleColBandSize w:val="1"/>
      <w:tblBorders>
        <w:top w:val="single" w:sz="4" w:space="0" w:color="8BD0FA" w:themeColor="accent1" w:themeTint="99"/>
        <w:bottom w:val="single" w:sz="4" w:space="0" w:color="8BD0FA" w:themeColor="accent1" w:themeTint="99"/>
        <w:insideH w:val="single" w:sz="4" w:space="0" w:color="8BD0F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FD" w:themeFill="accent1" w:themeFillTint="33"/>
      </w:tcPr>
    </w:tblStylePr>
    <w:tblStylePr w:type="band1Horz">
      <w:tblPr/>
      <w:tcPr>
        <w:shd w:val="clear" w:color="auto" w:fill="D8EFFD" w:themeFill="accent1" w:themeFillTint="33"/>
      </w:tcPr>
    </w:tblStylePr>
  </w:style>
  <w:style w:type="table" w:styleId="ListTable2">
    <w:name w:val="List Table 2"/>
    <w:basedOn w:val="TableNormal"/>
    <w:uiPriority w:val="47"/>
    <w:rsid w:val="0023285D"/>
    <w:pPr>
      <w:spacing w:after="0"/>
    </w:pPr>
    <w:tblPr>
      <w:tblStyleRowBandSize w:val="1"/>
      <w:tblStyleColBandSize w:val="1"/>
      <w:tblBorders>
        <w:top w:val="single" w:sz="4" w:space="0" w:color="2C39DF" w:themeColor="text1" w:themeTint="99"/>
        <w:bottom w:val="single" w:sz="4" w:space="0" w:color="2C39DF" w:themeColor="text1" w:themeTint="99"/>
        <w:insideH w:val="single" w:sz="4" w:space="0" w:color="2C39D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DF4" w:themeFill="text1" w:themeFillTint="33"/>
      </w:tcPr>
    </w:tblStylePr>
    <w:tblStylePr w:type="band1Horz">
      <w:tblPr/>
      <w:tcPr>
        <w:shd w:val="clear" w:color="auto" w:fill="B8BDF4" w:themeFill="tex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E24774"/>
    <w:pPr>
      <w:keepNext/>
    </w:pPr>
    <w:rPr>
      <w:rFonts w:asciiTheme="minorHAnsi" w:hAnsiTheme="minorHAnsi" w:cstheme="minorHAnsi"/>
      <w:b/>
      <w:bCs/>
      <w:smallCaps/>
    </w:rPr>
  </w:style>
  <w:style w:type="character" w:styleId="Strong">
    <w:name w:val="Strong"/>
    <w:basedOn w:val="DefaultParagraphFont"/>
    <w:uiPriority w:val="22"/>
    <w:qFormat/>
    <w:rsid w:val="001B0225"/>
    <w:rPr>
      <w:rFonts w:ascii="Poppins" w:hAnsi="Poppins"/>
      <w:b/>
      <w:bCs/>
      <w:color w:val="000000"/>
      <w:sz w:val="22"/>
    </w:rPr>
  </w:style>
  <w:style w:type="character" w:styleId="Emphasis">
    <w:name w:val="Emphasis"/>
    <w:basedOn w:val="DefaultParagraphFont"/>
    <w:uiPriority w:val="20"/>
    <w:qFormat/>
    <w:rsid w:val="001B0225"/>
    <w:rPr>
      <w:rFonts w:ascii="Poppins" w:hAnsi="Poppins"/>
      <w:i/>
      <w:iCs/>
      <w:color w:val="000000"/>
      <w:sz w:val="22"/>
    </w:rPr>
  </w:style>
  <w:style w:type="paragraph" w:styleId="NoSpacing">
    <w:name w:val="No Spacing"/>
    <w:autoRedefine/>
    <w:uiPriority w:val="1"/>
    <w:qFormat/>
    <w:rsid w:val="001B0225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B0225"/>
    <w:rPr>
      <w:rFonts w:ascii="Poppins" w:hAnsi="Poppins"/>
      <w:i/>
      <w:iCs/>
      <w:color w:val="000000"/>
      <w:sz w:val="22"/>
    </w:rPr>
  </w:style>
  <w:style w:type="character" w:styleId="IntenseEmphasis">
    <w:name w:val="Intense Emphasis"/>
    <w:basedOn w:val="DefaultParagraphFont"/>
    <w:uiPriority w:val="21"/>
    <w:qFormat/>
    <w:rsid w:val="001B0225"/>
    <w:rPr>
      <w:rFonts w:ascii="Poppins" w:hAnsi="Poppins"/>
      <w:b/>
      <w:bCs/>
      <w:i/>
      <w:iCs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1B0225"/>
    <w:rPr>
      <w:rFonts w:ascii="Poppins" w:hAnsi="Poppins"/>
      <w:smallCaps/>
      <w:color w:val="000000"/>
      <w:sz w:val="22"/>
      <w:u w:val="none" w:color="4F5AE4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0225"/>
    <w:rPr>
      <w:rFonts w:ascii="Poppins" w:hAnsi="Poppins"/>
      <w:b/>
      <w:bCs/>
      <w:smallCaps/>
      <w:color w:val="000000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B0225"/>
    <w:rPr>
      <w:rFonts w:ascii="Poppins" w:hAnsi="Poppins"/>
      <w:b/>
      <w:bCs/>
      <w:smallCaps/>
      <w:color w:val="000000"/>
      <w:spacing w:val="10"/>
      <w:sz w:val="22"/>
    </w:rPr>
  </w:style>
  <w:style w:type="table" w:styleId="ListTable2-Accent2">
    <w:name w:val="List Table 2 Accent 2"/>
    <w:basedOn w:val="TableNormal"/>
    <w:uiPriority w:val="47"/>
    <w:rsid w:val="0023285D"/>
    <w:pPr>
      <w:spacing w:after="0"/>
    </w:pPr>
    <w:tblPr>
      <w:tblStyleRowBandSize w:val="1"/>
      <w:tblStyleColBandSize w:val="1"/>
      <w:tblBorders>
        <w:top w:val="single" w:sz="4" w:space="0" w:color="E1888C" w:themeColor="accent2" w:themeTint="99"/>
        <w:bottom w:val="single" w:sz="4" w:space="0" w:color="E1888C" w:themeColor="accent2" w:themeTint="99"/>
        <w:insideH w:val="single" w:sz="4" w:space="0" w:color="E188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7D8" w:themeFill="accent2" w:themeFillTint="33"/>
      </w:tcPr>
    </w:tblStylePr>
    <w:tblStylePr w:type="band1Horz">
      <w:tblPr/>
      <w:tcPr>
        <w:shd w:val="clear" w:color="auto" w:fill="F5D7D8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23285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4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4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4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400" w:themeFill="accent3"/>
      </w:tcPr>
    </w:tblStylePr>
    <w:tblStylePr w:type="band1Vert">
      <w:tblPr/>
      <w:tcPr>
        <w:shd w:val="clear" w:color="auto" w:fill="FFED99" w:themeFill="accent3" w:themeFillTint="66"/>
      </w:tcPr>
    </w:tblStylePr>
    <w:tblStylePr w:type="band1Horz">
      <w:tblPr/>
      <w:tcPr>
        <w:shd w:val="clear" w:color="auto" w:fill="FFED99" w:themeFill="accent3" w:themeFillTint="66"/>
      </w:tcPr>
    </w:tblStylePr>
  </w:style>
  <w:style w:type="paragraph" w:customStyle="1" w:styleId="TextSpaceSUITE">
    <w:name w:val="Text SpaceSUITE"/>
    <w:basedOn w:val="Normal"/>
    <w:autoRedefine/>
    <w:qFormat/>
    <w:rsid w:val="001B0225"/>
    <w:pPr>
      <w:spacing w:before="360" w:line="264" w:lineRule="auto"/>
      <w:ind w:left="-567" w:right="-766"/>
      <w:jc w:val="center"/>
    </w:pPr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35552F"/>
    <w:pPr>
      <w:spacing w:after="0"/>
    </w:pPr>
    <w:rPr>
      <w:color w:val="0E145D" w:themeColor="text1"/>
    </w:rPr>
    <w:tblPr>
      <w:tblStyleRowBandSize w:val="1"/>
      <w:tblStyleColBandSize w:val="1"/>
      <w:tblBorders>
        <w:top w:val="single" w:sz="4" w:space="0" w:color="2C39DF" w:themeColor="text1" w:themeTint="99"/>
        <w:left w:val="single" w:sz="4" w:space="0" w:color="2C39DF" w:themeColor="text1" w:themeTint="99"/>
        <w:bottom w:val="single" w:sz="4" w:space="0" w:color="2C39DF" w:themeColor="text1" w:themeTint="99"/>
        <w:right w:val="single" w:sz="4" w:space="0" w:color="2C39DF" w:themeColor="text1" w:themeTint="99"/>
        <w:insideH w:val="single" w:sz="4" w:space="0" w:color="2C39DF" w:themeColor="text1" w:themeTint="99"/>
        <w:insideV w:val="single" w:sz="4" w:space="0" w:color="2C39D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C39D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C39D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DF4" w:themeFill="text1" w:themeFillTint="33"/>
      </w:tcPr>
    </w:tblStylePr>
    <w:tblStylePr w:type="band1Horz">
      <w:tblPr/>
      <w:tcPr>
        <w:shd w:val="clear" w:color="auto" w:fill="B8BDF4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67292"/>
    <w:pPr>
      <w:spacing w:after="0"/>
    </w:pPr>
  </w:style>
  <w:style w:type="table" w:styleId="GridTable4">
    <w:name w:val="Grid Table 4"/>
    <w:basedOn w:val="TableNormal"/>
    <w:uiPriority w:val="49"/>
    <w:rsid w:val="00C67292"/>
    <w:pPr>
      <w:spacing w:after="0"/>
    </w:pPr>
    <w:tblPr>
      <w:tblStyleRowBandSize w:val="1"/>
      <w:tblStyleColBandSize w:val="1"/>
      <w:tblBorders>
        <w:top w:val="single" w:sz="4" w:space="0" w:color="2C39DF" w:themeColor="text1" w:themeTint="99"/>
        <w:left w:val="single" w:sz="4" w:space="0" w:color="2C39DF" w:themeColor="text1" w:themeTint="99"/>
        <w:bottom w:val="single" w:sz="4" w:space="0" w:color="2C39DF" w:themeColor="text1" w:themeTint="99"/>
        <w:right w:val="single" w:sz="4" w:space="0" w:color="2C39DF" w:themeColor="text1" w:themeTint="99"/>
        <w:insideH w:val="single" w:sz="4" w:space="0" w:color="2C39DF" w:themeColor="text1" w:themeTint="99"/>
        <w:insideV w:val="single" w:sz="4" w:space="0" w:color="2C39D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E145D" w:themeColor="text1"/>
          <w:left w:val="single" w:sz="4" w:space="0" w:color="0E145D" w:themeColor="text1"/>
          <w:bottom w:val="single" w:sz="4" w:space="0" w:color="0E145D" w:themeColor="text1"/>
          <w:right w:val="single" w:sz="4" w:space="0" w:color="0E145D" w:themeColor="text1"/>
          <w:insideH w:val="nil"/>
          <w:insideV w:val="nil"/>
        </w:tcBorders>
        <w:shd w:val="clear" w:color="auto" w:fill="0E145D" w:themeFill="text1"/>
      </w:tcPr>
    </w:tblStylePr>
    <w:tblStylePr w:type="lastRow">
      <w:rPr>
        <w:b/>
        <w:bCs/>
      </w:rPr>
      <w:tblPr/>
      <w:tcPr>
        <w:tcBorders>
          <w:top w:val="double" w:sz="4" w:space="0" w:color="0E145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DF4" w:themeFill="text1" w:themeFillTint="33"/>
      </w:tcPr>
    </w:tblStylePr>
    <w:tblStylePr w:type="band1Horz">
      <w:tblPr/>
      <w:tcPr>
        <w:shd w:val="clear" w:color="auto" w:fill="B8BDF4" w:themeFill="text1" w:themeFillTint="33"/>
      </w:tcPr>
    </w:tblStylePr>
  </w:style>
  <w:style w:type="table" w:customStyle="1" w:styleId="8">
    <w:name w:val="8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CDD5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CDD5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CDD5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CDD55"/>
      </w:tcPr>
    </w:tblStylePr>
    <w:tblStylePr w:type="band1Vert">
      <w:tblPr/>
      <w:tcPr>
        <w:shd w:val="clear" w:color="auto" w:fill="E4F1BB"/>
      </w:tcPr>
    </w:tblStylePr>
    <w:tblStylePr w:type="band1Horz">
      <w:tblPr/>
      <w:tcPr>
        <w:shd w:val="clear" w:color="auto" w:fill="E4F1BB"/>
      </w:tcPr>
    </w:tblStylePr>
  </w:style>
  <w:style w:type="table" w:customStyle="1" w:styleId="7">
    <w:name w:val="7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FB3F8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FB3F8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FB3F8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FB3F8"/>
      </w:tcPr>
    </w:tblStylePr>
    <w:tblStylePr w:type="band1Vert">
      <w:tblPr/>
      <w:tcPr>
        <w:shd w:val="clear" w:color="auto" w:fill="B2E0FC"/>
      </w:tcPr>
    </w:tblStylePr>
    <w:tblStylePr w:type="band1Horz">
      <w:tblPr/>
      <w:tcPr>
        <w:shd w:val="clear" w:color="auto" w:fill="B2E0FC"/>
      </w:tcPr>
    </w:tblStylePr>
  </w:style>
  <w:style w:type="table" w:customStyle="1" w:styleId="6">
    <w:name w:val="6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D4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D4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D4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D400"/>
      </w:tcPr>
    </w:tblStylePr>
    <w:tblStylePr w:type="band1Vert">
      <w:tblPr/>
      <w:tcPr>
        <w:shd w:val="clear" w:color="auto" w:fill="FFED99"/>
      </w:tcPr>
    </w:tblStylePr>
    <w:tblStylePr w:type="band1Horz">
      <w:tblPr/>
      <w:tcPr>
        <w:shd w:val="clear" w:color="auto" w:fill="FFED99"/>
      </w:tcPr>
    </w:tblStylePr>
  </w:style>
  <w:style w:type="table" w:customStyle="1" w:styleId="5">
    <w:name w:val="5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4652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4652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4652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46524"/>
      </w:tcPr>
    </w:tblStylePr>
    <w:tblStylePr w:type="band1Vert">
      <w:tblPr/>
      <w:tcPr>
        <w:shd w:val="clear" w:color="auto" w:fill="FAC1A7"/>
      </w:tcPr>
    </w:tblStylePr>
    <w:tblStylePr w:type="band1Horz">
      <w:tblPr/>
      <w:tcPr>
        <w:shd w:val="clear" w:color="auto" w:fill="FAC1A7"/>
      </w:tcPr>
    </w:tblStylePr>
  </w:style>
  <w:style w:type="table" w:customStyle="1" w:styleId="4">
    <w:name w:val="4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CE3A41"/>
          <w:left w:val="single" w:sz="4" w:space="0" w:color="CE3A41"/>
          <w:bottom w:val="single" w:sz="4" w:space="0" w:color="CE3A41"/>
          <w:right w:val="single" w:sz="4" w:space="0" w:color="CE3A41"/>
          <w:insideH w:val="nil"/>
          <w:insideV w:val="nil"/>
        </w:tcBorders>
        <w:shd w:val="clear" w:color="auto" w:fill="CE3A41"/>
      </w:tcPr>
    </w:tblStylePr>
    <w:tblStylePr w:type="lastRow">
      <w:rPr>
        <w:b/>
      </w:rPr>
      <w:tblPr/>
      <w:tcPr>
        <w:tcBorders>
          <w:top w:val="single" w:sz="4" w:space="0" w:color="CE3A4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5D7D9"/>
      </w:tcPr>
    </w:tblStylePr>
    <w:tblStylePr w:type="band1Horz">
      <w:tblPr/>
      <w:tcPr>
        <w:shd w:val="clear" w:color="auto" w:fill="F5D7D9"/>
      </w:tcPr>
    </w:tblStylePr>
  </w:style>
  <w:style w:type="table" w:customStyle="1" w:styleId="3">
    <w:name w:val="3"/>
    <w:basedOn w:val="NormalTable0"/>
    <w:pPr>
      <w:spacing w:after="0"/>
    </w:pPr>
    <w:rPr>
      <w:color w:val="0E145D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6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4652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4652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4652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46524"/>
      </w:tcPr>
    </w:tblStylePr>
    <w:tblStylePr w:type="band1Vert">
      <w:tblPr/>
      <w:tcPr>
        <w:shd w:val="clear" w:color="auto" w:fill="FAC1A7"/>
      </w:tcPr>
    </w:tblStylePr>
    <w:tblStylePr w:type="band1Horz">
      <w:tblPr/>
      <w:tcPr>
        <w:shd w:val="clear" w:color="auto" w:fill="FAC1A7"/>
      </w:tcPr>
    </w:tblStylePr>
  </w:style>
  <w:style w:type="table" w:customStyle="1" w:styleId="2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4-Accent2">
    <w:name w:val="List Table 4 Accent 2"/>
    <w:basedOn w:val="TableNormal"/>
    <w:uiPriority w:val="49"/>
    <w:rsid w:val="00995AB4"/>
    <w:pPr>
      <w:spacing w:after="0"/>
    </w:pPr>
    <w:tblPr>
      <w:tblStyleRowBandSize w:val="1"/>
      <w:tblStyleColBandSize w:val="1"/>
      <w:tblBorders>
        <w:top w:val="single" w:sz="4" w:space="0" w:color="E1888C" w:themeColor="accent2" w:themeTint="99"/>
        <w:left w:val="single" w:sz="4" w:space="0" w:color="E1888C" w:themeColor="accent2" w:themeTint="99"/>
        <w:bottom w:val="single" w:sz="4" w:space="0" w:color="E1888C" w:themeColor="accent2" w:themeTint="99"/>
        <w:right w:val="single" w:sz="4" w:space="0" w:color="E1888C" w:themeColor="accent2" w:themeTint="99"/>
        <w:insideH w:val="single" w:sz="4" w:space="0" w:color="E188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3A41" w:themeColor="accent2"/>
          <w:left w:val="single" w:sz="4" w:space="0" w:color="CE3A41" w:themeColor="accent2"/>
          <w:bottom w:val="single" w:sz="4" w:space="0" w:color="CE3A41" w:themeColor="accent2"/>
          <w:right w:val="single" w:sz="4" w:space="0" w:color="CE3A41" w:themeColor="accent2"/>
          <w:insideH w:val="nil"/>
        </w:tcBorders>
        <w:shd w:val="clear" w:color="auto" w:fill="CE3A41" w:themeFill="accent2"/>
      </w:tcPr>
    </w:tblStylePr>
    <w:tblStylePr w:type="lastRow">
      <w:rPr>
        <w:b/>
        <w:bCs/>
      </w:rPr>
      <w:tblPr/>
      <w:tcPr>
        <w:tcBorders>
          <w:top w:val="double" w:sz="4" w:space="0" w:color="E188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7D8" w:themeFill="accent2" w:themeFillTint="33"/>
      </w:tcPr>
    </w:tblStylePr>
    <w:tblStylePr w:type="band1Horz">
      <w:tblPr/>
      <w:tcPr>
        <w:shd w:val="clear" w:color="auto" w:fill="F5D7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995AB4"/>
    <w:pPr>
      <w:spacing w:after="0"/>
    </w:pPr>
    <w:tblPr>
      <w:tblStyleRowBandSize w:val="1"/>
      <w:tblStyleColBandSize w:val="1"/>
      <w:tblBorders>
        <w:top w:val="single" w:sz="4" w:space="0" w:color="CE3A41" w:themeColor="accent2"/>
        <w:left w:val="single" w:sz="4" w:space="0" w:color="CE3A41" w:themeColor="accent2"/>
        <w:bottom w:val="single" w:sz="4" w:space="0" w:color="CE3A41" w:themeColor="accent2"/>
        <w:right w:val="single" w:sz="4" w:space="0" w:color="CE3A4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3A41" w:themeFill="accent2"/>
      </w:tcPr>
    </w:tblStylePr>
    <w:tblStylePr w:type="lastRow">
      <w:rPr>
        <w:b/>
        <w:bCs/>
      </w:rPr>
      <w:tblPr/>
      <w:tcPr>
        <w:tcBorders>
          <w:top w:val="double" w:sz="4" w:space="0" w:color="CE3A4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3A41" w:themeColor="accent2"/>
          <w:right w:val="single" w:sz="4" w:space="0" w:color="CE3A41" w:themeColor="accent2"/>
        </w:tcBorders>
      </w:tcPr>
    </w:tblStylePr>
    <w:tblStylePr w:type="band1Horz">
      <w:tblPr/>
      <w:tcPr>
        <w:tcBorders>
          <w:top w:val="single" w:sz="4" w:space="0" w:color="CE3A41" w:themeColor="accent2"/>
          <w:bottom w:val="single" w:sz="4" w:space="0" w:color="CE3A4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3A41" w:themeColor="accent2"/>
          <w:left w:val="nil"/>
        </w:tcBorders>
      </w:tcPr>
    </w:tblStylePr>
    <w:tblStylePr w:type="swCell">
      <w:tblPr/>
      <w:tcPr>
        <w:tcBorders>
          <w:top w:val="double" w:sz="4" w:space="0" w:color="CE3A41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995AB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7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3A4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3A4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3A4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3A41" w:themeFill="accent2"/>
      </w:tcPr>
    </w:tblStylePr>
    <w:tblStylePr w:type="band1Vert">
      <w:tblPr/>
      <w:tcPr>
        <w:shd w:val="clear" w:color="auto" w:fill="EBB0B2" w:themeFill="accent2" w:themeFillTint="66"/>
      </w:tcPr>
    </w:tblStylePr>
    <w:tblStylePr w:type="band1Horz">
      <w:tblPr/>
      <w:tcPr>
        <w:shd w:val="clear" w:color="auto" w:fill="EBB0B2" w:themeFill="accent2" w:themeFillTint="66"/>
      </w:tcPr>
    </w:tblStylePr>
  </w:style>
  <w:style w:type="table" w:styleId="ListTable4">
    <w:name w:val="List Table 4"/>
    <w:basedOn w:val="TableNormal"/>
    <w:uiPriority w:val="49"/>
    <w:rsid w:val="00995AB4"/>
    <w:pPr>
      <w:spacing w:after="0"/>
    </w:pPr>
    <w:tblPr>
      <w:tblStyleRowBandSize w:val="1"/>
      <w:tblStyleCol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E145D" w:themeColor="text1"/>
          <w:left w:val="single" w:sz="4" w:space="0" w:color="0E145D" w:themeColor="text1"/>
          <w:bottom w:val="single" w:sz="4" w:space="0" w:color="0E145D" w:themeColor="text1"/>
          <w:right w:val="single" w:sz="4" w:space="0" w:color="0E145D" w:themeColor="text1"/>
          <w:insideH w:val="nil"/>
        </w:tcBorders>
        <w:shd w:val="clear" w:color="auto" w:fill="0E145D" w:themeFill="text1"/>
      </w:tcPr>
    </w:tblStylePr>
    <w:tblStylePr w:type="lastRow">
      <w:rPr>
        <w:b/>
        <w:bCs/>
      </w:rPr>
      <w:tblPr/>
      <w:tcPr>
        <w:tcBorders>
          <w:top w:val="double" w:sz="4" w:space="0" w:color="2C39D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DF4" w:themeFill="text1" w:themeFillTint="33"/>
      </w:tcPr>
    </w:tblStylePr>
    <w:tblStylePr w:type="band1Horz">
      <w:tblPr/>
      <w:tcPr>
        <w:shd w:val="clear" w:color="auto" w:fill="B8BDF4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1B0225"/>
    <w:pPr>
      <w:spacing w:after="0"/>
    </w:pPr>
    <w:tblPr>
      <w:tblStyleRowBandSize w:val="1"/>
      <w:tblStyleColBandSize w:val="1"/>
      <w:tblBorders>
        <w:top w:val="single" w:sz="4" w:space="0" w:color="FFED99" w:themeColor="accent3" w:themeTint="66"/>
        <w:left w:val="single" w:sz="4" w:space="0" w:color="FFED99" w:themeColor="accent3" w:themeTint="66"/>
        <w:bottom w:val="single" w:sz="4" w:space="0" w:color="FFED99" w:themeColor="accent3" w:themeTint="66"/>
        <w:right w:val="single" w:sz="4" w:space="0" w:color="FFED99" w:themeColor="accent3" w:themeTint="66"/>
        <w:insideH w:val="single" w:sz="4" w:space="0" w:color="FFED99" w:themeColor="accent3" w:themeTint="66"/>
        <w:insideV w:val="single" w:sz="4" w:space="0" w:color="FFED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5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5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B0225"/>
    <w:pPr>
      <w:spacing w:after="0"/>
    </w:pPr>
    <w:tblPr>
      <w:tblStyleRowBandSize w:val="1"/>
      <w:tblStyleColBandSize w:val="1"/>
      <w:tblBorders>
        <w:top w:val="single" w:sz="4" w:space="0" w:color="EBB0B2" w:themeColor="accent2" w:themeTint="66"/>
        <w:left w:val="single" w:sz="4" w:space="0" w:color="EBB0B2" w:themeColor="accent2" w:themeTint="66"/>
        <w:bottom w:val="single" w:sz="4" w:space="0" w:color="EBB0B2" w:themeColor="accent2" w:themeTint="66"/>
        <w:right w:val="single" w:sz="4" w:space="0" w:color="EBB0B2" w:themeColor="accent2" w:themeTint="66"/>
        <w:insideH w:val="single" w:sz="4" w:space="0" w:color="EBB0B2" w:themeColor="accent2" w:themeTint="66"/>
        <w:insideV w:val="single" w:sz="4" w:space="0" w:color="EBB0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188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8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paceSUITE1">
    <w:name w:val="SpaceSUITE1"/>
    <w:uiPriority w:val="99"/>
    <w:rsid w:val="0082033B"/>
    <w:pPr>
      <w:numPr>
        <w:numId w:val="1"/>
      </w:numPr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846A6"/>
    <w:pPr>
      <w:spacing w:after="0"/>
      <w:ind w:left="220" w:hanging="220"/>
    </w:pPr>
  </w:style>
  <w:style w:type="paragraph" w:customStyle="1" w:styleId="Paragraph-Linkvit">
    <w:name w:val="Paragraph - Linkvit"/>
    <w:basedOn w:val="Normal"/>
    <w:link w:val="Paragraph-LinkvitCarattere"/>
    <w:uiPriority w:val="99"/>
    <w:qFormat/>
    <w:rsid w:val="00EF4E4A"/>
    <w:pPr>
      <w:suppressAutoHyphens/>
      <w:spacing w:after="200" w:line="360" w:lineRule="auto"/>
      <w:jc w:val="left"/>
    </w:pPr>
    <w:rPr>
      <w:rFonts w:ascii="Arial" w:eastAsia="Times New Roman" w:hAnsi="Arial" w:cs="Times New Roman"/>
      <w:color w:val="auto"/>
      <w:lang w:eastAsia="ar-SA"/>
    </w:rPr>
  </w:style>
  <w:style w:type="character" w:customStyle="1" w:styleId="Paragraph-LinkvitCarattere">
    <w:name w:val="Paragraph - Linkvit Carattere"/>
    <w:link w:val="Paragraph-Linkvit"/>
    <w:uiPriority w:val="99"/>
    <w:rsid w:val="00EF4E4A"/>
    <w:rPr>
      <w:rFonts w:ascii="Arial" w:eastAsia="Times New Roman" w:hAnsi="Arial" w:cs="Times New Roman"/>
      <w:color w:val="auto"/>
      <w:lang w:val="en-GB" w:eastAsia="ar-SA"/>
    </w:rPr>
  </w:style>
  <w:style w:type="paragraph" w:customStyle="1" w:styleId="Titolo2Linkvit">
    <w:name w:val="Titolo 2 Linkvit"/>
    <w:basedOn w:val="Heading2"/>
    <w:qFormat/>
    <w:rsid w:val="003E5AB5"/>
    <w:pPr>
      <w:keepNext w:val="0"/>
      <w:keepLines w:val="0"/>
      <w:numPr>
        <w:ilvl w:val="0"/>
      </w:numPr>
      <w:suppressAutoHyphens/>
      <w:spacing w:before="480" w:after="360" w:line="276" w:lineRule="auto"/>
      <w:ind w:left="792" w:hanging="432"/>
    </w:pPr>
    <w:rPr>
      <w:rFonts w:ascii="Cambria" w:eastAsia="Times New Roman" w:hAnsi="Cambria" w:cs="Arial"/>
      <w:b/>
      <w:bCs/>
      <w:i/>
      <w:color w:val="auto"/>
      <w:sz w:val="28"/>
      <w:szCs w:val="24"/>
      <w:lang w:eastAsia="ar-SA"/>
    </w:rPr>
  </w:style>
  <w:style w:type="paragraph" w:customStyle="1" w:styleId="Titolo1EO4GEO">
    <w:name w:val="Titolo 1 EO4GEO"/>
    <w:basedOn w:val="Titolo2Linkvit"/>
    <w:qFormat/>
    <w:rsid w:val="003E5AB5"/>
    <w:pPr>
      <w:ind w:left="360" w:hanging="360"/>
    </w:pPr>
    <w:rPr>
      <w:rFonts w:ascii="Arial" w:hAnsi="Arial"/>
    </w:rPr>
  </w:style>
  <w:style w:type="paragraph" w:customStyle="1" w:styleId="Titolo2EO4GEO">
    <w:name w:val="Titolo 2 EO4GEO"/>
    <w:basedOn w:val="Titolo2Linkvit"/>
    <w:link w:val="Titolo2EO4GEOCarattere"/>
    <w:qFormat/>
    <w:rsid w:val="003E5AB5"/>
    <w:pPr>
      <w:ind w:left="0" w:firstLine="0"/>
    </w:pPr>
    <w:rPr>
      <w:rFonts w:ascii="Arial" w:hAnsi="Arial"/>
    </w:rPr>
  </w:style>
  <w:style w:type="character" w:customStyle="1" w:styleId="Titolo2EO4GEOCarattere">
    <w:name w:val="Titolo 2 EO4GEO Carattere"/>
    <w:link w:val="Titolo2EO4GEO"/>
    <w:rsid w:val="003E5AB5"/>
    <w:rPr>
      <w:rFonts w:ascii="Arial" w:eastAsia="Times New Roman" w:hAnsi="Arial" w:cs="Arial"/>
      <w:b/>
      <w:bCs/>
      <w:i/>
      <w:color w:val="auto"/>
      <w:sz w:val="28"/>
      <w:szCs w:val="24"/>
      <w:lang w:val="en-GB" w:eastAsia="ar-SA"/>
    </w:rPr>
  </w:style>
  <w:style w:type="character" w:customStyle="1" w:styleId="font111">
    <w:name w:val="font111"/>
    <w:basedOn w:val="DefaultParagraphFont"/>
    <w:rsid w:val="009E391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21">
    <w:name w:val="font121"/>
    <w:basedOn w:val="DefaultParagraphFont"/>
    <w:rsid w:val="009E3915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cxw143656001">
    <w:name w:val="scxw143656001"/>
    <w:basedOn w:val="DefaultParagraphFont"/>
    <w:rsid w:val="00A7442E"/>
  </w:style>
  <w:style w:type="character" w:styleId="FootnoteReference">
    <w:name w:val="footnote reference"/>
    <w:basedOn w:val="DefaultParagraphFont"/>
    <w:uiPriority w:val="99"/>
    <w:semiHidden/>
    <w:unhideWhenUsed/>
    <w:rsid w:val="00C33045"/>
    <w:rPr>
      <w:vertAlign w:val="superscript"/>
    </w:rPr>
  </w:style>
  <w:style w:type="paragraph" w:styleId="PlainText">
    <w:name w:val="Plain Text"/>
    <w:basedOn w:val="Normal"/>
    <w:link w:val="PlainTextChar"/>
    <w:uiPriority w:val="99"/>
    <w:rsid w:val="00C33045"/>
    <w:pPr>
      <w:spacing w:before="100" w:beforeAutospacing="1" w:after="100" w:afterAutospacing="1"/>
      <w:jc w:val="left"/>
    </w:pPr>
    <w:rPr>
      <w:rFonts w:ascii="Times New Roman" w:eastAsia="MS Mincho" w:hAnsi="Times New Roman" w:cs="Times New Roman"/>
      <w:color w:val="auto"/>
      <w:sz w:val="24"/>
      <w:szCs w:val="24"/>
      <w:lang w:val="it-IT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C33045"/>
    <w:rPr>
      <w:rFonts w:ascii="Times New Roman" w:eastAsia="MS Mincho" w:hAnsi="Times New Roman" w:cs="Times New Roman"/>
      <w:color w:val="auto"/>
      <w:sz w:val="24"/>
      <w:szCs w:val="24"/>
      <w:lang w:val="it-IT" w:eastAsia="ja-JP"/>
    </w:rPr>
  </w:style>
  <w:style w:type="table" w:styleId="PlainTable3">
    <w:name w:val="Plain Table 3"/>
    <w:basedOn w:val="TableNormal"/>
    <w:uiPriority w:val="43"/>
    <w:rsid w:val="00C330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F5AE4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F5AE4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33045"/>
    <w:pPr>
      <w:spacing w:after="0"/>
    </w:pPr>
    <w:tblPr>
      <w:tblStyleRowBandSize w:val="1"/>
      <w:tblStyleColBandSize w:val="1"/>
      <w:tblBorders>
        <w:top w:val="single" w:sz="4" w:space="0" w:color="2C39DF" w:themeColor="text1" w:themeTint="99"/>
        <w:left w:val="single" w:sz="4" w:space="0" w:color="2C39DF" w:themeColor="text1" w:themeTint="99"/>
        <w:bottom w:val="single" w:sz="4" w:space="0" w:color="2C39DF" w:themeColor="text1" w:themeTint="99"/>
        <w:right w:val="single" w:sz="4" w:space="0" w:color="2C39DF" w:themeColor="text1" w:themeTint="99"/>
        <w:insideH w:val="single" w:sz="4" w:space="0" w:color="2C39DF" w:themeColor="text1" w:themeTint="99"/>
        <w:insideV w:val="single" w:sz="4" w:space="0" w:color="2C39D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BDF4" w:themeFill="text1" w:themeFillTint="33"/>
      </w:tcPr>
    </w:tblStylePr>
    <w:tblStylePr w:type="band1Horz">
      <w:tblPr/>
      <w:tcPr>
        <w:shd w:val="clear" w:color="auto" w:fill="B8BDF4" w:themeFill="text1" w:themeFillTint="33"/>
      </w:tcPr>
    </w:tblStylePr>
    <w:tblStylePr w:type="neCell">
      <w:tblPr/>
      <w:tcPr>
        <w:tcBorders>
          <w:bottom w:val="single" w:sz="4" w:space="0" w:color="2C39DF" w:themeColor="text1" w:themeTint="99"/>
        </w:tcBorders>
      </w:tcPr>
    </w:tblStylePr>
    <w:tblStylePr w:type="nwCell">
      <w:tblPr/>
      <w:tcPr>
        <w:tcBorders>
          <w:bottom w:val="single" w:sz="4" w:space="0" w:color="2C39DF" w:themeColor="text1" w:themeTint="99"/>
        </w:tcBorders>
      </w:tcPr>
    </w:tblStylePr>
    <w:tblStylePr w:type="seCell">
      <w:tblPr/>
      <w:tcPr>
        <w:tcBorders>
          <w:top w:val="single" w:sz="4" w:space="0" w:color="2C39DF" w:themeColor="text1" w:themeTint="99"/>
        </w:tcBorders>
      </w:tcPr>
    </w:tblStylePr>
    <w:tblStylePr w:type="swCell">
      <w:tblPr/>
      <w:tcPr>
        <w:tcBorders>
          <w:top w:val="single" w:sz="4" w:space="0" w:color="2C39DF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C33045"/>
    <w:pPr>
      <w:spacing w:after="0"/>
    </w:pPr>
    <w:tblPr>
      <w:tblStyleRowBandSize w:val="1"/>
      <w:tblStyleColBandSize w:val="1"/>
      <w:tblBorders>
        <w:top w:val="single" w:sz="4" w:space="0" w:color="B2E0FC" w:themeColor="accent1" w:themeTint="66"/>
        <w:left w:val="single" w:sz="4" w:space="0" w:color="B2E0FC" w:themeColor="accent1" w:themeTint="66"/>
        <w:bottom w:val="single" w:sz="4" w:space="0" w:color="B2E0FC" w:themeColor="accent1" w:themeTint="66"/>
        <w:right w:val="single" w:sz="4" w:space="0" w:color="B2E0FC" w:themeColor="accent1" w:themeTint="66"/>
        <w:insideH w:val="single" w:sz="4" w:space="0" w:color="B2E0FC" w:themeColor="accent1" w:themeTint="66"/>
        <w:insideV w:val="single" w:sz="4" w:space="0" w:color="B2E0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D0F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D0F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33045"/>
    <w:pPr>
      <w:spacing w:after="0"/>
    </w:pPr>
    <w:tblPr>
      <w:tblStyleRowBandSize w:val="1"/>
      <w:tblStyleColBandSize w:val="1"/>
      <w:tblBorders>
        <w:top w:val="single" w:sz="4" w:space="0" w:color="727BEA" w:themeColor="text1" w:themeTint="66"/>
        <w:left w:val="single" w:sz="4" w:space="0" w:color="727BEA" w:themeColor="text1" w:themeTint="66"/>
        <w:bottom w:val="single" w:sz="4" w:space="0" w:color="727BEA" w:themeColor="text1" w:themeTint="66"/>
        <w:right w:val="single" w:sz="4" w:space="0" w:color="727BEA" w:themeColor="text1" w:themeTint="66"/>
        <w:insideH w:val="single" w:sz="4" w:space="0" w:color="727BEA" w:themeColor="text1" w:themeTint="66"/>
        <w:insideV w:val="single" w:sz="4" w:space="0" w:color="727BE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C39D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39D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93ACD"/>
    <w:pPr>
      <w:spacing w:after="0"/>
    </w:pPr>
    <w:tblPr>
      <w:tblStyleRowBandSize w:val="1"/>
      <w:tblStyleColBandSize w:val="1"/>
      <w:tblBorders>
        <w:top w:val="single" w:sz="4" w:space="0" w:color="4F5AE4" w:themeColor="text1" w:themeTint="80"/>
        <w:bottom w:val="single" w:sz="4" w:space="0" w:color="4F5AE4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F5AE4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F5AE4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F5AE4" w:themeColor="text1" w:themeTint="80"/>
          <w:right w:val="single" w:sz="4" w:space="0" w:color="4F5AE4" w:themeColor="text1" w:themeTint="80"/>
        </w:tcBorders>
      </w:tcPr>
    </w:tblStylePr>
    <w:tblStylePr w:type="band2Vert">
      <w:tblPr/>
      <w:tcPr>
        <w:tcBorders>
          <w:left w:val="single" w:sz="4" w:space="0" w:color="4F5AE4" w:themeColor="text1" w:themeTint="80"/>
          <w:right w:val="single" w:sz="4" w:space="0" w:color="4F5AE4" w:themeColor="text1" w:themeTint="80"/>
        </w:tcBorders>
      </w:tcPr>
    </w:tblStylePr>
    <w:tblStylePr w:type="band1Horz">
      <w:tblPr/>
      <w:tcPr>
        <w:tcBorders>
          <w:top w:val="single" w:sz="4" w:space="0" w:color="4F5AE4" w:themeColor="text1" w:themeTint="80"/>
          <w:bottom w:val="single" w:sz="4" w:space="0" w:color="4F5AE4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916937"/>
    <w:pPr>
      <w:spacing w:after="0"/>
    </w:pPr>
    <w:tblPr>
      <w:tblStyleRowBandSize w:val="1"/>
      <w:tblStyleColBandSize w:val="1"/>
      <w:tblBorders>
        <w:top w:val="single" w:sz="2" w:space="0" w:color="E1888C" w:themeColor="accent2" w:themeTint="99"/>
        <w:bottom w:val="single" w:sz="2" w:space="0" w:color="E1888C" w:themeColor="accent2" w:themeTint="99"/>
        <w:insideH w:val="single" w:sz="2" w:space="0" w:color="E1888C" w:themeColor="accent2" w:themeTint="99"/>
        <w:insideV w:val="single" w:sz="2" w:space="0" w:color="E188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8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8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7D8" w:themeFill="accent2" w:themeFillTint="33"/>
      </w:tcPr>
    </w:tblStylePr>
    <w:tblStylePr w:type="band1Horz">
      <w:tblPr/>
      <w:tcPr>
        <w:shd w:val="clear" w:color="auto" w:fill="F5D7D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555F0"/>
    <w:rPr>
      <w:color w:val="3FB3F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SpaceSUITE">
      <a:dk1>
        <a:srgbClr val="0E145D"/>
      </a:dk1>
      <a:lt1>
        <a:sysClr val="window" lastClr="FFFFFF"/>
      </a:lt1>
      <a:dk2>
        <a:srgbClr val="0E145D"/>
      </a:dk2>
      <a:lt2>
        <a:srgbClr val="FFFFFF"/>
      </a:lt2>
      <a:accent1>
        <a:srgbClr val="3FB3F8"/>
      </a:accent1>
      <a:accent2>
        <a:srgbClr val="CE3A41"/>
      </a:accent2>
      <a:accent3>
        <a:srgbClr val="FFD400"/>
      </a:accent3>
      <a:accent4>
        <a:srgbClr val="BCDD55"/>
      </a:accent4>
      <a:accent5>
        <a:srgbClr val="F46524"/>
      </a:accent5>
      <a:accent6>
        <a:srgbClr val="3FB3F8"/>
      </a:accent6>
      <a:hlink>
        <a:srgbClr val="0E145D"/>
      </a:hlink>
      <a:folHlink>
        <a:srgbClr val="3FB3F8"/>
      </a:folHlink>
    </a:clrScheme>
    <a:fontScheme name="SpaceSUITE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x1wweN5jn17jcPnn+5+d4tT/Q==">CgMxLjAyCGguZ2pkZ3hzMgloLjMwajB6bGwyCWguMWZvYjl0ZTIJaC4zem55c2g3OAByITF5aElOVy1ERkJTUlF4UUkxd09fMkZWR0dBd0paSjMzUQ==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019a16-df2a-4af0-88e4-4d39dfd5c588">
      <Terms xmlns="http://schemas.microsoft.com/office/infopath/2007/PartnerControls"/>
    </lcf76f155ced4ddcb4097134ff3c332f>
    <TaxCatchAll xmlns="e1e6af4f-30a2-4124-bed1-45dd3999ef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99CC53A2E34D44AA276B71E1FE85AD" ma:contentTypeVersion="15" ma:contentTypeDescription="Creare un nuovo documento." ma:contentTypeScope="" ma:versionID="0e8fbc92c4ed9c0fd7fe42a1f8895ec7">
  <xsd:schema xmlns:xsd="http://www.w3.org/2001/XMLSchema" xmlns:xs="http://www.w3.org/2001/XMLSchema" xmlns:p="http://schemas.microsoft.com/office/2006/metadata/properties" xmlns:ns2="dd019a16-df2a-4af0-88e4-4d39dfd5c588" xmlns:ns3="e1e6af4f-30a2-4124-bed1-45dd3999ef10" targetNamespace="http://schemas.microsoft.com/office/2006/metadata/properties" ma:root="true" ma:fieldsID="eb2a40596ae26507f361a43648284fd4" ns2:_="" ns3:_="">
    <xsd:import namespace="dd019a16-df2a-4af0-88e4-4d39dfd5c588"/>
    <xsd:import namespace="e1e6af4f-30a2-4124-bed1-45dd3999e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19a16-df2a-4af0-88e4-4d39dfd5c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f284692d-b93e-4877-af4a-7d75ab3bd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af4f-30a2-4124-bed1-45dd3999ef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635e8e-248a-45f8-ac67-0548c8930a6f}" ma:internalName="TaxCatchAll" ma:showField="CatchAllData" ma:web="e1e6af4f-30a2-4124-bed1-45dd3999ef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9E3E99-7DA1-484A-8B59-C50D3CF12F61}">
  <ds:schemaRefs>
    <ds:schemaRef ds:uri="http://schemas.microsoft.com/office/2006/metadata/properties"/>
    <ds:schemaRef ds:uri="http://schemas.microsoft.com/office/infopath/2007/PartnerControls"/>
    <ds:schemaRef ds:uri="dd019a16-df2a-4af0-88e4-4d39dfd5c588"/>
    <ds:schemaRef ds:uri="e1e6af4f-30a2-4124-bed1-45dd3999ef10"/>
  </ds:schemaRefs>
</ds:datastoreItem>
</file>

<file path=customXml/itemProps3.xml><?xml version="1.0" encoding="utf-8"?>
<ds:datastoreItem xmlns:ds="http://schemas.openxmlformats.org/officeDocument/2006/customXml" ds:itemID="{02F7C622-4137-446C-ABA2-4F93863EB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20164-117F-437E-82C2-A0B9BB8FF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19a16-df2a-4af0-88e4-4d39dfd5c588"/>
    <ds:schemaRef ds:uri="e1e6af4f-30a2-4124-bed1-45dd3999e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8AFD80-AEFD-4FB7-B772-26F3EF8E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Anais Guy</dc:creator>
  <cp:lastModifiedBy>angela.aragon</cp:lastModifiedBy>
  <cp:revision>21</cp:revision>
  <cp:lastPrinted>2024-10-07T09:59:00Z</cp:lastPrinted>
  <dcterms:created xsi:type="dcterms:W3CDTF">2024-10-07T10:21:00Z</dcterms:created>
  <dcterms:modified xsi:type="dcterms:W3CDTF">2024-12-17T13:59:00Z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0x010100C899CC53A2E34D44AA276B71E1FE85AD</vt:lpwstr>
  </property>
  <property fmtid="{D5CDD505-2E9C-101B-9397-08002B2CF9AE}" pid="3" name="MediaServiceImageTags">
    <vt:lpwstr/>
  </property>
</Properties>
</file>