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8"/>
          <w:szCs w:val="48"/>
          <w:rtl w:val="0"/>
        </w:rPr>
        <w:t xml:space="preserve">НГУ и НСПК</w:t>
      </w:r>
    </w:p>
    <w:p w:rsidR="00000000" w:rsidDel="00000000" w:rsidP="00000000" w:rsidRDefault="00000000" w:rsidRPr="00000000" w14:paraId="00000002">
      <w:pPr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Экономический факультет (ЭФ)</w:t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b w:val="1"/>
          <w:bCs w:val="1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6"/>
          <w:szCs w:val="36"/>
          <w:rtl w:val="0"/>
        </w:rPr>
        <w:t xml:space="preserve">Разработка концепции сервиса «КлирЧек»</w:t>
      </w:r>
    </w:p>
    <w:p w:rsidR="00000000" w:rsidDel="00000000" w:rsidP="00000000" w:rsidRDefault="00000000" w:rsidRPr="00000000" w14:paraId="00000004">
      <w:pPr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Денисенко София Витальевна</w:t>
      </w:r>
    </w:p>
    <w:p w:rsidR="00000000" w:rsidDel="00000000" w:rsidP="00000000" w:rsidRDefault="00000000" w:rsidRPr="00000000" w14:paraId="00000005">
      <w:pPr>
        <w:jc w:val="center"/>
        <w:rPr>
          <w:rFonts w:ascii="Arial Narrow" w:cs="Arial Narrow" w:eastAsia="Arial Narrow" w:hAnsi="Arial Narro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 Narrow" w:cs="Arial Narrow" w:eastAsia="Arial Narrow" w:hAnsi="Arial Narro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 Narrow" w:cs="Arial Narrow" w:eastAsia="Arial Narrow" w:hAnsi="Arial Narro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 Narrow" w:cs="Arial Narrow" w:eastAsia="Arial Narrow" w:hAnsi="Arial Narro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 Narrow" w:cs="Arial Narrow" w:eastAsia="Arial Narrow" w:hAnsi="Arial Narro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 Narrow" w:cs="Arial Narrow" w:eastAsia="Arial Narrow" w:hAnsi="Arial Narro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8"/>
          <w:szCs w:val="48"/>
          <w:rtl w:val="0"/>
        </w:rPr>
        <w:t xml:space="preserve">«КлирЧек»</w:t>
      </w:r>
    </w:p>
    <w:p w:rsidR="00000000" w:rsidDel="00000000" w:rsidP="00000000" w:rsidRDefault="00000000" w:rsidRPr="00000000" w14:paraId="0000000E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 Narrow" w:cs="Arial Narrow" w:eastAsia="Arial Narrow" w:hAnsi="Arial Narrow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Аннотация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Разработана концепция оверлейного сервиса КлирЧек, предлагающего автоматический контроль целевой покупки как в корпоративных, так и в бытовых сценариях. Сервис реализует механизм запроса оплаты товаров со счета финансирующего лица после успешной сверки заданных условий (сметы/списка товаров) с предварительным чеком приобретаемых товаров. 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Внедрение сервиса позволит автоматизировать и упростить процесс контроля целевой покупки, повысить доверие в целевом финансировании и минимизировать риски финансовых потерь из-за нецелевого расходования.</w:t>
      </w:r>
    </w:p>
    <w:p w:rsidR="00000000" w:rsidDel="00000000" w:rsidP="00000000" w:rsidRDefault="00000000" w:rsidRPr="00000000" w14:paraId="0000001B">
      <w:pPr>
        <w:spacing w:after="0" w:lineRule="auto"/>
        <w:ind w:firstLine="709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Механизм работы КлирЧек разработан для платежных транзакций Системы быстрых платежей (СБП). Концепция сервиса включает интеграцию с сервисом СБПэй для привязки счетов пользователей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для использования в закупках по утверждённой смете и оплаты, интеграцию с системой маркировки товаров «Честный знак» для сбора данных о товарах, используемых в составлении смет и сверке. На данный момент к системе «Честный знак» подключено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1 004 928 юр. лиц и ИП [1]. Для взаимодействий с контрагентами будут применяться API и SDK технологии. Целевая покупка будет осуществляться при помощи предоставления на кассе ТСП QR-кода, по данным из которого идентифицируется смета и передается предварительный чек. КлирЧек формирует собственную рыночную нишу на пересечении финтех-сервисов, кассовой инфраструктуры и товарной прослеживаемости. Система позволит решить проблему ручного контроля закупки, обработки и хранения чеков (документов, подтверждающих покупку), исключить человеческий фактор контроля целевых покупок. 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Анализ аналогов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Основными конкурентами, чьи предложения частично закрывают функционал КлирЧек, являются: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Интернет-магазины, в которых возможно составление корзины и оплата, однако отсутствует автоматизация контроля, прозрачность оплаты нужных товаров.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«Сметтер» – сервис для составления смет и хранения чеков в строительной сфере,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«Мои чеки онлайн» – сервис по получению электронных чеков,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«1С: Сканер чеков» – сервис для автоматизации сканирования и сохранения чеков,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Коммерческие банки, предлагающие корпоративные карты – упрощается контроль, но остается необходимость обработки чеков и трат, отсутствует прозрачное направление средств.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Arial Narrow" w:cs="Arial Narrow" w:eastAsia="Arial Narrow" w:hAnsi="Arial Narrow"/>
        </w:rPr>
      </w:pPr>
      <w:bookmarkStart w:colFirst="0" w:colLast="0" w:name="_heading=h.57p6v155xu6b" w:id="0"/>
      <w:bookmarkEnd w:id="0"/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Конкурентные преимущества КлирЧек заключаются в исключении нецелевого расходования средств, снятия с исполнителя ответственности за денежные средства Плательщика и гарантии приобретения только согласованных товаров. Предоставляемые продукты конкурентов только фрагментарно пытаются закрыть проблему, решаемую с КлирЧек.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12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Архитектура сервиса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Коммерческие банки – обеспечивают обслуживание счетов участников и проведение платежных операций в рамках СБП.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КлирЧек – оверлейный сервис, выполняющий функции формирования смет, сверки предварительных чеков, инициирования платежей.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ОПКЦ СБП – осуществляет операционное и платежное клиринговое обслуживание операций СБП.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СБПэй – сервис, позволяющий оплачивать покупки на базе Системы быстрых платежей, обеспечивающий привязку счетов.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Торгово-сервисное предприятие – сканирует товары, формирует предварительный чек, считывает QR-код сметы и передает данные в КлирЧек.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Плательщик 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– лицо, на чьи денежные средства приобретаются товары, указывает счет и исполнителей.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Закупщик – лицо, которому была делегирована задача по целевой покупке, приобретает товары,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360"/>
        <w:jc w:val="both"/>
        <w:rPr>
          <w:rFonts w:ascii="Arial Narrow" w:cs="Arial Narrow" w:eastAsia="Arial Narrow" w:hAnsi="Arial Narrow"/>
          <w:color w:val="000000"/>
        </w:rPr>
      </w:pPr>
      <w:bookmarkStart w:colFirst="0" w:colLast="0" w:name="_heading=h.bon8j07h1hg8" w:id="1"/>
      <w:bookmarkEnd w:id="1"/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Владелец бюджета – выполняет функции Закупщика, может редактировать содержание сметы.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26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Честный знак – система государственной маркировки товаров, предоставляет данные о маркированных товарах.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0" distT="0" distL="0" distR="0">
            <wp:extent cx="5940425" cy="349948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Предварительно участники целевой покупки регистрируются в КлирЧек: Закупщик указывает персональные данные или проходит авторизацию через СБПэй;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Плательщик 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регистрируется (как физическое или юридическое лицо), привязывает счет через СБПэй и добавляет Закупщиков в личный кабинет.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Система «Честный знак» при интеграции передает данные о товарах подключаемого ТСП для дальнейшего составления сметы и сверки.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Плательщик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 создает смету, указывает лимит, привязанный счёт СБП, назначает Закупщиков и определяет права редактирования сметы, а также способ согласования изменений сметы (автоматически или вручную).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Закупщик подтверждает привязку к смете. Владелец бюджета при необходимости добавляет условия сметы (товары, категории, магазин), которые согласовываются автоматически или вручную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Плательщиком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. После подтверждения в приложении формируется QR-код сметы.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Закупщик сканирует товары и QR-код сметы на кассе ТСП. ТСП определяет сценарий целевой покупки и передает в КлирЧек данные сметы, предварительного чека и точки продаж.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КлирЧек сверяет предварительный чек с условиями сметы. При выявлении несоответствий участники получают уведомления, корзина корректируется и обновлённый предварительный чек повторно передаётся в сервис.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При соответствии условий КлирЧек подтверждает корректность покупки и информирует ТСП.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Закупщик подтверждает оплату в приложении КлирЧек на основании данных предварительного чека.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КлирЧек направляет запрос на оплату в СБПэй с использованием токена счёта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Плательщика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, суммы покупки, ID ТСП и ID сметы.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СБПэй инициирует платёж через банк плательщика с данными платежа.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Платежный поток «Оплата по СБП».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Участники получают уведомления об успешном проведении платёжной операции.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ТСП подтверждает успешную оплату на кассе.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ТСП передаёт данные о выбытии товара из маркировки.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12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Области применения сервиса</w:t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Сервис может применяться в областях, где плательщиком выступает одно юридическое или физическое лицо: в сфере корпоративных закупок, строительства, ремонта помещений, вещей, финансирования мероприятий и проектов, в сфере найма работников домашними хозяйствами. По расширении применения возможны операции платежа несколькими плательщиками, тогда охват может расшириться до: сферы деятельности фондов, услуг ЖКХ/ТСЖ, закупки товаров для образовательных нужд и другие.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12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Экономическая эффективность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Финансовая модель проекта показала положительные показатели эффективности: NPV = 60 млн руб., IRR = 98%, PI = 1,5, срок окупаемости = 28 месяцев. Соотношение LTV/CAC = 4,6 подтверждает устойчивость юнит-экономики и прибыльность масштабирования. Основные риски связаны с интеграциями, регуляторными согласованиями и формированием доверия пользователей, однако их уровень учтён в ставке дисконтирования 46,2% и не превышает допустимые значения для инфраструктурных финтех-проектов.</w:t>
      </w:r>
    </w:p>
    <w:p w:rsidR="00000000" w:rsidDel="00000000" w:rsidP="00000000" w:rsidRDefault="00000000" w:rsidRPr="00000000" w14:paraId="00000048">
      <w:pPr>
        <w:spacing w:after="0" w:line="240" w:lineRule="auto"/>
        <w:ind w:firstLine="709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КлирЧек решает социально значимую задачу повышения доверия в финансовых и бытовых взаимодействиях: от контроля закупок в семьях до прозрачности корпоративных расходов. Сервис решает конкретную подтверждённую проблему сложности контроля целевых покупок, снижает вероятность мошенничества, конфликтов и финансовых потерь, делает процессы понятными и доверительными для всех сторон. Это особенно важно в жизненных ситуациях, где одна сторона вынуждена доверять другой значительные денежные средства без возможности оперативного контроля. Внедрение сервиса способствует формированию культуры прозрачных расчётов и повышению цифровой финансовой грамотности населения.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Реализация КлирЧек способствует цифровизации платёжных процессов и повышению прозрачности расчётов, развитию сервисов C2B- и B2B-платежей в рамках СБП, что также соответствует стратегической задаче развития национальной платёжной системы [2,3]. 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Онлайн мониторинг работы Государственной системы маркировки Честный ЗНАК: https://xn--80ajghhoc2aj1c8b.xn--p1ai/business/pulse/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Доклад Банка России «Основные направления развития финансового рынка Российской Федерации на 2026 год и период 2027 и 2028 годов» - Банк России 2025 г.: https://www.cbr.ru/Content/Document/File/181362/onrfr_2026_2028.pdf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Доклад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Банка России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 «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Основные направления развития национальной платежной системы на период 2025-2027 гг.» - Банк России 2024 г.</w:t>
      </w: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: https://www.nspk.ru/file/61a4e3db/strategy-2324.pdf 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Приложение СБПэй: https://sbp.nspk.ru/sbpay 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67" w:hanging="360"/>
        <w:rPr>
          <w:rFonts w:ascii="Arial Narrow" w:cs="Arial Narrow" w:eastAsia="Arial Narrow" w:hAnsi="Arial Narrow"/>
          <w:color w:val="00000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Государственная система маркировки Честный ЗНАК: https://xn--80ajghhoc2aj1c8b.xn--p1ai/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2">
    <w:lvl w:ilvl="0">
      <w:start w:val="0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7">
    <w:name w:val="heading 7"/>
    <w:link w:val="70"/>
    <w:uiPriority w:val="9"/>
    <w:semiHidden w:val="1"/>
    <w:unhideWhenUsed w:val="1"/>
    <w:qFormat w:val="1"/>
    <w:rsid w:val="00DB1E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link w:val="80"/>
    <w:uiPriority w:val="9"/>
    <w:semiHidden w:val="1"/>
    <w:unhideWhenUsed w:val="1"/>
    <w:qFormat w:val="1"/>
    <w:rsid w:val="00DB1E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link w:val="90"/>
    <w:uiPriority w:val="9"/>
    <w:semiHidden w:val="1"/>
    <w:unhideWhenUsed w:val="1"/>
    <w:qFormat w:val="1"/>
    <w:rsid w:val="00DB1E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10" w:customStyle="1">
    <w:name w:val="Заголовок 1 Знак"/>
    <w:basedOn w:val="a0"/>
    <w:uiPriority w:val="9"/>
    <w:rsid w:val="00DB1E7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uiPriority w:val="9"/>
    <w:semiHidden w:val="1"/>
    <w:rsid w:val="00DB1E7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uiPriority w:val="9"/>
    <w:semiHidden w:val="1"/>
    <w:rsid w:val="00DB1E7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uiPriority w:val="9"/>
    <w:semiHidden w:val="1"/>
    <w:rsid w:val="00DB1E7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uiPriority w:val="9"/>
    <w:semiHidden w:val="1"/>
    <w:rsid w:val="00DB1E76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uiPriority w:val="9"/>
    <w:semiHidden w:val="1"/>
    <w:rsid w:val="00DB1E76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DB1E76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DB1E76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DB1E76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uiPriority w:val="10"/>
    <w:rsid w:val="00DB1E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5" w:customStyle="1">
    <w:name w:val="Подзаголовок Знак"/>
    <w:basedOn w:val="a0"/>
    <w:uiPriority w:val="11"/>
    <w:rsid w:val="00DB1E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link w:val="22"/>
    <w:uiPriority w:val="29"/>
    <w:qFormat w:val="1"/>
    <w:rsid w:val="00DB1E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DB1E76"/>
    <w:rPr>
      <w:i w:val="1"/>
      <w:iCs w:val="1"/>
      <w:color w:val="404040" w:themeColor="text1" w:themeTint="0000BF"/>
    </w:rPr>
  </w:style>
  <w:style w:type="paragraph" w:styleId="a6">
    <w:name w:val="List Paragraph"/>
    <w:uiPriority w:val="34"/>
    <w:qFormat w:val="1"/>
    <w:rsid w:val="00DB1E76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DB1E76"/>
    <w:rPr>
      <w:i w:val="1"/>
      <w:iCs w:val="1"/>
      <w:color w:val="2f5496" w:themeColor="accent1" w:themeShade="0000BF"/>
    </w:rPr>
  </w:style>
  <w:style w:type="paragraph" w:styleId="a8">
    <w:name w:val="Intense Quote"/>
    <w:link w:val="a9"/>
    <w:uiPriority w:val="30"/>
    <w:qFormat w:val="1"/>
    <w:rsid w:val="00DB1E7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9" w:customStyle="1">
    <w:name w:val="Выделенная цитата Знак"/>
    <w:basedOn w:val="a0"/>
    <w:link w:val="a8"/>
    <w:uiPriority w:val="30"/>
    <w:rsid w:val="00DB1E76"/>
    <w:rPr>
      <w:i w:val="1"/>
      <w:iCs w:val="1"/>
      <w:color w:val="2f5496" w:themeColor="accent1" w:themeShade="0000BF"/>
    </w:rPr>
  </w:style>
  <w:style w:type="character" w:styleId="aa">
    <w:name w:val="Intense Reference"/>
    <w:basedOn w:val="a0"/>
    <w:uiPriority w:val="32"/>
    <w:qFormat w:val="1"/>
    <w:rsid w:val="00DB1E76"/>
    <w:rPr>
      <w:b w:val="1"/>
      <w:bCs w:val="1"/>
      <w:smallCaps w:val="1"/>
      <w:color w:val="2f5496" w:themeColor="accent1" w:themeShade="0000BF"/>
      <w:spacing w:val="5"/>
    </w:rPr>
  </w:style>
  <w:style w:type="character" w:styleId="ab">
    <w:name w:val="Hyperlink"/>
    <w:basedOn w:val="a0"/>
    <w:uiPriority w:val="99"/>
    <w:unhideWhenUsed w:val="1"/>
    <w:rsid w:val="00234C20"/>
    <w:rPr>
      <w:color w:val="0563c1" w:themeColor="hyperlink"/>
      <w:u w:val="single"/>
    </w:rPr>
  </w:style>
  <w:style w:type="character" w:styleId="11" w:customStyle="1">
    <w:name w:val="Неразрешенное упоминание1"/>
    <w:basedOn w:val="a0"/>
    <w:uiPriority w:val="99"/>
    <w:semiHidden w:val="1"/>
    <w:unhideWhenUsed w:val="1"/>
    <w:rsid w:val="00234C20"/>
    <w:rPr>
      <w:color w:val="605e5c"/>
      <w:shd w:color="auto" w:fill="e1dfdd" w:val="clear"/>
    </w:rPr>
  </w:style>
  <w:style w:type="character" w:styleId="ac">
    <w:name w:val="FollowedHyperlink"/>
    <w:basedOn w:val="a0"/>
    <w:uiPriority w:val="99"/>
    <w:semiHidden w:val="1"/>
    <w:unhideWhenUsed w:val="1"/>
    <w:rsid w:val="00DD7635"/>
    <w:rPr>
      <w:color w:val="954f72" w:themeColor="followedHyperlink"/>
      <w:u w:val="single"/>
    </w:rPr>
  </w:style>
  <w:style w:type="character" w:styleId="ae">
    <w:name w:val="annotation reference"/>
    <w:basedOn w:val="a0"/>
    <w:uiPriority w:val="99"/>
    <w:semiHidden w:val="1"/>
    <w:unhideWhenUsed w:val="1"/>
    <w:rsid w:val="0004031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 w:val="1"/>
    <w:unhideWhenUsed w:val="1"/>
    <w:rsid w:val="0004031F"/>
    <w:pPr>
      <w:spacing w:line="240" w:lineRule="auto"/>
    </w:pPr>
    <w:rPr>
      <w:sz w:val="20"/>
      <w:szCs w:val="20"/>
    </w:rPr>
  </w:style>
  <w:style w:type="character" w:styleId="af0" w:customStyle="1">
    <w:name w:val="Текст примечания Знак"/>
    <w:basedOn w:val="a0"/>
    <w:link w:val="af"/>
    <w:uiPriority w:val="99"/>
    <w:semiHidden w:val="1"/>
    <w:rsid w:val="0004031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 w:val="1"/>
    <w:unhideWhenUsed w:val="1"/>
    <w:rsid w:val="0004031F"/>
    <w:rPr>
      <w:b w:val="1"/>
      <w:bCs w:val="1"/>
    </w:rPr>
  </w:style>
  <w:style w:type="character" w:styleId="af2" w:customStyle="1">
    <w:name w:val="Тема примечания Знак"/>
    <w:basedOn w:val="af0"/>
    <w:link w:val="af1"/>
    <w:uiPriority w:val="99"/>
    <w:semiHidden w:val="1"/>
    <w:rsid w:val="0004031F"/>
    <w:rPr>
      <w:b w:val="1"/>
      <w:bCs w:val="1"/>
      <w:sz w:val="20"/>
      <w:szCs w:val="20"/>
    </w:rPr>
  </w:style>
  <w:style w:type="paragraph" w:styleId="af3">
    <w:name w:val="Balloon Text"/>
    <w:basedOn w:val="a"/>
    <w:link w:val="af4"/>
    <w:uiPriority w:val="99"/>
    <w:semiHidden w:val="1"/>
    <w:unhideWhenUsed w:val="1"/>
    <w:rsid w:val="0065772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f4" w:customStyle="1">
    <w:name w:val="Текст выноски Знак"/>
    <w:basedOn w:val="a0"/>
    <w:link w:val="af3"/>
    <w:uiPriority w:val="99"/>
    <w:semiHidden w:val="1"/>
    <w:rsid w:val="00657723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HkMLyBdHOAhjU/UfUm6TJEO2g==">CgMxLjAyDmguNTdwNnYxNTV4dTZiMg5oLmJvbjhqMDdoMWhnODgAciExaHRxSUxCb0FIMDlWZnhJdTZqak5wVmNsaHJONWd5NE4=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2026-02-06T17:20:00Z</dcterms:created>
  <dc:creator>Катя Сергеева</dc:creator>
</cp:coreProperties>
</file>