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1E03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</w:rPr>
        <w:t>ФУ и НСПК</w:t>
      </w:r>
    </w:p>
    <w:p w14:paraId="4D171841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Финансовый факультет (ФФ)</w:t>
      </w:r>
    </w:p>
    <w:p w14:paraId="0A0A542D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Разработка концепции сервиса «</w:t>
      </w:r>
      <w:proofErr w:type="spellStart"/>
      <w:r>
        <w:rPr>
          <w:rFonts w:ascii="Arial Narrow" w:hAnsi="Arial Narrow"/>
          <w:b/>
          <w:bCs/>
          <w:sz w:val="36"/>
          <w:szCs w:val="36"/>
        </w:rPr>
        <w:t>НоуТелл</w:t>
      </w:r>
      <w:proofErr w:type="spellEnd"/>
      <w:r>
        <w:rPr>
          <w:rFonts w:ascii="Arial Narrow" w:hAnsi="Arial Narrow"/>
          <w:b/>
          <w:bCs/>
          <w:sz w:val="36"/>
          <w:szCs w:val="36"/>
        </w:rPr>
        <w:t>»</w:t>
      </w:r>
    </w:p>
    <w:p w14:paraId="494BFEAA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Лушин Андрей Олегович</w:t>
      </w:r>
    </w:p>
    <w:p w14:paraId="0375A211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52D725A4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22CBD8A6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01432A81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08C2544F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22290C15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1BC13525" w14:textId="77777777" w:rsidR="00614A3D" w:rsidRDefault="00000000">
      <w:pPr>
        <w:pStyle w:val="a5"/>
        <w:spacing w:line="240" w:lineRule="auto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39CF99E2" w14:textId="77777777" w:rsidR="004F39A7" w:rsidRDefault="004F39A7">
      <w:pPr>
        <w:pStyle w:val="a5"/>
        <w:spacing w:line="240" w:lineRule="auto"/>
        <w:jc w:val="center"/>
        <w:rPr>
          <w:rFonts w:ascii="Arial Narrow" w:hAnsi="Arial Narrow"/>
          <w:b/>
          <w:bCs/>
        </w:rPr>
      </w:pPr>
    </w:p>
    <w:p w14:paraId="3802B9D6" w14:textId="77777777" w:rsidR="004F39A7" w:rsidRDefault="004F39A7">
      <w:pPr>
        <w:pStyle w:val="a5"/>
        <w:spacing w:line="240" w:lineRule="auto"/>
        <w:jc w:val="center"/>
        <w:rPr>
          <w:rFonts w:ascii="Arial Narrow" w:hAnsi="Arial Narrow"/>
          <w:b/>
          <w:bCs/>
        </w:rPr>
      </w:pPr>
    </w:p>
    <w:p w14:paraId="29CC7D44" w14:textId="77777777" w:rsidR="004F39A7" w:rsidRDefault="004F39A7">
      <w:pPr>
        <w:pStyle w:val="a5"/>
        <w:spacing w:line="240" w:lineRule="auto"/>
        <w:jc w:val="center"/>
        <w:rPr>
          <w:rFonts w:ascii="Arial Narrow" w:hAnsi="Arial Narrow"/>
          <w:b/>
          <w:bCs/>
        </w:rPr>
      </w:pPr>
    </w:p>
    <w:p w14:paraId="6A3DF3E4" w14:textId="77777777" w:rsidR="004F39A7" w:rsidRDefault="004F39A7">
      <w:pPr>
        <w:pStyle w:val="a5"/>
        <w:spacing w:line="240" w:lineRule="auto"/>
        <w:jc w:val="center"/>
        <w:rPr>
          <w:rFonts w:ascii="Arial Narrow" w:hAnsi="Arial Narrow"/>
          <w:b/>
          <w:bCs/>
        </w:rPr>
      </w:pPr>
    </w:p>
    <w:p w14:paraId="6D2ACAC5" w14:textId="77777777" w:rsidR="004F39A7" w:rsidRDefault="004F39A7">
      <w:pPr>
        <w:pStyle w:val="a5"/>
        <w:spacing w:line="240" w:lineRule="auto"/>
        <w:jc w:val="center"/>
        <w:rPr>
          <w:rFonts w:ascii="Arial Narrow" w:hAnsi="Arial Narrow"/>
          <w:b/>
          <w:bCs/>
        </w:rPr>
      </w:pPr>
    </w:p>
    <w:p w14:paraId="49AB69A1" w14:textId="77777777" w:rsidR="004F39A7" w:rsidRDefault="004F39A7" w:rsidP="00045364">
      <w:pPr>
        <w:pStyle w:val="a5"/>
        <w:spacing w:line="240" w:lineRule="auto"/>
        <w:contextualSpacing/>
        <w:jc w:val="center"/>
        <w:rPr>
          <w:rFonts w:ascii="Arial Narrow" w:hAnsi="Arial Narrow"/>
          <w:b/>
          <w:bCs/>
        </w:rPr>
      </w:pPr>
    </w:p>
    <w:p w14:paraId="78056318" w14:textId="77777777" w:rsidR="004F39A7" w:rsidRDefault="004F39A7" w:rsidP="00045364">
      <w:pPr>
        <w:pStyle w:val="a5"/>
        <w:spacing w:line="240" w:lineRule="auto"/>
        <w:contextualSpacing/>
        <w:jc w:val="center"/>
        <w:rPr>
          <w:rFonts w:ascii="Arial Narrow" w:hAnsi="Arial Narrow"/>
          <w:b/>
          <w:bCs/>
        </w:rPr>
      </w:pPr>
    </w:p>
    <w:p w14:paraId="5E208E6A" w14:textId="239DCE70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22046305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</w:rPr>
        <w:t>«</w:t>
      </w:r>
      <w:proofErr w:type="spellStart"/>
      <w:r>
        <w:rPr>
          <w:rFonts w:ascii="Arial Narrow" w:hAnsi="Arial Narrow"/>
          <w:b/>
          <w:bCs/>
          <w:sz w:val="48"/>
          <w:szCs w:val="48"/>
        </w:rPr>
        <w:t>НоуТелл</w:t>
      </w:r>
      <w:proofErr w:type="spellEnd"/>
      <w:r>
        <w:rPr>
          <w:rFonts w:ascii="Arial Narrow" w:hAnsi="Arial Narrow"/>
          <w:b/>
          <w:bCs/>
          <w:sz w:val="48"/>
          <w:szCs w:val="48"/>
        </w:rPr>
        <w:t>»</w:t>
      </w:r>
    </w:p>
    <w:p w14:paraId="1D578532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419D827D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52A3DF82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73C25FDB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02E44867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0ABA4401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26CF90C4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03F174BB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6117E3BD" w14:textId="77777777" w:rsidR="00614A3D" w:rsidRDefault="00000000" w:rsidP="00045364">
      <w:pPr>
        <w:pStyle w:val="a5"/>
        <w:spacing w:line="240" w:lineRule="auto"/>
        <w:contextualSpacing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</w:p>
    <w:p w14:paraId="6C88BBE3" w14:textId="77777777" w:rsidR="00614A3D" w:rsidRDefault="00000000" w:rsidP="00045364">
      <w:pPr>
        <w:pStyle w:val="a5"/>
        <w:spacing w:before="0" w:after="160" w:line="240" w:lineRule="auto"/>
        <w:contextualSpacing/>
      </w:pPr>
      <w:r>
        <w:rPr>
          <w:rFonts w:ascii="Arial Unicode MS" w:hAnsi="Arial Unicode MS"/>
        </w:rPr>
        <w:br w:type="page"/>
      </w:r>
    </w:p>
    <w:p w14:paraId="549CDD1D" w14:textId="77777777" w:rsidR="00614A3D" w:rsidRDefault="00000000" w:rsidP="00045364">
      <w:pPr>
        <w:pStyle w:val="a5"/>
        <w:spacing w:after="0" w:line="240" w:lineRule="auto"/>
        <w:contextualSpacing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lastRenderedPageBreak/>
        <w:t>Аннотация</w:t>
      </w:r>
    </w:p>
    <w:p w14:paraId="20DB7FDF" w14:textId="77777777" w:rsidR="00614A3D" w:rsidRDefault="00000000" w:rsidP="00045364">
      <w:pPr>
        <w:pStyle w:val="a5"/>
        <w:spacing w:before="0" w:line="240" w:lineRule="auto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Разработка сервиса «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>», предназначена для автоматизации процессов трудоустройства и обеспечения непрерывной занятости линейного персонала в сезонно-зависимых отраслях, таких как гостеприимство, туризм, общественное питание.</w:t>
      </w:r>
      <w:r>
        <w:t xml:space="preserve"> </w:t>
      </w:r>
      <w:r>
        <w:rPr>
          <w:rFonts w:ascii="Arial Narrow" w:hAnsi="Arial Narrow"/>
          <w:sz w:val="22"/>
          <w:szCs w:val="22"/>
        </w:rPr>
        <w:t>«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 xml:space="preserve">» представляет собой B2B2C-платформу, которая автоматизирует полный цикл: от предварительного поиска вакансий для сотрудника за месяц перед окончанием текущего контракта до организации </w:t>
      </w:r>
      <w:proofErr w:type="spellStart"/>
      <w:r>
        <w:rPr>
          <w:rFonts w:ascii="Arial Narrow" w:hAnsi="Arial Narrow"/>
          <w:sz w:val="22"/>
          <w:szCs w:val="22"/>
        </w:rPr>
        <w:t>видеособеседований</w:t>
      </w:r>
      <w:proofErr w:type="spellEnd"/>
      <w:r>
        <w:rPr>
          <w:rFonts w:ascii="Arial Narrow" w:hAnsi="Arial Narrow"/>
          <w:sz w:val="22"/>
          <w:szCs w:val="22"/>
        </w:rPr>
        <w:t>, заключения электронных трудовых договоров с использованием УКЭП, а также доступа к курсам повышения квалификации и оформления пособия по безработице через интеграцию с ЦЗН (Центром занятости населения).</w:t>
      </w:r>
    </w:p>
    <w:p w14:paraId="01E85DEE" w14:textId="77777777" w:rsidR="00045364" w:rsidRDefault="00045364" w:rsidP="00045364">
      <w:pPr>
        <w:pStyle w:val="a5"/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</w:p>
    <w:p w14:paraId="1FC55BCA" w14:textId="2221B34D" w:rsidR="00614A3D" w:rsidRDefault="00000000" w:rsidP="00045364">
      <w:pPr>
        <w:pStyle w:val="a5"/>
        <w:spacing w:after="0" w:line="240" w:lineRule="auto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Введение</w:t>
      </w:r>
    </w:p>
    <w:p w14:paraId="715F1CB0" w14:textId="77777777" w:rsidR="00614A3D" w:rsidRDefault="00000000" w:rsidP="00045364">
      <w:pPr>
        <w:pStyle w:val="a5"/>
        <w:spacing w:before="0" w:line="240" w:lineRule="auto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Концепция сервиса «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>» разработана для решения проблемы недостатка рабочей силы в сезонных отраслях за счет более эффективного использования сотрудников, временно свободных из-за сезонности выполняемой деятельности. Технологической основой являются интеграции с государственными платформами (Госуслуги, УКЭП</w:t>
      </w:r>
      <w:r>
        <w:rPr>
          <w:rFonts w:ascii="Arial Narrow" w:hAnsi="Arial Narrow"/>
          <w:sz w:val="22"/>
          <w:szCs w:val="22"/>
          <w:lang w:val="en-US"/>
        </w:rPr>
        <w:t xml:space="preserve">), API </w:t>
      </w:r>
      <w:r>
        <w:rPr>
          <w:rFonts w:ascii="Arial Narrow" w:hAnsi="Arial Narrow"/>
          <w:sz w:val="22"/>
          <w:szCs w:val="22"/>
        </w:rPr>
        <w:t xml:space="preserve">видеосвязи </w:t>
      </w:r>
      <w:r>
        <w:rPr>
          <w:rFonts w:ascii="Arial Narrow" w:hAnsi="Arial Narrow"/>
          <w:sz w:val="22"/>
          <w:szCs w:val="22"/>
          <w:lang w:val="en-US"/>
        </w:rPr>
        <w:t xml:space="preserve">(VK Teams) </w:t>
      </w:r>
      <w:r>
        <w:rPr>
          <w:rFonts w:ascii="Arial Narrow" w:hAnsi="Arial Narrow"/>
          <w:sz w:val="22"/>
          <w:szCs w:val="22"/>
        </w:rPr>
        <w:t>и платежной системы (СБП), а также мобильное приложение и веб-платформа. Уникальность сервиса заключается в создании замкнутой цифровой экосистемы, объединяющей, бесшовный автоматизированный поиск работы при завершении одного сезонного трудового договора и подборе следующего места работы (путем автоматического дополнения резюме новыми данными и его публикации заранее до планируемой даты прекращения работы), обучение, юридическое оформление и социальную поддержку в едином процессе. Актуальность обоснована острым дефицитом кадров в отрасли (до 91%) и подтверждена рыночным исследованием, выявившим спрос на комплексное решение для бесшовного перехода сотрудников между работодателями в периоды спада и роста спроса.</w:t>
      </w:r>
    </w:p>
    <w:p w14:paraId="197F4D4B" w14:textId="77777777" w:rsidR="00045364" w:rsidRDefault="00045364" w:rsidP="00045364">
      <w:pPr>
        <w:pStyle w:val="a5"/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</w:p>
    <w:p w14:paraId="68DC70A4" w14:textId="4A682C7B" w:rsidR="00614A3D" w:rsidRDefault="00000000" w:rsidP="00045364">
      <w:pPr>
        <w:pStyle w:val="a5"/>
        <w:spacing w:after="0" w:line="240" w:lineRule="auto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Анализ аналогов</w:t>
      </w:r>
    </w:p>
    <w:p w14:paraId="6BDA2236" w14:textId="77777777" w:rsidR="00614A3D" w:rsidRDefault="00000000" w:rsidP="00045364">
      <w:pPr>
        <w:pStyle w:val="a5"/>
        <w:spacing w:before="0" w:after="0" w:line="240" w:lineRule="auto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Прямых аналогов, объединяющих весь спектр услуг, на рынке нет. Частичными конкурентами выступают агрегаторы вакансий (hh.ru, </w:t>
      </w:r>
      <w:proofErr w:type="spellStart"/>
      <w:r>
        <w:rPr>
          <w:rFonts w:ascii="Arial Narrow" w:hAnsi="Arial Narrow"/>
          <w:sz w:val="22"/>
          <w:szCs w:val="22"/>
        </w:rPr>
        <w:t>Avito</w:t>
      </w:r>
      <w:proofErr w:type="spellEnd"/>
      <w:r>
        <w:rPr>
          <w:rFonts w:ascii="Arial Narrow" w:hAnsi="Arial Narrow"/>
          <w:sz w:val="22"/>
          <w:szCs w:val="22"/>
        </w:rPr>
        <w:t xml:space="preserve"> Работа) и государственная платформа «Работа России». Основные отличия и преимущества «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>»:</w:t>
      </w:r>
    </w:p>
    <w:p w14:paraId="2A5F5B45" w14:textId="77777777" w:rsidR="00614A3D" w:rsidRDefault="00000000" w:rsidP="00045364">
      <w:pPr>
        <w:pStyle w:val="a6"/>
        <w:numPr>
          <w:ilvl w:val="0"/>
          <w:numId w:val="2"/>
        </w:numPr>
        <w:spacing w:before="0"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Комплексность: </w:t>
      </w:r>
      <w:r>
        <w:rPr>
          <w:rFonts w:ascii="Arial Narrow" w:hAnsi="Arial Narrow"/>
        </w:rPr>
        <w:t>о</w:t>
      </w:r>
      <w:r>
        <w:rPr>
          <w:rFonts w:ascii="Arial Narrow" w:hAnsi="Arial Narrow"/>
          <w:sz w:val="22"/>
          <w:szCs w:val="22"/>
        </w:rPr>
        <w:t>бъединение поиска работы, обучения, юридического оформления и социальной поддержки в едином интерфейсе.</w:t>
      </w:r>
    </w:p>
    <w:p w14:paraId="273D1E0A" w14:textId="77777777" w:rsidR="00614A3D" w:rsidRDefault="00000000" w:rsidP="00045364">
      <w:pPr>
        <w:pStyle w:val="a6"/>
        <w:numPr>
          <w:ilvl w:val="0"/>
          <w:numId w:val="2"/>
        </w:numPr>
        <w:spacing w:before="0"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Автоматизация: </w:t>
      </w:r>
      <w:r>
        <w:rPr>
          <w:rFonts w:ascii="Arial Narrow" w:hAnsi="Arial Narrow"/>
        </w:rPr>
        <w:t>а</w:t>
      </w:r>
      <w:r>
        <w:rPr>
          <w:rFonts w:ascii="Arial Narrow" w:hAnsi="Arial Narrow"/>
          <w:sz w:val="22"/>
          <w:szCs w:val="22"/>
        </w:rPr>
        <w:t xml:space="preserve">лгоритмический подбор вакансий и </w:t>
      </w:r>
      <w:proofErr w:type="spellStart"/>
      <w:r>
        <w:rPr>
          <w:rFonts w:ascii="Arial Narrow" w:hAnsi="Arial Narrow"/>
          <w:sz w:val="22"/>
          <w:szCs w:val="22"/>
        </w:rPr>
        <w:t>предзаполнение</w:t>
      </w:r>
      <w:proofErr w:type="spellEnd"/>
      <w:r>
        <w:rPr>
          <w:rFonts w:ascii="Arial Narrow" w:hAnsi="Arial Narrow"/>
          <w:sz w:val="22"/>
          <w:szCs w:val="22"/>
        </w:rPr>
        <w:t xml:space="preserve"> документов, что обеспечивает «бесшовный» переход между </w:t>
      </w:r>
      <w:r>
        <w:rPr>
          <w:rFonts w:ascii="Arial Narrow" w:hAnsi="Arial Narrow"/>
        </w:rPr>
        <w:t>работами</w:t>
      </w:r>
      <w:r>
        <w:rPr>
          <w:rFonts w:ascii="Arial Narrow" w:hAnsi="Arial Narrow"/>
          <w:sz w:val="22"/>
          <w:szCs w:val="22"/>
        </w:rPr>
        <w:t>.</w:t>
      </w:r>
    </w:p>
    <w:p w14:paraId="6EB63368" w14:textId="77777777" w:rsidR="00614A3D" w:rsidRDefault="00000000" w:rsidP="00045364">
      <w:pPr>
        <w:pStyle w:val="a6"/>
        <w:numPr>
          <w:ilvl w:val="0"/>
          <w:numId w:val="2"/>
        </w:numPr>
        <w:spacing w:before="0"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Глубокая интеграция с государством: </w:t>
      </w:r>
      <w:r>
        <w:rPr>
          <w:rFonts w:ascii="Arial Narrow" w:hAnsi="Arial Narrow"/>
        </w:rPr>
        <w:t>и</w:t>
      </w:r>
      <w:r>
        <w:rPr>
          <w:rFonts w:ascii="Arial Narrow" w:hAnsi="Arial Narrow"/>
          <w:sz w:val="22"/>
          <w:szCs w:val="22"/>
        </w:rPr>
        <w:t>спользование Госуслуг для идентификации и УКЭП для придания юридической силы документам, API-интеграция с ЦЗН.</w:t>
      </w:r>
    </w:p>
    <w:p w14:paraId="5EDF0B73" w14:textId="77777777" w:rsidR="00614A3D" w:rsidRDefault="00000000" w:rsidP="00045364">
      <w:pPr>
        <w:pStyle w:val="a6"/>
        <w:numPr>
          <w:ilvl w:val="0"/>
          <w:numId w:val="3"/>
        </w:numPr>
        <w:spacing w:before="0"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Экономическая модель</w:t>
      </w:r>
      <w:r>
        <w:rPr>
          <w:rFonts w:ascii="Arial Narrow" w:hAnsi="Arial Narrow"/>
        </w:rPr>
        <w:t>: для</w:t>
      </w:r>
      <w:r>
        <w:rPr>
          <w:rFonts w:ascii="Arial Narrow" w:hAnsi="Arial Narrow"/>
          <w:sz w:val="22"/>
          <w:szCs w:val="22"/>
        </w:rPr>
        <w:t xml:space="preserve"> работодателей комиссия составляет 3% от ФОТ найденного сотрудника, что значительно ниже рыночных ставок рекрутинговых агентств (10-30%).</w:t>
      </w:r>
    </w:p>
    <w:p w14:paraId="0EE7125D" w14:textId="77777777" w:rsidR="00045364" w:rsidRDefault="00045364" w:rsidP="00045364">
      <w:pPr>
        <w:pStyle w:val="a5"/>
        <w:spacing w:before="0" w:after="0" w:line="240" w:lineRule="auto"/>
        <w:ind w:left="66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</w:p>
    <w:p w14:paraId="2DC71F8F" w14:textId="3E138BCD" w:rsidR="00614A3D" w:rsidRDefault="00000000" w:rsidP="00045364">
      <w:pPr>
        <w:pStyle w:val="a5"/>
        <w:spacing w:before="0" w:after="0" w:line="240" w:lineRule="auto"/>
        <w:ind w:left="68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Архитектура сервиса</w:t>
      </w:r>
    </w:p>
    <w:p w14:paraId="4B127030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АО «НСПК» предоставляет платежную инфраструктуру для использования СБП.</w:t>
      </w:r>
    </w:p>
    <w:p w14:paraId="1D66C6F8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Банк плательщика (Банк-эмитент) обслуживает счета сотрудника, выпустившего карту.</w:t>
      </w:r>
    </w:p>
    <w:p w14:paraId="0AEBD04B" w14:textId="77777777" w:rsidR="00614A3D" w:rsidRDefault="00000000" w:rsidP="00045364">
      <w:pPr>
        <w:pStyle w:val="a6"/>
        <w:numPr>
          <w:ilvl w:val="0"/>
          <w:numId w:val="5"/>
        </w:numPr>
        <w:spacing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Банк получателя (Банк-эквайер) принимает и маршрутизирует платежные поручения.</w:t>
      </w:r>
    </w:p>
    <w:p w14:paraId="13A28991" w14:textId="77777777" w:rsidR="00614A3D" w:rsidRDefault="00000000" w:rsidP="00045364">
      <w:pPr>
        <w:pStyle w:val="a6"/>
        <w:numPr>
          <w:ilvl w:val="0"/>
          <w:numId w:val="5"/>
        </w:numPr>
        <w:spacing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Банк России является операционным центром СБП.</w:t>
      </w:r>
    </w:p>
    <w:p w14:paraId="5D843B9E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Биржа труда (Центр занятости населения)</w:t>
      </w:r>
      <w:r>
        <w:rPr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автоматически рассчитывает размер пособия по безработице на основе данных о трудовом статусе сотрудника.</w:t>
      </w:r>
    </w:p>
    <w:p w14:paraId="34F0023A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Государственная цифровая экосистема Госуслуги, включая платформу </w:t>
      </w:r>
      <w:proofErr w:type="spellStart"/>
      <w:r>
        <w:rPr>
          <w:rFonts w:ascii="Arial Narrow" w:hAnsi="Arial Narrow"/>
          <w:sz w:val="22"/>
          <w:szCs w:val="22"/>
        </w:rPr>
        <w:t>Госключ</w:t>
      </w:r>
      <w:proofErr w:type="spellEnd"/>
      <w:r>
        <w:rPr>
          <w:rFonts w:ascii="Arial Narrow" w:hAnsi="Arial Narrow"/>
          <w:sz w:val="22"/>
          <w:szCs w:val="22"/>
        </w:rPr>
        <w:t>, подтверждает подлинность данных сотрудника и работодателя, создаёт электронную подпись для сотрудника и работодателя.</w:t>
      </w:r>
    </w:p>
    <w:p w14:paraId="76923F23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Образовательное учреждение публикует программу курсов, загружает сертификаты или дипломы о повышении квалификации в профиль сотрудника, что влияет на рейтинг сотрудника.</w:t>
      </w:r>
    </w:p>
    <w:p w14:paraId="638D1A46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Работодатель размещает вакансии, вводит описание, выбирает время видеособеседования, заполняет трудовой договор, подписывает УКЭП, добавляет отзыв и ключевые характеристики перед окончанием контракта, формируя рейтинг сотруднику, осуществляет выплату комиссии сервису в размере 3% от зарплаты сотрудника.</w:t>
      </w:r>
    </w:p>
    <w:p w14:paraId="3735D34F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Сервис 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 xml:space="preserve"> как актор занимается обработкой и передачей данных: перенаправляет резюме работодателям, отправляет уведомления сотруднику и работодателю, автоматически отправляет резюме новым работодателям за месяц до конца текущего трудового договора,</w:t>
      </w:r>
      <w:r>
        <w:rPr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создаёт заполненные проекты трудовых договоров на основе введённых данных, а также проекты заявлений на пособие по безработице, валидирует данные через Госуслуги, контролирует использование УКЭП.</w:t>
      </w:r>
    </w:p>
    <w:p w14:paraId="26F85C69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lastRenderedPageBreak/>
        <w:t>Сервис организации видеоконференций (</w:t>
      </w:r>
      <w:r>
        <w:rPr>
          <w:rFonts w:ascii="Arial Narrow" w:hAnsi="Arial Narrow"/>
          <w:sz w:val="22"/>
          <w:szCs w:val="22"/>
          <w:lang w:val="en-US"/>
        </w:rPr>
        <w:t>VK Teams)</w:t>
      </w:r>
      <w:r>
        <w:rPr>
          <w:rFonts w:ascii="Arial Narrow" w:hAnsi="Arial Narrow"/>
          <w:sz w:val="22"/>
          <w:szCs w:val="22"/>
        </w:rPr>
        <w:t xml:space="preserve"> принимает запрос от 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 xml:space="preserve"> на создание встречи, обеспечивает техническую возможность проведения собеседования,</w:t>
      </w:r>
      <w:r>
        <w:rPr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отправляет ссылки сотруднику и работодателю для входа в конференцию.</w:t>
      </w:r>
    </w:p>
    <w:p w14:paraId="20FDF267" w14:textId="77777777" w:rsidR="00614A3D" w:rsidRDefault="00000000" w:rsidP="00045364">
      <w:pPr>
        <w:pStyle w:val="a6"/>
        <w:numPr>
          <w:ilvl w:val="0"/>
          <w:numId w:val="5"/>
        </w:numPr>
        <w:spacing w:after="0" w:line="240" w:lineRule="auto"/>
        <w:contextualSpacing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Сотрудник регистрируется в приложении сервиса через платформу Госуслуг, просматривает вакансии, отправляет отклики, участвует в видеоконференции, проходит этап отбора, общается с работодателем, получает договор от сервиса, подписывает с использованием УКЭП, оплачивает дополнительные образовательные услуги, формирует личный рейтинг за счет надлежащего выполнения рабочих обязанностей и повышения квалификации, привязывает в приложение карту для приобретений курсов/страховых полисов.</w:t>
      </w:r>
    </w:p>
    <w:p w14:paraId="49490D1E" w14:textId="77777777" w:rsidR="00614A3D" w:rsidRDefault="00000000" w:rsidP="00045364">
      <w:pPr>
        <w:pStyle w:val="a6"/>
        <w:keepNext/>
        <w:numPr>
          <w:ilvl w:val="0"/>
          <w:numId w:val="6"/>
        </w:numPr>
        <w:spacing w:line="240" w:lineRule="auto"/>
        <w:contextualSpacing/>
        <w:jc w:val="both"/>
        <w:rPr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Страховая компания - сотрудник может оформить страховой полис напрямую в интерфейсе 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 xml:space="preserve"> через интегрированное API страховой компании.</w:t>
      </w:r>
    </w:p>
    <w:p w14:paraId="12891E7A" w14:textId="77777777" w:rsidR="00614A3D" w:rsidRDefault="00000000" w:rsidP="00045364">
      <w:pPr>
        <w:pStyle w:val="a5"/>
        <w:keepNext/>
        <w:spacing w:line="240" w:lineRule="auto"/>
        <w:ind w:left="66"/>
        <w:contextualSpacing/>
        <w:jc w:val="center"/>
      </w:pPr>
      <w:r>
        <w:rPr>
          <w:noProof/>
        </w:rPr>
        <w:drawing>
          <wp:inline distT="0" distB="0" distL="0" distR="0" wp14:anchorId="4CC8086D" wp14:editId="30F826CC">
            <wp:extent cx="4620698" cy="3161076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698" cy="31610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162FB59" w14:textId="77777777" w:rsidR="00614A3D" w:rsidRDefault="00000000" w:rsidP="00045364">
      <w:pPr>
        <w:pStyle w:val="a7"/>
        <w:contextualSpacing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Рисунок 1 – Архитектурная схема сервиса</w:t>
      </w:r>
    </w:p>
    <w:p w14:paraId="3D5154AE" w14:textId="77777777" w:rsidR="00614A3D" w:rsidRDefault="00000000" w:rsidP="00045364">
      <w:pPr>
        <w:pStyle w:val="a6"/>
        <w:numPr>
          <w:ilvl w:val="0"/>
          <w:numId w:val="8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Работодатель (Р) размещает на платформе сервиса (С) вакансии.</w:t>
      </w:r>
    </w:p>
    <w:p w14:paraId="742A7EC2" w14:textId="77777777" w:rsidR="00614A3D" w:rsidRDefault="00000000" w:rsidP="00045364">
      <w:pPr>
        <w:pStyle w:val="a6"/>
        <w:numPr>
          <w:ilvl w:val="0"/>
          <w:numId w:val="8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Сотрудники (Л), впервые использующие сервис (С), откликаются на них.</w:t>
      </w:r>
    </w:p>
    <w:p w14:paraId="1D4DD9BB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Если работодателю (Р) подошел сотрудник (Л), инициируется видеособеседование в </w:t>
      </w:r>
      <w:r>
        <w:rPr>
          <w:rFonts w:ascii="Arial Narrow" w:hAnsi="Arial Narrow"/>
          <w:sz w:val="22"/>
          <w:szCs w:val="22"/>
          <w:lang w:val="en-US"/>
        </w:rPr>
        <w:t>VK Teams</w:t>
      </w:r>
      <w:r>
        <w:rPr>
          <w:rFonts w:ascii="Arial Narrow" w:hAnsi="Arial Narrow"/>
          <w:sz w:val="22"/>
          <w:szCs w:val="22"/>
        </w:rPr>
        <w:t xml:space="preserve"> (ВК), по итогам которого сервисом (С) создается трудовой договор, заполняемый и подписываемый сотрудником и работодателем также через сервис.</w:t>
      </w:r>
    </w:p>
    <w:p w14:paraId="4EA69B26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Работодатель (Р) также откликается на резюме нового сотрудника (Л), срок текущего трудового договора которого подходит к концу, и предлагает ему вакансию.</w:t>
      </w:r>
    </w:p>
    <w:p w14:paraId="689ACDD4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Сотрудник (Л), трудовой договор которого подходит к концу, получает уведомление от сервиса об отклике нового работодателя (Р) и принимает решение о том, подходит ли ему предложенная вакансия или нет. Если подходит, то повторяется процесс, описанный в пункте 3.</w:t>
      </w:r>
    </w:p>
    <w:p w14:paraId="15D733BB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Сотрудник (Л) при помощи сервиса (С) создает заявление на пособие по безработице, заполняет его и отправляет на биржу труда (Б) в случаях, являющихся основанием для назначения пособия по безработице, согласно действующему законодательству России.</w:t>
      </w:r>
      <w:r>
        <w:rPr>
          <w:rFonts w:ascii="Arial Narrow" w:eastAsia="Arial Narrow" w:hAnsi="Arial Narrow" w:cs="Arial Narrow"/>
          <w:b/>
          <w:bCs/>
          <w:sz w:val="22"/>
          <w:szCs w:val="22"/>
          <w:vertAlign w:val="superscript"/>
        </w:rPr>
        <w:footnoteReference w:id="2"/>
      </w:r>
    </w:p>
    <w:p w14:paraId="7BE84E1E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Когда сотрудник (Л) приобретает услугу (образовательный курс/страховой полис) на платформе сервиса (С), Банк-эквайер (БЭК) получает соответствующий запрос от сервиса (С).</w:t>
      </w:r>
    </w:p>
    <w:p w14:paraId="1A09D627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Используя инфраструктуру АО «НСПК», банк-эквайер (БЭК) отправляет запрос в банк-эмитент (БЭМ).</w:t>
      </w:r>
    </w:p>
    <w:p w14:paraId="06695663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АО «НСПК» направляет информацию в целях проверки наличия средств на счете сотрудника (Л) в банке-эмитенте (БЭМ).</w:t>
      </w:r>
    </w:p>
    <w:p w14:paraId="1223BAA2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После успешной проверки АО «НСПК» направляет распоряжение Банку России (Ц), который обеспечит проведение платежа между банками.</w:t>
      </w:r>
    </w:p>
    <w:p w14:paraId="7FBB81D5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Средства со счета сотрудника (Л) в банке-эмитенте (БЭМ) зачисляются в банк-эквайер (БЭК).</w:t>
      </w:r>
    </w:p>
    <w:p w14:paraId="5770D64B" w14:textId="77777777" w:rsidR="00614A3D" w:rsidRDefault="00000000" w:rsidP="00045364">
      <w:pPr>
        <w:pStyle w:val="a6"/>
        <w:numPr>
          <w:ilvl w:val="0"/>
          <w:numId w:val="9"/>
        </w:numPr>
        <w:spacing w:after="0"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lastRenderedPageBreak/>
        <w:t>После удержания комиссии сервису (С) банком-эквайером (БЭК) средства поступают в банк образовательного учреждения (О), если сотрудник (Л) приобрел образовательный курс.</w:t>
      </w:r>
    </w:p>
    <w:p w14:paraId="1ED9D649" w14:textId="77777777" w:rsidR="00614A3D" w:rsidRDefault="00000000" w:rsidP="00045364">
      <w:pPr>
        <w:pStyle w:val="a6"/>
        <w:numPr>
          <w:ilvl w:val="0"/>
          <w:numId w:val="9"/>
        </w:numPr>
        <w:spacing w:line="240" w:lineRule="auto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После удержания комиссии сервису (С) банком-эквайером (БЭК) средства поступают в банк страховой компании (И), если сотрудник (Л) приобрел страховой полис.</w:t>
      </w:r>
    </w:p>
    <w:p w14:paraId="25FE7C99" w14:textId="77777777" w:rsidR="00614A3D" w:rsidRDefault="00000000" w:rsidP="00045364">
      <w:pPr>
        <w:pStyle w:val="a5"/>
        <w:spacing w:after="0" w:line="240" w:lineRule="auto"/>
        <w:ind w:left="66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Области применения сервиса</w:t>
      </w:r>
    </w:p>
    <w:p w14:paraId="2EFEB766" w14:textId="77777777" w:rsidR="00614A3D" w:rsidRDefault="00000000" w:rsidP="00045364">
      <w:pPr>
        <w:pStyle w:val="a5"/>
        <w:spacing w:before="0" w:after="0" w:line="240" w:lineRule="auto"/>
        <w:ind w:left="66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Модель сервиса универсальна для любых отраслей с циклическими, проектными или пиковыми колебаниями спроса на линейный персонал, где критичны скорость найма и минимизация административных издержек. Например, для сферы туризма и гостеприимства, красоты и здоровья, ресторанного бизнеса, событийной индустрии (ивент-сектор), образовательных проектов и иными.</w:t>
      </w:r>
    </w:p>
    <w:p w14:paraId="03BC78AA" w14:textId="77777777" w:rsidR="00045364" w:rsidRDefault="00045364" w:rsidP="00045364">
      <w:pPr>
        <w:pStyle w:val="a5"/>
        <w:spacing w:before="0" w:after="0" w:line="240" w:lineRule="auto"/>
        <w:ind w:left="66"/>
        <w:contextualSpacing/>
        <w:jc w:val="both"/>
        <w:rPr>
          <w:rFonts w:ascii="Arial Narrow" w:hAnsi="Arial Narrow"/>
          <w:b/>
          <w:bCs/>
          <w:sz w:val="22"/>
          <w:szCs w:val="22"/>
        </w:rPr>
      </w:pPr>
    </w:p>
    <w:p w14:paraId="7CCE9845" w14:textId="513F4810" w:rsidR="00614A3D" w:rsidRDefault="00000000" w:rsidP="00045364">
      <w:pPr>
        <w:pStyle w:val="a5"/>
        <w:spacing w:before="0" w:after="0" w:line="240" w:lineRule="auto"/>
        <w:ind w:left="66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Экономическая эффективность</w:t>
      </w:r>
    </w:p>
    <w:p w14:paraId="1CB49591" w14:textId="77777777" w:rsidR="00614A3D" w:rsidRDefault="00000000" w:rsidP="00045364">
      <w:pPr>
        <w:pStyle w:val="a5"/>
        <w:spacing w:before="0" w:line="240" w:lineRule="auto"/>
        <w:ind w:left="66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Для оценки потенциала экономической эффективности проекта сервиса использованы методы сегментации рынка </w:t>
      </w:r>
      <w:r>
        <w:rPr>
          <w:rFonts w:ascii="Arial Narrow" w:hAnsi="Arial Narrow"/>
          <w:sz w:val="22"/>
          <w:szCs w:val="22"/>
          <w:lang w:val="de-DE"/>
        </w:rPr>
        <w:t xml:space="preserve">(STP, </w:t>
      </w:r>
      <w:r>
        <w:rPr>
          <w:rFonts w:ascii="Arial Narrow" w:hAnsi="Arial Narrow"/>
          <w:sz w:val="22"/>
          <w:szCs w:val="22"/>
        </w:rPr>
        <w:t xml:space="preserve">расчет </w:t>
      </w:r>
      <w:r>
        <w:rPr>
          <w:rFonts w:ascii="Arial Narrow" w:hAnsi="Arial Narrow"/>
          <w:sz w:val="22"/>
          <w:szCs w:val="22"/>
          <w:lang w:val="en-US"/>
        </w:rPr>
        <w:t>SAM/SOM), SWOT-</w:t>
      </w:r>
      <w:r>
        <w:rPr>
          <w:rFonts w:ascii="Arial Narrow" w:hAnsi="Arial Narrow"/>
          <w:sz w:val="22"/>
          <w:szCs w:val="22"/>
        </w:rPr>
        <w:t>анализ, построение финансовой модели и оценка инвестиционной привлекательности на основе ключевых показателей. Согласно расчётам:</w:t>
      </w:r>
    </w:p>
    <w:p w14:paraId="56DA90F3" w14:textId="77777777" w:rsidR="00614A3D" w:rsidRDefault="00000000" w:rsidP="00045364">
      <w:pPr>
        <w:pStyle w:val="a5"/>
        <w:tabs>
          <w:tab w:val="left" w:pos="284"/>
        </w:tabs>
        <w:spacing w:before="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•</w:t>
      </w:r>
      <w:r>
        <w:rPr>
          <w:rFonts w:ascii="Arial Narrow" w:eastAsia="Arial Narrow" w:hAnsi="Arial Narrow" w:cs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Доступный для сервиса рынок (SAM) оценивается в 411 тыс. линейных сотрудников.</w:t>
      </w:r>
    </w:p>
    <w:p w14:paraId="19F799BD" w14:textId="77777777" w:rsidR="00614A3D" w:rsidRDefault="00000000" w:rsidP="00045364">
      <w:pPr>
        <w:pStyle w:val="a5"/>
        <w:tabs>
          <w:tab w:val="left" w:pos="284"/>
        </w:tabs>
        <w:spacing w:before="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•</w:t>
      </w:r>
      <w:r>
        <w:rPr>
          <w:rFonts w:ascii="Arial Narrow" w:eastAsia="Arial Narrow" w:hAnsi="Arial Narrow" w:cs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 xml:space="preserve">При захвате 10% рынка (SOM) прогнозируемый годовой доход </w:t>
      </w:r>
      <w:r>
        <w:rPr>
          <w:rFonts w:ascii="Arial Narrow" w:hAnsi="Arial Narrow"/>
          <w:sz w:val="22"/>
          <w:szCs w:val="22"/>
          <w:lang w:val="de-DE"/>
        </w:rPr>
        <w:t xml:space="preserve">(ARR) </w:t>
      </w:r>
      <w:r>
        <w:rPr>
          <w:rFonts w:ascii="Arial Narrow" w:hAnsi="Arial Narrow"/>
          <w:sz w:val="22"/>
          <w:szCs w:val="22"/>
        </w:rPr>
        <w:t>составит около 754 млн рублей к третьему году работы.</w:t>
      </w:r>
    </w:p>
    <w:p w14:paraId="4AD1AADF" w14:textId="77777777" w:rsidR="00614A3D" w:rsidRDefault="00000000" w:rsidP="00045364">
      <w:pPr>
        <w:pStyle w:val="a5"/>
        <w:tabs>
          <w:tab w:val="left" w:pos="284"/>
        </w:tabs>
        <w:spacing w:before="0" w:after="24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•</w:t>
      </w:r>
      <w:r>
        <w:rPr>
          <w:rFonts w:ascii="Arial Narrow" w:eastAsia="Arial Narrow" w:hAnsi="Arial Narrow" w:cs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 xml:space="preserve">Финансовое моделирование показывает высокую эффективность проекта: NPV = 74,5 млн </w:t>
      </w:r>
      <w:proofErr w:type="spellStart"/>
      <w:r>
        <w:rPr>
          <w:rFonts w:ascii="Arial Narrow" w:hAnsi="Arial Narrow"/>
          <w:sz w:val="22"/>
          <w:szCs w:val="22"/>
        </w:rPr>
        <w:t>руб</w:t>
      </w:r>
      <w:proofErr w:type="spellEnd"/>
      <w:r>
        <w:rPr>
          <w:rFonts w:ascii="Arial Narrow" w:hAnsi="Arial Narrow"/>
          <w:sz w:val="22"/>
          <w:szCs w:val="22"/>
          <w:lang w:val="de-DE"/>
        </w:rPr>
        <w:t xml:space="preserve">., IRR = 102%, </w:t>
      </w:r>
      <w:r>
        <w:rPr>
          <w:rFonts w:ascii="Arial Narrow" w:hAnsi="Arial Narrow"/>
          <w:sz w:val="22"/>
          <w:szCs w:val="22"/>
        </w:rPr>
        <w:t xml:space="preserve">срок окупаемости — 22 месяца. Соотношение </w:t>
      </w:r>
      <w:r>
        <w:rPr>
          <w:rFonts w:ascii="Arial Narrow" w:hAnsi="Arial Narrow"/>
          <w:sz w:val="22"/>
          <w:szCs w:val="22"/>
          <w:lang w:val="de-DE"/>
        </w:rPr>
        <w:t xml:space="preserve">LTV/CAC = 3,4 </w:t>
      </w:r>
      <w:r>
        <w:rPr>
          <w:rFonts w:ascii="Arial Narrow" w:hAnsi="Arial Narrow"/>
          <w:sz w:val="22"/>
          <w:szCs w:val="22"/>
        </w:rPr>
        <w:t xml:space="preserve">подтверждает устойчивость бизнес-модели с учетом среднегодовых темпов роста рынка сегмента сервиса в </w:t>
      </w:r>
      <w:r>
        <w:rPr>
          <w:rFonts w:ascii="Arial Narrow" w:hAnsi="Arial Narrow"/>
          <w:sz w:val="22"/>
          <w:szCs w:val="22"/>
          <w:lang w:val="en-US"/>
        </w:rPr>
        <w:t>~15%</w:t>
      </w:r>
      <w:r>
        <w:rPr>
          <w:rFonts w:ascii="Arial Narrow" w:hAnsi="Arial Narrow"/>
          <w:sz w:val="22"/>
          <w:szCs w:val="22"/>
        </w:rPr>
        <w:t>.</w:t>
      </w:r>
    </w:p>
    <w:p w14:paraId="6895043A" w14:textId="77777777" w:rsidR="00614A3D" w:rsidRDefault="00614A3D" w:rsidP="00045364">
      <w:pPr>
        <w:pStyle w:val="a5"/>
        <w:spacing w:before="0" w:after="0" w:line="240" w:lineRule="auto"/>
        <w:ind w:left="66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37D00F65" w14:textId="77777777" w:rsidR="00614A3D" w:rsidRDefault="00000000" w:rsidP="00045364">
      <w:pPr>
        <w:pStyle w:val="a5"/>
        <w:tabs>
          <w:tab w:val="left" w:pos="284"/>
        </w:tabs>
        <w:spacing w:before="240" w:after="0" w:line="240" w:lineRule="auto"/>
        <w:ind w:left="68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Заключение</w:t>
      </w:r>
    </w:p>
    <w:p w14:paraId="43EB65DD" w14:textId="77777777" w:rsidR="00614A3D" w:rsidRDefault="00000000" w:rsidP="00045364">
      <w:pPr>
        <w:pStyle w:val="a5"/>
        <w:tabs>
          <w:tab w:val="left" w:pos="284"/>
        </w:tabs>
        <w:spacing w:before="24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Сервис «</w:t>
      </w:r>
      <w:proofErr w:type="spellStart"/>
      <w:r>
        <w:rPr>
          <w:rFonts w:ascii="Arial Narrow" w:hAnsi="Arial Narrow"/>
          <w:sz w:val="22"/>
          <w:szCs w:val="22"/>
        </w:rPr>
        <w:t>НоуТелл</w:t>
      </w:r>
      <w:proofErr w:type="spellEnd"/>
      <w:r>
        <w:rPr>
          <w:rFonts w:ascii="Arial Narrow" w:hAnsi="Arial Narrow"/>
          <w:sz w:val="22"/>
          <w:szCs w:val="22"/>
        </w:rPr>
        <w:t>» является технически реализуемым, экономически эффективным и социально значимым решением актуальной проблемы сезонной занятости. Его уникальность, основанная на глубокой автоматизации и создании замкнутой экосистемы для сотрудников и работодателей, формирует новый рыночный сегмент и обеспечивает значительные конкурентные преимущества. Проект обладает высоким инвестиционным потенциалом и готов к реализации в формате пилотного запуска в ключевых туристических регионах.</w:t>
      </w:r>
    </w:p>
    <w:p w14:paraId="38AFB6C3" w14:textId="77777777" w:rsidR="00614A3D" w:rsidRDefault="00614A3D" w:rsidP="00045364">
      <w:pPr>
        <w:pStyle w:val="a5"/>
        <w:tabs>
          <w:tab w:val="left" w:pos="284"/>
        </w:tabs>
        <w:spacing w:before="24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48032AC2" w14:textId="77777777" w:rsidR="00614A3D" w:rsidRDefault="00000000" w:rsidP="00045364">
      <w:pPr>
        <w:pStyle w:val="a5"/>
        <w:tabs>
          <w:tab w:val="left" w:pos="284"/>
        </w:tabs>
        <w:spacing w:before="240" w:after="0" w:line="240" w:lineRule="auto"/>
        <w:ind w:left="68"/>
        <w:contextualSpacing/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Список литературы</w:t>
      </w:r>
    </w:p>
    <w:p w14:paraId="3C8C3F1A" w14:textId="77777777" w:rsidR="00614A3D" w:rsidRDefault="00000000" w:rsidP="00045364">
      <w:pPr>
        <w:pStyle w:val="a5"/>
        <w:tabs>
          <w:tab w:val="left" w:pos="426"/>
        </w:tabs>
        <w:spacing w:before="24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1)</w:t>
      </w:r>
      <w:r>
        <w:rPr>
          <w:rFonts w:ascii="Arial Narrow" w:hAnsi="Arial Narrow"/>
          <w:sz w:val="22"/>
          <w:szCs w:val="22"/>
        </w:rPr>
        <w:tab/>
        <w:t>Турпоток по России за 11 месяцев 2025 года вырос до 82,9 млн поездок // Ведомости URL: https://www.vedomosti.ru/society/news/2025/12/30/1167603-turpotok-po-rossii (дата обращения: 25.01.2026).</w:t>
      </w:r>
    </w:p>
    <w:p w14:paraId="6B5D8E20" w14:textId="77777777" w:rsidR="00614A3D" w:rsidRDefault="00000000" w:rsidP="00045364">
      <w:pPr>
        <w:pStyle w:val="a5"/>
        <w:tabs>
          <w:tab w:val="left" w:pos="426"/>
        </w:tabs>
        <w:spacing w:before="24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2)</w:t>
      </w:r>
      <w:r>
        <w:rPr>
          <w:rFonts w:ascii="Arial Narrow" w:hAnsi="Arial Narrow"/>
          <w:sz w:val="22"/>
          <w:szCs w:val="22"/>
        </w:rPr>
        <w:tab/>
        <w:t xml:space="preserve">Рестораны и отели России борются за кадры: зарплаты в </w:t>
      </w:r>
      <w:proofErr w:type="spellStart"/>
      <w:r>
        <w:rPr>
          <w:rFonts w:ascii="Arial Narrow" w:hAnsi="Arial Narrow"/>
          <w:sz w:val="22"/>
          <w:szCs w:val="22"/>
        </w:rPr>
        <w:t>HoReCa</w:t>
      </w:r>
      <w:proofErr w:type="spellEnd"/>
      <w:r>
        <w:rPr>
          <w:rFonts w:ascii="Arial Narrow" w:hAnsi="Arial Narrow"/>
          <w:sz w:val="22"/>
          <w:szCs w:val="22"/>
        </w:rPr>
        <w:t xml:space="preserve"> выросли на 47% // Коммерсантъ URL: https://www.kommersant.ru/doc/7794338 (дата обращения: 25.01.2026).</w:t>
      </w:r>
    </w:p>
    <w:p w14:paraId="7F225EFA" w14:textId="77777777" w:rsidR="00614A3D" w:rsidRDefault="00000000" w:rsidP="00045364">
      <w:pPr>
        <w:pStyle w:val="a5"/>
        <w:tabs>
          <w:tab w:val="left" w:pos="426"/>
        </w:tabs>
        <w:spacing w:before="240" w:line="240" w:lineRule="auto"/>
        <w:ind w:left="68"/>
        <w:contextualSpacing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3)</w:t>
      </w:r>
      <w:r>
        <w:rPr>
          <w:rFonts w:ascii="Arial Narrow" w:hAnsi="Arial Narrow"/>
          <w:sz w:val="22"/>
          <w:szCs w:val="22"/>
        </w:rPr>
        <w:tab/>
        <w:t xml:space="preserve">Итоги 2024 года в онлайн-образовании // Бизнес-клуб Атланты </w:t>
      </w:r>
      <w:r>
        <w:rPr>
          <w:rFonts w:ascii="Arial Narrow" w:hAnsi="Arial Narrow"/>
          <w:sz w:val="22"/>
          <w:szCs w:val="22"/>
          <w:lang w:val="de-DE"/>
        </w:rPr>
        <w:t>URL: https://atlanty.ru/media/rynok-edtech/ (</w:t>
      </w:r>
      <w:r>
        <w:rPr>
          <w:rFonts w:ascii="Arial Narrow" w:hAnsi="Arial Narrow"/>
          <w:sz w:val="22"/>
          <w:szCs w:val="22"/>
        </w:rPr>
        <w:t>дата обращения: 25.01.2026).</w:t>
      </w:r>
    </w:p>
    <w:p w14:paraId="64A298AD" w14:textId="77777777" w:rsidR="00614A3D" w:rsidRDefault="00000000" w:rsidP="00045364">
      <w:pPr>
        <w:pStyle w:val="a5"/>
        <w:tabs>
          <w:tab w:val="left" w:pos="426"/>
        </w:tabs>
        <w:spacing w:before="240" w:line="240" w:lineRule="auto"/>
        <w:ind w:left="68"/>
        <w:contextualSpacing/>
        <w:jc w:val="both"/>
      </w:pPr>
      <w:r>
        <w:rPr>
          <w:rFonts w:ascii="Arial Narrow" w:hAnsi="Arial Narrow"/>
          <w:sz w:val="22"/>
          <w:szCs w:val="22"/>
        </w:rPr>
        <w:t>4)</w:t>
      </w:r>
      <w:r>
        <w:rPr>
          <w:rFonts w:ascii="Arial Narrow" w:hAnsi="Arial Narrow"/>
          <w:sz w:val="22"/>
          <w:szCs w:val="22"/>
        </w:rPr>
        <w:tab/>
      </w:r>
      <w:proofErr w:type="spellStart"/>
      <w:r>
        <w:rPr>
          <w:rFonts w:ascii="Arial Narrow" w:hAnsi="Arial Narrow"/>
          <w:sz w:val="22"/>
          <w:szCs w:val="22"/>
        </w:rPr>
        <w:t>HRtech</w:t>
      </w:r>
      <w:proofErr w:type="spellEnd"/>
      <w:r>
        <w:rPr>
          <w:rFonts w:ascii="Arial Narrow" w:hAnsi="Arial Narrow"/>
          <w:sz w:val="22"/>
          <w:szCs w:val="22"/>
        </w:rPr>
        <w:t xml:space="preserve">-рынок в России вырос на </w:t>
      </w:r>
      <w:r>
        <w:rPr>
          <w:rFonts w:ascii="Arial Narrow" w:hAnsi="Arial Narrow"/>
          <w:sz w:val="22"/>
          <w:szCs w:val="22"/>
          <w:lang w:val="de-DE"/>
        </w:rPr>
        <w:t>38% // Smart Ranking URL: https://smartranking.ru/ru/analytics/hrtech/hrtech-rynok-v-rossii-vyros-na-38/ (</w:t>
      </w:r>
      <w:r>
        <w:rPr>
          <w:rFonts w:ascii="Arial Narrow" w:hAnsi="Arial Narrow"/>
          <w:sz w:val="22"/>
          <w:szCs w:val="22"/>
        </w:rPr>
        <w:t>дата обращения: 25.01.2026).</w:t>
      </w:r>
    </w:p>
    <w:sectPr w:rsidR="00614A3D">
      <w:headerReference w:type="default" r:id="rId8"/>
      <w:footerReference w:type="default" r:id="rId9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DBF9" w14:textId="77777777" w:rsidR="00A16B5C" w:rsidRDefault="00A16B5C">
      <w:r>
        <w:separator/>
      </w:r>
    </w:p>
  </w:endnote>
  <w:endnote w:type="continuationSeparator" w:id="0">
    <w:p w14:paraId="0A7C8FA5" w14:textId="77777777" w:rsidR="00A16B5C" w:rsidRDefault="00A16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FAE8" w14:textId="77777777" w:rsidR="00614A3D" w:rsidRDefault="00614A3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869F" w14:textId="77777777" w:rsidR="00A16B5C" w:rsidRDefault="00A16B5C">
      <w:r>
        <w:separator/>
      </w:r>
    </w:p>
  </w:footnote>
  <w:footnote w:type="continuationSeparator" w:id="0">
    <w:p w14:paraId="2BB638E7" w14:textId="77777777" w:rsidR="00A16B5C" w:rsidRDefault="00A16B5C">
      <w:r>
        <w:continuationSeparator/>
      </w:r>
    </w:p>
  </w:footnote>
  <w:footnote w:type="continuationNotice" w:id="1">
    <w:p w14:paraId="26CCEA8D" w14:textId="77777777" w:rsidR="00A16B5C" w:rsidRDefault="00A16B5C"/>
  </w:footnote>
  <w:footnote w:id="2">
    <w:p w14:paraId="302A0ADE" w14:textId="77777777" w:rsidR="00614A3D" w:rsidRDefault="00000000">
      <w:pPr>
        <w:pStyle w:val="a8"/>
      </w:pPr>
      <w:r>
        <w:rPr>
          <w:rFonts w:ascii="Arial Narrow" w:eastAsia="Arial Narrow" w:hAnsi="Arial Narrow" w:cs="Arial Narrow"/>
          <w:b/>
          <w:bCs/>
          <w:sz w:val="22"/>
          <w:szCs w:val="22"/>
          <w:vertAlign w:val="superscript"/>
        </w:rPr>
        <w:footnoteRef/>
      </w:r>
      <w:r>
        <w:rPr>
          <w:rFonts w:eastAsia="Arial Unicode MS" w:cs="Arial Unicode MS"/>
        </w:rPr>
        <w:t xml:space="preserve"> </w:t>
      </w:r>
      <w:r>
        <w:rPr>
          <w:rFonts w:ascii="Arial Narrow" w:hAnsi="Arial Narrow"/>
        </w:rPr>
        <w:t>Процесс, описанный пунктами 4-5, повторяется для каждого сотрудника, у кого срок трудового договора, заключенного через сервис, подходит к концу.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70D2" w14:textId="77777777" w:rsidR="00614A3D" w:rsidRDefault="00614A3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56F6"/>
    <w:multiLevelType w:val="hybridMultilevel"/>
    <w:tmpl w:val="E6920CDE"/>
    <w:styleLink w:val="2"/>
    <w:lvl w:ilvl="0" w:tplc="F8EAD660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8E4630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F2CA50">
      <w:start w:val="1"/>
      <w:numFmt w:val="lowerRoman"/>
      <w:lvlText w:val="%3."/>
      <w:lvlJc w:val="left"/>
      <w:pPr>
        <w:ind w:left="186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F0E00D2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0EC454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C333C">
      <w:start w:val="1"/>
      <w:numFmt w:val="lowerRoman"/>
      <w:lvlText w:val="%6."/>
      <w:lvlJc w:val="left"/>
      <w:pPr>
        <w:ind w:left="402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685E7A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10BF96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A4E8E6">
      <w:start w:val="1"/>
      <w:numFmt w:val="lowerRoman"/>
      <w:lvlText w:val="%9."/>
      <w:lvlJc w:val="left"/>
      <w:pPr>
        <w:ind w:left="6186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C850B9C"/>
    <w:multiLevelType w:val="hybridMultilevel"/>
    <w:tmpl w:val="297CDBD0"/>
    <w:numStyleLink w:val="1"/>
  </w:abstractNum>
  <w:abstractNum w:abstractNumId="2" w15:restartNumberingAfterBreak="0">
    <w:nsid w:val="50C9669C"/>
    <w:multiLevelType w:val="hybridMultilevel"/>
    <w:tmpl w:val="6E004EEE"/>
    <w:styleLink w:val="3"/>
    <w:lvl w:ilvl="0" w:tplc="58844B5A">
      <w:start w:val="1"/>
      <w:numFmt w:val="decimal"/>
      <w:lvlText w:val="%1."/>
      <w:lvlJc w:val="left"/>
      <w:pPr>
        <w:ind w:left="42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54C32A">
      <w:start w:val="1"/>
      <w:numFmt w:val="lowerLetter"/>
      <w:lvlText w:val="%2."/>
      <w:lvlJc w:val="left"/>
      <w:pPr>
        <w:ind w:left="114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3C3618">
      <w:start w:val="1"/>
      <w:numFmt w:val="lowerRoman"/>
      <w:lvlText w:val="%3."/>
      <w:lvlJc w:val="left"/>
      <w:pPr>
        <w:ind w:left="1866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CA0F36">
      <w:start w:val="1"/>
      <w:numFmt w:val="decimal"/>
      <w:lvlText w:val="%4."/>
      <w:lvlJc w:val="left"/>
      <w:pPr>
        <w:ind w:left="258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D06472">
      <w:start w:val="1"/>
      <w:numFmt w:val="lowerLetter"/>
      <w:lvlText w:val="%5."/>
      <w:lvlJc w:val="left"/>
      <w:pPr>
        <w:ind w:left="330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EC89340">
      <w:start w:val="1"/>
      <w:numFmt w:val="lowerRoman"/>
      <w:lvlText w:val="%6."/>
      <w:lvlJc w:val="left"/>
      <w:pPr>
        <w:ind w:left="4026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3278C8">
      <w:start w:val="1"/>
      <w:numFmt w:val="decimal"/>
      <w:lvlText w:val="%7."/>
      <w:lvlJc w:val="left"/>
      <w:pPr>
        <w:ind w:left="474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01C27D0">
      <w:start w:val="1"/>
      <w:numFmt w:val="lowerLetter"/>
      <w:lvlText w:val="%8."/>
      <w:lvlJc w:val="left"/>
      <w:pPr>
        <w:ind w:left="546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9C5D54">
      <w:start w:val="1"/>
      <w:numFmt w:val="lowerRoman"/>
      <w:lvlText w:val="%9."/>
      <w:lvlJc w:val="left"/>
      <w:pPr>
        <w:ind w:left="6186" w:hanging="30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1F2419C"/>
    <w:multiLevelType w:val="hybridMultilevel"/>
    <w:tmpl w:val="E6920CDE"/>
    <w:numStyleLink w:val="2"/>
  </w:abstractNum>
  <w:abstractNum w:abstractNumId="4" w15:restartNumberingAfterBreak="0">
    <w:nsid w:val="69390E3B"/>
    <w:multiLevelType w:val="hybridMultilevel"/>
    <w:tmpl w:val="297CDBD0"/>
    <w:styleLink w:val="1"/>
    <w:lvl w:ilvl="0" w:tplc="4D48118A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5B2F7E0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20372C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762362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581AD8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2E2E7C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36CE72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FCD842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B0E5A6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F9D034C"/>
    <w:multiLevelType w:val="hybridMultilevel"/>
    <w:tmpl w:val="6E004EEE"/>
    <w:numStyleLink w:val="3"/>
  </w:abstractNum>
  <w:num w:numId="1" w16cid:durableId="1450513941">
    <w:abstractNumId w:val="4"/>
  </w:num>
  <w:num w:numId="2" w16cid:durableId="1767649736">
    <w:abstractNumId w:val="1"/>
  </w:num>
  <w:num w:numId="3" w16cid:durableId="824009945">
    <w:abstractNumId w:val="1"/>
    <w:lvlOverride w:ilvl="0">
      <w:lvl w:ilvl="0" w:tplc="73EEFFDA">
        <w:start w:val="1"/>
        <w:numFmt w:val="decimal"/>
        <w:lvlText w:val="%1."/>
        <w:lvlJc w:val="left"/>
        <w:pPr>
          <w:ind w:left="45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EDF8006A">
        <w:start w:val="1"/>
        <w:numFmt w:val="decimal"/>
        <w:lvlText w:val="%2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361080C4">
        <w:start w:val="1"/>
        <w:numFmt w:val="decimal"/>
        <w:lvlText w:val="%3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634CB626">
        <w:start w:val="1"/>
        <w:numFmt w:val="decimal"/>
        <w:lvlText w:val="%4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4BAC5E04">
        <w:start w:val="1"/>
        <w:numFmt w:val="decimal"/>
        <w:lvlText w:val="%5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519EACF8">
        <w:start w:val="1"/>
        <w:numFmt w:val="decimal"/>
        <w:lvlText w:val="%6."/>
        <w:lvlJc w:val="left"/>
        <w:pPr>
          <w:ind w:left="39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5B12316A">
        <w:start w:val="1"/>
        <w:numFmt w:val="decimal"/>
        <w:lvlText w:val="%7."/>
        <w:lvlJc w:val="left"/>
        <w:pPr>
          <w:ind w:left="47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3DC632DC">
        <w:start w:val="1"/>
        <w:numFmt w:val="decimal"/>
        <w:lvlText w:val="%8."/>
        <w:lvlJc w:val="left"/>
        <w:pPr>
          <w:ind w:left="54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86CCB476">
        <w:start w:val="1"/>
        <w:numFmt w:val="decimal"/>
        <w:lvlText w:val="%9."/>
        <w:lvlJc w:val="left"/>
        <w:pPr>
          <w:ind w:left="61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 w16cid:durableId="663583947">
    <w:abstractNumId w:val="0"/>
  </w:num>
  <w:num w:numId="5" w16cid:durableId="1907498176">
    <w:abstractNumId w:val="3"/>
  </w:num>
  <w:num w:numId="6" w16cid:durableId="1181239090">
    <w:abstractNumId w:val="3"/>
    <w:lvlOverride w:ilvl="0">
      <w:lvl w:ilvl="0" w:tplc="B6FC86AC">
        <w:start w:val="1"/>
        <w:numFmt w:val="decimal"/>
        <w:lvlText w:val="%1."/>
        <w:lvlJc w:val="left"/>
        <w:pPr>
          <w:ind w:left="45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F5ECF874">
        <w:start w:val="1"/>
        <w:numFmt w:val="lowerLetter"/>
        <w:lvlText w:val="%2."/>
        <w:lvlJc w:val="left"/>
        <w:pPr>
          <w:ind w:left="117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34807FF6">
        <w:start w:val="1"/>
        <w:numFmt w:val="lowerRoman"/>
        <w:lvlText w:val="%3."/>
        <w:lvlJc w:val="left"/>
        <w:pPr>
          <w:ind w:left="1894" w:hanging="3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6F78DF0A">
        <w:start w:val="1"/>
        <w:numFmt w:val="decimal"/>
        <w:lvlText w:val="%4."/>
        <w:lvlJc w:val="left"/>
        <w:pPr>
          <w:ind w:left="261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32FE931A">
        <w:start w:val="1"/>
        <w:numFmt w:val="lowerLetter"/>
        <w:lvlText w:val="%5."/>
        <w:lvlJc w:val="left"/>
        <w:pPr>
          <w:ind w:left="333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EA9AD036">
        <w:start w:val="1"/>
        <w:numFmt w:val="lowerRoman"/>
        <w:lvlText w:val="%6."/>
        <w:lvlJc w:val="left"/>
        <w:pPr>
          <w:ind w:left="4054" w:hanging="3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3C50516E">
        <w:start w:val="1"/>
        <w:numFmt w:val="decimal"/>
        <w:lvlText w:val="%7."/>
        <w:lvlJc w:val="left"/>
        <w:pPr>
          <w:ind w:left="477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781EAD2E">
        <w:start w:val="1"/>
        <w:numFmt w:val="lowerLetter"/>
        <w:lvlText w:val="%8."/>
        <w:lvlJc w:val="left"/>
        <w:pPr>
          <w:ind w:left="549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59BCEE60">
        <w:start w:val="1"/>
        <w:numFmt w:val="lowerRoman"/>
        <w:lvlText w:val="%9."/>
        <w:lvlJc w:val="left"/>
        <w:pPr>
          <w:ind w:left="6214" w:hanging="3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7" w16cid:durableId="1310524400">
    <w:abstractNumId w:val="2"/>
  </w:num>
  <w:num w:numId="8" w16cid:durableId="1671983127">
    <w:abstractNumId w:val="5"/>
    <w:lvlOverride w:ilvl="0">
      <w:lvl w:ilvl="0" w:tplc="4224AA80">
        <w:start w:val="1"/>
        <w:numFmt w:val="decimal"/>
        <w:lvlText w:val="%1."/>
        <w:lvlJc w:val="left"/>
        <w:pPr>
          <w:ind w:left="426" w:hanging="360"/>
        </w:pPr>
        <w:rPr>
          <w:rFonts w:hAnsi="Arial Unicode MS"/>
          <w:b w:val="0"/>
          <w:b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37708335">
    <w:abstractNumId w:val="5"/>
    <w:lvlOverride w:ilvl="0">
      <w:lvl w:ilvl="0" w:tplc="4224AA80">
        <w:start w:val="1"/>
        <w:numFmt w:val="decimal"/>
        <w:lvlText w:val="%1."/>
        <w:lvlJc w:val="left"/>
        <w:pPr>
          <w:ind w:left="425" w:hanging="357"/>
        </w:pPr>
        <w:rPr>
          <w:rFonts w:hAnsi="Arial Unicode MS"/>
          <w:b w:val="0"/>
          <w:b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E482284">
        <w:start w:val="1"/>
        <w:numFmt w:val="lowerLetter"/>
        <w:lvlText w:val="%2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644A282">
        <w:start w:val="1"/>
        <w:numFmt w:val="lowerRoman"/>
        <w:lvlText w:val="%3."/>
        <w:lvlJc w:val="left"/>
        <w:pPr>
          <w:ind w:left="1865" w:hanging="29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9E77D6">
        <w:start w:val="1"/>
        <w:numFmt w:val="decimal"/>
        <w:lvlText w:val="%4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4020E6A">
        <w:start w:val="1"/>
        <w:numFmt w:val="lowerLetter"/>
        <w:lvlText w:val="%5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4A60184">
        <w:start w:val="1"/>
        <w:numFmt w:val="lowerRoman"/>
        <w:lvlText w:val="%6."/>
        <w:lvlJc w:val="left"/>
        <w:pPr>
          <w:ind w:left="4025" w:hanging="29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B924840">
        <w:start w:val="1"/>
        <w:numFmt w:val="decimal"/>
        <w:lvlText w:val="%7."/>
        <w:lvlJc w:val="left"/>
        <w:pPr>
          <w:ind w:left="47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63089CA">
        <w:start w:val="1"/>
        <w:numFmt w:val="lowerLetter"/>
        <w:lvlText w:val="%8."/>
        <w:lvlJc w:val="left"/>
        <w:pPr>
          <w:ind w:left="546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B9EE10E">
        <w:start w:val="1"/>
        <w:numFmt w:val="lowerRoman"/>
        <w:lvlText w:val="%9."/>
        <w:lvlJc w:val="left"/>
        <w:pPr>
          <w:ind w:left="6185" w:hanging="29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A3D"/>
    <w:rsid w:val="00045364"/>
    <w:rsid w:val="004F39A7"/>
    <w:rsid w:val="0053189F"/>
    <w:rsid w:val="00614A3D"/>
    <w:rsid w:val="00A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803E"/>
  <w15:docId w15:val="{79BBC81B-50EF-4B8E-9F7E-A4098706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before="100" w:after="100" w:line="256" w:lineRule="auto"/>
    </w:pPr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pPr>
      <w:spacing w:before="100" w:after="100" w:line="256" w:lineRule="auto"/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4"/>
      </w:numPr>
    </w:pPr>
  </w:style>
  <w:style w:type="paragraph" w:styleId="a7">
    <w:name w:val="caption"/>
    <w:next w:val="a5"/>
    <w:pPr>
      <w:spacing w:after="200"/>
      <w:jc w:val="both"/>
    </w:pPr>
    <w:rPr>
      <w:rFonts w:cs="Arial Unicode MS"/>
      <w:i/>
      <w:i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3">
    <w:name w:val="Импортированный стиль 3"/>
    <w:pPr>
      <w:numPr>
        <w:numId w:val="7"/>
      </w:numPr>
    </w:pPr>
  </w:style>
  <w:style w:type="paragraph" w:styleId="a8">
    <w:name w:val="footnote text"/>
    <w:rPr>
      <w:rFonts w:ascii="Calibri" w:eastAsia="Calibri" w:hAnsi="Calibri" w:cs="Calibri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just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kumimoji="0" sz="1200" b="0" i="1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Романов</cp:lastModifiedBy>
  <cp:revision>3</cp:revision>
  <dcterms:created xsi:type="dcterms:W3CDTF">2026-02-06T20:41:00Z</dcterms:created>
  <dcterms:modified xsi:type="dcterms:W3CDTF">2026-02-06T20:43:00Z</dcterms:modified>
</cp:coreProperties>
</file>