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74C1D" w14:textId="1608D0B7" w:rsidR="1EC03449" w:rsidRDefault="1EC03449" w:rsidP="1EC03449">
      <w:pPr>
        <w:spacing w:before="195" w:after="195"/>
        <w:rPr>
          <w:rFonts w:ascii="Helvetica Neue" w:eastAsia="Helvetica Neue" w:hAnsi="Helvetica Neue" w:cs="Helvetica Neue"/>
          <w:color w:val="000000" w:themeColor="text1"/>
          <w:sz w:val="19"/>
          <w:szCs w:val="19"/>
        </w:rPr>
      </w:pPr>
    </w:p>
    <w:p w14:paraId="492400CE" w14:textId="6DFF2918" w:rsidR="3995BA8C" w:rsidRDefault="3995BA8C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Разработка концеации сервиса EcoPack</w:t>
      </w:r>
    </w:p>
    <w:p w14:paraId="4C69AD80" w14:textId="4B1C018E" w:rsidR="3995BA8C" w:rsidRDefault="3995BA8C" w:rsidP="1EC03449">
      <w:pPr>
        <w:spacing w:before="195" w:after="195"/>
        <w:rPr>
          <w:rFonts w:ascii="Helvetica Neue" w:eastAsia="Helvetica Neue" w:hAnsi="Helvetica Neue" w:cs="Helvetica Neue"/>
          <w:color w:val="000000" w:themeColor="text1"/>
          <w:sz w:val="48"/>
          <w:szCs w:val="48"/>
        </w:rPr>
      </w:pPr>
      <w:r w:rsidRPr="1EC03449">
        <w:rPr>
          <w:rFonts w:ascii="Helvetica Neue" w:eastAsia="Helvetica Neue" w:hAnsi="Helvetica Neue" w:cs="Helvetica Neue"/>
          <w:color w:val="000000" w:themeColor="text1"/>
          <w:sz w:val="48"/>
          <w:szCs w:val="48"/>
        </w:rPr>
        <w:t>EcoPack</w:t>
      </w:r>
    </w:p>
    <w:p w14:paraId="41AD8819" w14:textId="10DCDB17" w:rsidR="3995BA8C" w:rsidRDefault="3995BA8C" w:rsidP="1EC03449">
      <w:pPr>
        <w:spacing w:before="195" w:after="195"/>
        <w:rPr>
          <w:rFonts w:ascii="Helvetica Neue" w:eastAsia="Helvetica Neue" w:hAnsi="Helvetica Neue" w:cs="Helvetica Neue"/>
          <w:color w:val="000000" w:themeColor="text1"/>
        </w:rPr>
      </w:pPr>
      <w:r w:rsidRPr="1EC03449">
        <w:rPr>
          <w:rFonts w:ascii="Helvetica Neue" w:eastAsia="Helvetica Neue" w:hAnsi="Helvetica Neue" w:cs="Helvetica Neue"/>
          <w:color w:val="000000" w:themeColor="text1"/>
        </w:rPr>
        <w:t>Филиппович Вероника Алексеевна</w:t>
      </w:r>
    </w:p>
    <w:p w14:paraId="00DE1E3D" w14:textId="657F8A3B" w:rsidR="3995BA8C" w:rsidRDefault="3995BA8C" w:rsidP="1EC03449">
      <w:pPr>
        <w:spacing w:before="195" w:after="195"/>
        <w:rPr>
          <w:rFonts w:ascii="Helvetica Neue" w:eastAsia="Helvetica Neue" w:hAnsi="Helvetica Neue" w:cs="Helvetica Neue"/>
          <w:color w:val="000000" w:themeColor="text1"/>
          <w:sz w:val="48"/>
          <w:szCs w:val="48"/>
        </w:rPr>
      </w:pPr>
      <w:r w:rsidRPr="1EC03449">
        <w:rPr>
          <w:rFonts w:ascii="Helvetica Neue" w:eastAsia="Helvetica Neue" w:hAnsi="Helvetica Neue" w:cs="Helvetica Neue"/>
          <w:color w:val="000000" w:themeColor="text1"/>
          <w:sz w:val="48"/>
          <w:szCs w:val="48"/>
        </w:rPr>
        <w:t>Финансовый университет при правительстве РФ</w:t>
      </w:r>
    </w:p>
    <w:p w14:paraId="6097FB21" w14:textId="30E19FD7" w:rsidR="3995BA8C" w:rsidRDefault="3995BA8C" w:rsidP="1EC03449">
      <w:pPr>
        <w:spacing w:before="195" w:after="195"/>
        <w:rPr>
          <w:rFonts w:ascii="Helvetica Neue" w:eastAsia="Helvetica Neue" w:hAnsi="Helvetica Neue" w:cs="Helvetica Neue"/>
          <w:color w:val="000000" w:themeColor="text1"/>
        </w:rPr>
      </w:pPr>
      <w:r w:rsidRPr="1EC03449">
        <w:rPr>
          <w:rFonts w:ascii="Helvetica Neue" w:eastAsia="Helvetica Neue" w:hAnsi="Helvetica Neue" w:cs="Helvetica Neue"/>
          <w:color w:val="000000" w:themeColor="text1"/>
        </w:rPr>
        <w:t>Финансовый факультет</w:t>
      </w:r>
    </w:p>
    <w:p w14:paraId="6079B940" w14:textId="4514FCC0" w:rsidR="1EC03449" w:rsidRDefault="1EC03449" w:rsidP="1EC03449">
      <w:pPr>
        <w:spacing w:before="195" w:after="195"/>
        <w:rPr>
          <w:rFonts w:ascii="Helvetica Neue" w:eastAsia="Helvetica Neue" w:hAnsi="Helvetica Neue" w:cs="Helvetica Neue"/>
          <w:color w:val="000000" w:themeColor="text1"/>
          <w:sz w:val="19"/>
          <w:szCs w:val="19"/>
        </w:rPr>
      </w:pPr>
    </w:p>
    <w:p w14:paraId="4A469502" w14:textId="7401C323" w:rsidR="1EC03449" w:rsidRDefault="1EC03449" w:rsidP="1EC03449">
      <w:pPr>
        <w:spacing w:before="195" w:after="195"/>
        <w:rPr>
          <w:rFonts w:ascii="Helvetica Neue" w:eastAsia="Helvetica Neue" w:hAnsi="Helvetica Neue" w:cs="Helvetica Neue"/>
          <w:color w:val="000000" w:themeColor="text1"/>
          <w:sz w:val="19"/>
          <w:szCs w:val="19"/>
        </w:rPr>
      </w:pPr>
    </w:p>
    <w:p w14:paraId="03D4E810" w14:textId="75C82A4C" w:rsidR="00BE3EF0" w:rsidRDefault="4A1417BF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Аннотация  </w:t>
      </w:r>
    </w:p>
    <w:p w14:paraId="13D22FFF" w14:textId="20D2E38F" w:rsidR="00BE3EF0" w:rsidRDefault="4A1417BF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Разработана концепция сервиса EcoPack — мобильной платформы, интегрированной в приложения доставки еды и использующей сеть курьеров и API‑интеграции для организации замкнутого цикла возврата и переработки одноразовой пластиковой упаковки от заказов в городах‑миллионниках. Сервис позволяет пользователям без дополнительных поездок передавать чистую тару курьеру при следующем заказе, отдельным вызовом или «по пути» к соседу, тем самым снижая долю упаковки, попадающей на полигоны.  </w:t>
      </w:r>
    </w:p>
    <w:p w14:paraId="62867AA2" w14:textId="24D98DB4" w:rsidR="00BE3EF0" w:rsidRDefault="4A1417BF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Внедрение сервиса EcoPack предоставляет пользователям материальную мотивацию в виде бонусов за каждую сданную единицу упаковки и моральное удовлетворение от экологичного поведения, курьерам — дополнительный доход за операции по забору и фиксации тары, ресторанам — усиление ESG‑имиджа и рост лояльности клиентов, а переработчикам — стабильный поток предварительно отсортированного и чистого сырья.</w:t>
      </w:r>
    </w:p>
    <w:p w14:paraId="480EA3A9" w14:textId="3E398148" w:rsidR="00BE3EF0" w:rsidRDefault="00BE3EF0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033E5C7" w14:textId="55BDCCC3" w:rsidR="00BE3EF0" w:rsidRDefault="4A1417BF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Введение  </w:t>
      </w:r>
    </w:p>
    <w:p w14:paraId="594A0CFA" w14:textId="13D9AA88" w:rsidR="00BE3EF0" w:rsidRDefault="4A1417BF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Концепция сервиса EcoPack разработана для решения проблемы пластиковых отходов от доставки еды в городах‑миллионниках за счет создания удобной цифровой инфраструктуры возврата упаковки через уже существующие сервисы доставки. Сервис использует мобильное приложение, API‑интеграции с агрегаторами и модуль умного роутинга курьеров, что позволяет совмещать доставку еды с забором чистой тары без дополнительных поездок для пользователя.  </w:t>
      </w:r>
    </w:p>
    <w:p w14:paraId="76CFA8F0" w14:textId="5478F35D" w:rsidR="00BE3EF0" w:rsidRDefault="4A1417BF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Уникальность EcoPack заключается в том, что он превращает сеть курьеров в канал «обратной логистики» упаковки, предоставляя три сценария возврата (при следующем заказе, отдельный вызов, «по пути»), а также единую платформу учета, мотивации и отчетности для пользователей, ресторанов и переработчиков. Сервис решает проблему, при которой до 95% упаковки от доставки оказывается на полигонах из‑за отсутствия удобной инфраструктуры, и отвечает на запрос растущей аудитории, испытывающей экологическую тревогу, но не готовой тратить время на поездки в пункты приема. Актуальность подтверждается ростом рынка доставки еды и интересом к устойчивому потреблению, что делает EcoPack значимым инструментом для развития городской циклической экономики.</w:t>
      </w:r>
    </w:p>
    <w:p w14:paraId="16F25E99" w14:textId="10AE82F2" w:rsidR="00BE3EF0" w:rsidRDefault="00BE3EF0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3C4C817" w14:textId="63F52345" w:rsidR="00BE3EF0" w:rsidRDefault="72A7D189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Анализ аналогов  </w:t>
      </w:r>
    </w:p>
    <w:p w14:paraId="6B731952" w14:textId="0B5DE8BA" w:rsidR="00BE3EF0" w:rsidRDefault="72A7D189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Основными аналогами сервиса EcoPack являются стационарные пункты приёма вторсырья (например, экоцентры и контейнеры для раздельного сбора) и разовые городские акции по сбору пластика, организуемые экологическими инициативами и НКО. Эти решения позволяют сдавать упаковку на переработку, но требуют от пользователей дополнительного времени, поездок и самостоятельного поиска подходящих точек, поэтому ими регулярно пользуется лишь малая доля аудитории.  </w:t>
      </w:r>
    </w:p>
    <w:p w14:paraId="1C99E0AB" w14:textId="27AE82AE" w:rsidR="00BE3EF0" w:rsidRDefault="72A7D189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Сервис EcoPack отличается от аналогов тем, что встраивается непосредственно в привычный сценарий заказа еды через популярные приложения доставки и использует существующую сеть курьеров для «обратной логистики» упаковки. Три гибких сценария возврата (при следующем заказе, отдельный вызов, «по пути» к соседу), автоматическое начисление бонусов и удобная цифровая отчетность для ресторанов и переработчиков делают EcoPack более удобным, мотивирующим и технологичным решением, чем стационарные пункты и разовые акции.</w:t>
      </w:r>
    </w:p>
    <w:p w14:paraId="2190D81E" w14:textId="5C8F6C93" w:rsidR="00BE3EF0" w:rsidRDefault="00BE3EF0" w:rsidP="1EC03449">
      <w:pPr>
        <w:spacing w:after="0"/>
        <w:rPr>
          <w:rFonts w:ascii="Times New Roman" w:eastAsia="Times New Roman" w:hAnsi="Times New Roman" w:cs="Times New Roman"/>
          <w:sz w:val="22"/>
          <w:szCs w:val="22"/>
        </w:rPr>
      </w:pPr>
    </w:p>
    <w:p w14:paraId="510A0679" w14:textId="453631F8" w:rsidR="00BE3EF0" w:rsidRDefault="00BE3EF0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C3F7F86" w14:textId="4EBAC8B0" w:rsidR="00BE3EF0" w:rsidRDefault="4A1417BF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Архитектура сервиса  </w:t>
      </w:r>
    </w:p>
    <w:p w14:paraId="0A2F18AE" w14:textId="3D1297C2" w:rsidR="00BE3EF0" w:rsidRDefault="4A1417BF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Участники сервиса и их функции (в алфавитном порядке):  </w:t>
      </w:r>
    </w:p>
    <w:p w14:paraId="1EB2BE41" w14:textId="40D47A24" w:rsidR="00BE3EF0" w:rsidRDefault="4A1417BF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- Курьер — принимает заказы на доставку еды и одновременно задания на забор чистой упаковки у пользователей, сканирует QR‑коды, доставляет собранную тару на сортировочный склад.  </w:t>
      </w:r>
    </w:p>
    <w:p w14:paraId="6E514F78" w14:textId="081BECF2" w:rsidR="00BE3EF0" w:rsidRDefault="4A1417BF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- Платформа EcoPack — обрабатывает заявки на возврат, выполняет умный роутинг курьеров, начисляет бонусы пользователям и вознаграждение курьерам, обеспечивает интеграцию с сервисами доставки, ресторанами и переработчиками.  </w:t>
      </w:r>
    </w:p>
    <w:p w14:paraId="55FA3EFC" w14:textId="0C5F9E73" w:rsidR="00BE3EF0" w:rsidRDefault="4A1417BF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- Пользователь — оформляет заказ еды в партнерском приложении, отмечает желание вернуть упаковку, подготавливает и передает курьеру чистую тару, накапливает бонусы.  </w:t>
      </w:r>
    </w:p>
    <w:p w14:paraId="3A3C9A3B" w14:textId="31CD767D" w:rsidR="00BE3EF0" w:rsidRDefault="4A1417BF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- Ресторан‑партнер — использует маркированную упаковку, подключается к EcoPack через интеграцию, оплачивает комиссию за возврат тары, получает статистику и ESG‑отчётность.  </w:t>
      </w:r>
    </w:p>
    <w:p w14:paraId="3617E2D5" w14:textId="27ACDE19" w:rsidR="00BE3EF0" w:rsidRDefault="4A1417BF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- Центр переработки — принимает от сортировочного склада отсортированную пластиковую упаковку, перерабатывает её в сырьё (гранулы) и формирует отчёты по объёму принятых отходов.  </w:t>
      </w:r>
    </w:p>
    <w:p w14:paraId="4C839AFD" w14:textId="5D1B7EFB" w:rsidR="00BE3EF0" w:rsidRDefault="4A1417BF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Схема сервиса (описательно, как на рисунке):  </w:t>
      </w:r>
    </w:p>
    <w:p w14:paraId="69891F72" w14:textId="3089604D" w:rsidR="00BE3EF0" w:rsidRDefault="4A1417BF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В центре располагается Платформа EcoPack, к которой стрелками подключены: Пользователь и Ресторан‑партнер через приложения доставки, Курьер через курьерское приложение, а также Центр переработки через контур логистики и отчётности. Пользователь через приложение доставки инициирует заявку на возврат, она передается в EcoPack, затем из EcoPack — в приложение Курьера как задание; после забора тары Курьер отправляет подтверждение в EcoPack, а платформа обновляет статус для Пользователя и Ресторана и передает данные в контур переработки.  </w:t>
      </w:r>
    </w:p>
    <w:p w14:paraId="0C31F407" w14:textId="66E4BD0D" w:rsidR="00BE3EF0" w:rsidRDefault="00BE3EF0" w:rsidP="1EC03449">
      <w:pPr>
        <w:spacing w:before="195" w:after="195"/>
        <w:rPr>
          <w:rFonts w:ascii="Times New Roman" w:eastAsia="Times New Roman" w:hAnsi="Times New Roman" w:cs="Times New Roman"/>
          <w:sz w:val="22"/>
          <w:szCs w:val="22"/>
        </w:rPr>
      </w:pPr>
    </w:p>
    <w:p w14:paraId="6668680B" w14:textId="1191FD7E" w:rsidR="00BE3EF0" w:rsidRDefault="4A1417BF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Информационные потоки (каждая «стрелка»):  </w:t>
      </w:r>
    </w:p>
    <w:p w14:paraId="130638DE" w14:textId="201A4E58" w:rsidR="00BE3EF0" w:rsidRDefault="4A1417BF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1. Пользователь → Платформа EcoPack (через приложение доставки): Пользователь при оформлении заказа ставит отметку «Вернуть упаковку», сервис доставки отправляет в EcoPack данные заказа и запроса на возврат; EcoPack создаёт заявку и возвращает подтверждение с номером заявки.  </w:t>
      </w:r>
    </w:p>
    <w:p w14:paraId="7FBB54D4" w14:textId="4D421764" w:rsidR="00BE3EF0" w:rsidRDefault="4A1417BF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2. Платформа EcoPack → Курьер: EcoPack с учетом геолокации и маршрута подбирает оптимального курьера и отправляет ему задание с адресом пользователя, временем забора и номером заявки; курьер принимает задание и планирует маршрут.  </w:t>
      </w:r>
    </w:p>
    <w:p w14:paraId="114DB7FD" w14:textId="5F4147C4" w:rsidR="00BE3EF0" w:rsidRDefault="4A1417BF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3. Курьер → Платформа EcoPack: После забора упаковки курьер сканирует QR‑код пользователя и передает в EcoPack данные о типе и количестве тары, времени операции и своем идентификаторе; платформа проверяет корректность и фиксирует успешное выполнение задания.  </w:t>
      </w:r>
    </w:p>
    <w:p w14:paraId="42FA33B4" w14:textId="0F511F35" w:rsidR="00BE3EF0" w:rsidRDefault="4A1417BF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4. Платформа EcoPack → Пользователь: EcoPack начисляет пользователю бонусы за сданную упаковку, обновляет его баланс и отправляет уведомление в приложение доставки о завершении операции и количестве полученных бонусов.  </w:t>
      </w:r>
    </w:p>
    <w:p w14:paraId="39B52921" w14:textId="332A675D" w:rsidR="00BE3EF0" w:rsidRDefault="4A1417BF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5. Платформа EcoPack → Ресторан‑партнер: EcoPack агрегирует данные о возвратах упаковки по каждому ресторану и периодически направляет в его кабинет статистику и ESG‑отчёты, а также информацию о начисленных комиссиях и платежах.  </w:t>
      </w:r>
    </w:p>
    <w:p w14:paraId="078126B9" w14:textId="05841EFF" w:rsidR="00BE3EF0" w:rsidRDefault="4A1417BF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6. Платформа EcoPack → Центр переработки: Платформа формирует для переработчика реестр партий собранной упаковки (тип пластика, объём, источник) и передает эти данные вместе с планом логистики; Центр переработки подтверждает прием сырья и отправляет обратно фактические показатели, которые учитываются в аналитике EcoPack.</w:t>
      </w:r>
    </w:p>
    <w:p w14:paraId="2E657C80" w14:textId="268732C9" w:rsidR="00BE3EF0" w:rsidRDefault="03654508" w:rsidP="1EC03449">
      <w:pPr>
        <w:spacing w:before="195" w:after="195"/>
        <w:rPr>
          <w:rFonts w:ascii="Helvetica Neue" w:eastAsia="Helvetica Neue" w:hAnsi="Helvetica Neue" w:cs="Helvetica Neue"/>
          <w:color w:val="000000" w:themeColor="text1"/>
          <w:sz w:val="19"/>
          <w:szCs w:val="19"/>
        </w:rPr>
      </w:pPr>
      <w:r>
        <w:rPr>
          <w:noProof/>
        </w:rPr>
        <w:drawing>
          <wp:inline distT="0" distB="0" distL="0" distR="0" wp14:anchorId="7955A56F" wp14:editId="2ACAC305">
            <wp:extent cx="6724650" cy="3725971"/>
            <wp:effectExtent l="0" t="0" r="0" b="0"/>
            <wp:docPr id="12476545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5451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372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17AE" w14:textId="21136384" w:rsidR="00BE3EF0" w:rsidRDefault="00BE3EF0" w:rsidP="71EAF719"/>
    <w:p w14:paraId="46798710" w14:textId="39BDE046" w:rsidR="01CA9844" w:rsidRDefault="01CA9844"/>
    <w:p w14:paraId="2E89136A" w14:textId="739C24E5" w:rsidR="01CA9844" w:rsidRDefault="03654508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Области применения сервиса  </w:t>
      </w:r>
    </w:p>
    <w:p w14:paraId="657515AA" w14:textId="18B8BCBE" w:rsidR="01CA9844" w:rsidRDefault="03654508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Сервис EcoPack может применяться в крупных городах и городах‑миллионниках, где высока доля заказов еды через агрегаторы доставки и остро стоит проблема накопления одноразовой пластиковой упаковки. Наиболее перспективными являются районы с плотной жилой застройкой и развитой курьерской логистикой, где пользователи часто делают заказы и готовы выбирать более экологичные сценарии потребления.  </w:t>
      </w:r>
    </w:p>
    <w:p w14:paraId="0DCFEB49" w14:textId="6D0871B6" w:rsidR="01CA9844" w:rsidRDefault="03654508" w:rsidP="1EC0344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EcoPack особенно полезен для сетевых и локальных ресторанов, dark‑kitchen и служб доставки, которые хотят улучшить свой ESG‑имидж, получить измеримые показатели по возврату упаковки и использовать их в отчётности. Также сервис может применяться переработчиками пластика как источник стабильного потока отсортированного сырья и региональными экологическими программами как цифровой инструмент развития раздельного сбора и циклической экономики.</w:t>
      </w:r>
    </w:p>
    <w:p w14:paraId="04308AA9" w14:textId="7355E24B" w:rsidR="1EC03449" w:rsidRDefault="1EC03449" w:rsidP="1EC0344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04D892B" w14:textId="710B4EA8" w:rsidR="7182215E" w:rsidRDefault="7182215E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Экономическая эффективность  </w:t>
      </w:r>
    </w:p>
    <w:p w14:paraId="4B8443B5" w14:textId="0024B73B" w:rsidR="7182215E" w:rsidRDefault="7182215E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Проект сервиса EcoPack является экономически привлекательным для инвесторов на горизонте 5 лет планирования. Финансовая модель предполагает начальные инвестиции в разработку и запуск, отрицательные денежные потоки в первый год и последующий устойчивый рост выручки за счет комиссий с ресторанов, платных вызовов курьеров и продажи аналитических данных переработчикам.</w:t>
      </w:r>
    </w:p>
    <w:p w14:paraId="522138C7" w14:textId="0B91DB4B" w:rsidR="7182215E" w:rsidRDefault="7182215E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С учётом принятой ставки дисконтирования около 18–20% чистая приведённая стоимость (NPV) проекта положительна и составляет порядка 8,45 млн руб., внутренняя норма доходности (IRR) достигает 67%, а дисконтируемый срок окупаемости (DPP) — примерно 3,2 года, что меньше горизонта планирования. Индекс прибыльности (PI) превышает 1, а рентабельность инвестиций (ROI) по итогам пятого года значительно выше 100%, что свидетельствует о высокой эффективности вложений при учёте ключевых рисков спроса, роста операционных расходов и регуляторных изменений.</w:t>
      </w:r>
    </w:p>
    <w:p w14:paraId="07CDE97C" w14:textId="16AD33DB" w:rsidR="1EC03449" w:rsidRDefault="1EC03449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A921A08" w14:textId="4598EE7F" w:rsidR="7182215E" w:rsidRDefault="7182215E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Заключение  </w:t>
      </w:r>
    </w:p>
    <w:p w14:paraId="390389F8" w14:textId="690333F6" w:rsidR="7182215E" w:rsidRDefault="7182215E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Сервис EcoPack имеет высокий потенциал популярности среди активных пользователей доставки еды в городах‑миллионниках, так как превращает экологичное поведение в удобное и привычное действие, не требующее дополнительных поездок и времени. Пользователь получает понятную выгоду в виде бонусов и морального удовлетворения, курьеры — дополнительный доход, а рестораны и переработчики — новые возможности для повышения лояльности клиентов и устойчивого развития бизнеса.  </w:t>
      </w:r>
    </w:p>
    <w:p w14:paraId="3EFF835F" w14:textId="24A5FB1E" w:rsidR="7182215E" w:rsidRDefault="7182215E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Благодаря интеграции в существующие приложения доставки, использованию текущей курьерской инфраструктуры и экономически обоснованной модели с положительными показателями NPV, IRR и приемлемым сроком окупаемости, EcoPack способен занять устойчивую нишу в экосистеме городских сервисов. Это делает его перспективным решением как с точки зрения экологии и социальной значимости, так и с позиции финансовой привлекательности для всех участников рынка.</w:t>
      </w:r>
    </w:p>
    <w:p w14:paraId="6C816EE7" w14:textId="10CCADBB" w:rsidR="2A9C2444" w:rsidRDefault="2A9C2444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Список литературы  </w:t>
      </w:r>
    </w:p>
    <w:p w14:paraId="48C6FC80" w14:textId="20FD415C" w:rsidR="2A9C2444" w:rsidRDefault="2A9C2444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1. Федеральный закон от 24.06.1998 № 89‑ФЗ (ред. от 01.07.2024) «Об отходах производства и потребления».  </w:t>
      </w:r>
    </w:p>
    <w:p w14:paraId="6FC1BA1E" w14:textId="25DBDB18" w:rsidR="2A9C2444" w:rsidRDefault="2A9C2444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2. Национальный проект «Экология». Паспорт федерального проекта «Комплексная система обращения с твердыми коммунальными отходами».  </w:t>
      </w:r>
    </w:p>
    <w:p w14:paraId="60436B79" w14:textId="31A0B14C" w:rsidR="2A9C2444" w:rsidRDefault="2A9C2444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3. Исследование рынка онлайн‑доставки еды в России 2024 / Аналитический центр «Data Insight».  </w:t>
      </w:r>
    </w:p>
    <w:p w14:paraId="0DC5DDA0" w14:textId="39A1639A" w:rsidR="2A9C2444" w:rsidRDefault="2A9C2444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4. Пластик в экономике замкнутого цикла: глобальные тренды и российская практика / Обзор Deloitte CIS, 2023.  </w:t>
      </w:r>
    </w:p>
    <w:p w14:paraId="23385C2B" w14:textId="369E7CFF" w:rsidR="2A9C2444" w:rsidRDefault="2A9C2444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5. Петрова И.С., Сидоров А.В. Поведение потребителей поколения Z и миллениалов в контексте устойчивого развития // Маркетинг и маркетинговые исследования. 2023. № 4. С. 45–58.  </w:t>
      </w:r>
    </w:p>
    <w:p w14:paraId="50A109D8" w14:textId="54207EBB" w:rsidR="2A9C2444" w:rsidRDefault="2A9C2444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6. Отчёт об устойчивом развитии сервиса «Яндекс Еда» за 2023 год.  </w:t>
      </w:r>
    </w:p>
    <w:p w14:paraId="1F399414" w14:textId="585497BB" w:rsidR="2A9C2444" w:rsidRDefault="2A9C2444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7. Исследование «Экологические привычки россиян» / ВЦИОМ, пресс‑выпуск № 4673, 2024.  </w:t>
      </w:r>
    </w:p>
    <w:p w14:paraId="78C72727" w14:textId="6D90A71D" w:rsidR="2A9C2444" w:rsidRDefault="2A9C2444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C034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8. Рынок переработки пластиковых отходов в России: итоги 2023, прогноз до 2030 / Ассоциация «РусПЭК», 2024.</w:t>
      </w:r>
    </w:p>
    <w:p w14:paraId="18654AC2" w14:textId="0C620B21" w:rsidR="1EC03449" w:rsidRDefault="1EC03449" w:rsidP="1EC03449">
      <w:pPr>
        <w:spacing w:before="195" w:after="195"/>
        <w:rPr>
          <w:rFonts w:ascii="Times New Roman" w:eastAsia="Times New Roman" w:hAnsi="Times New Roman" w:cs="Times New Roman"/>
          <w:sz w:val="22"/>
          <w:szCs w:val="22"/>
        </w:rPr>
      </w:pPr>
    </w:p>
    <w:p w14:paraId="3B783981" w14:textId="3F885C99" w:rsidR="1EC03449" w:rsidRDefault="1EC03449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BC55EBC" w14:textId="05FAAB28" w:rsidR="1EC03449" w:rsidRDefault="1EC03449" w:rsidP="1EC03449">
      <w:pPr>
        <w:spacing w:after="0"/>
        <w:rPr>
          <w:rFonts w:ascii="Times New Roman" w:eastAsia="Times New Roman" w:hAnsi="Times New Roman" w:cs="Times New Roman"/>
          <w:sz w:val="22"/>
          <w:szCs w:val="22"/>
        </w:rPr>
      </w:pPr>
    </w:p>
    <w:p w14:paraId="13A8C3BE" w14:textId="54DD3014" w:rsidR="1EC03449" w:rsidRDefault="1EC03449" w:rsidP="1EC03449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530FF8C" w14:textId="3BBAB2B1" w:rsidR="1EC03449" w:rsidRDefault="1EC03449" w:rsidP="1EC0344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sectPr w:rsidR="1EC03449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02CB8" w14:textId="77777777" w:rsidR="00202802" w:rsidRDefault="00202802">
      <w:pPr>
        <w:spacing w:after="0" w:line="240" w:lineRule="auto"/>
      </w:pPr>
      <w:r>
        <w:separator/>
      </w:r>
    </w:p>
  </w:endnote>
  <w:endnote w:type="continuationSeparator" w:id="0">
    <w:p w14:paraId="59E28CD6" w14:textId="77777777" w:rsidR="00202802" w:rsidRDefault="002028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EC03449" w14:paraId="3412FAC5" w14:textId="77777777" w:rsidTr="1EC03449">
      <w:trPr>
        <w:trHeight w:val="300"/>
      </w:trPr>
      <w:tc>
        <w:tcPr>
          <w:tcW w:w="3005" w:type="dxa"/>
        </w:tcPr>
        <w:p w14:paraId="4EC665DE" w14:textId="44F895E5" w:rsidR="1EC03449" w:rsidRDefault="1EC03449" w:rsidP="1EC03449">
          <w:pPr>
            <w:pStyle w:val="a3"/>
            <w:ind w:left="-115"/>
          </w:pPr>
        </w:p>
      </w:tc>
      <w:tc>
        <w:tcPr>
          <w:tcW w:w="3005" w:type="dxa"/>
        </w:tcPr>
        <w:p w14:paraId="6C5946DA" w14:textId="5F452A06" w:rsidR="1EC03449" w:rsidRDefault="1EC03449" w:rsidP="1EC03449">
          <w:pPr>
            <w:pStyle w:val="a3"/>
            <w:jc w:val="center"/>
          </w:pPr>
        </w:p>
      </w:tc>
      <w:tc>
        <w:tcPr>
          <w:tcW w:w="3005" w:type="dxa"/>
        </w:tcPr>
        <w:p w14:paraId="42306D67" w14:textId="5665F8D6" w:rsidR="1EC03449" w:rsidRDefault="1EC03449" w:rsidP="1EC03449">
          <w:pPr>
            <w:pStyle w:val="a3"/>
            <w:ind w:right="-115"/>
            <w:jc w:val="right"/>
          </w:pPr>
        </w:p>
      </w:tc>
    </w:tr>
  </w:tbl>
  <w:p w14:paraId="2F0A55EB" w14:textId="0138C1BB" w:rsidR="1EC03449" w:rsidRDefault="1EC03449" w:rsidP="1EC0344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83364" w14:textId="77777777" w:rsidR="00202802" w:rsidRDefault="00202802">
      <w:pPr>
        <w:spacing w:after="0" w:line="240" w:lineRule="auto"/>
      </w:pPr>
      <w:r>
        <w:separator/>
      </w:r>
    </w:p>
  </w:footnote>
  <w:footnote w:type="continuationSeparator" w:id="0">
    <w:p w14:paraId="05BF71DC" w14:textId="77777777" w:rsidR="00202802" w:rsidRDefault="002028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EC03449" w14:paraId="7243B2C0" w14:textId="77777777" w:rsidTr="1EC03449">
      <w:trPr>
        <w:trHeight w:val="300"/>
      </w:trPr>
      <w:tc>
        <w:tcPr>
          <w:tcW w:w="3005" w:type="dxa"/>
        </w:tcPr>
        <w:p w14:paraId="4D495BEE" w14:textId="3BB84365" w:rsidR="1EC03449" w:rsidRDefault="1EC03449" w:rsidP="1EC03449">
          <w:pPr>
            <w:pStyle w:val="a3"/>
            <w:ind w:left="-115"/>
          </w:pPr>
        </w:p>
      </w:tc>
      <w:tc>
        <w:tcPr>
          <w:tcW w:w="3005" w:type="dxa"/>
        </w:tcPr>
        <w:p w14:paraId="14D68D6A" w14:textId="6A28A65E" w:rsidR="1EC03449" w:rsidRDefault="1EC03449" w:rsidP="1EC03449">
          <w:pPr>
            <w:pStyle w:val="a3"/>
            <w:jc w:val="center"/>
          </w:pPr>
        </w:p>
      </w:tc>
      <w:tc>
        <w:tcPr>
          <w:tcW w:w="3005" w:type="dxa"/>
        </w:tcPr>
        <w:p w14:paraId="08DCC66E" w14:textId="2B470CDA" w:rsidR="1EC03449" w:rsidRDefault="1EC03449" w:rsidP="1EC03449">
          <w:pPr>
            <w:pStyle w:val="a3"/>
            <w:ind w:right="-115"/>
            <w:jc w:val="right"/>
          </w:pPr>
        </w:p>
      </w:tc>
    </w:tr>
  </w:tbl>
  <w:p w14:paraId="0BA8C307" w14:textId="0FC23E86" w:rsidR="1EC03449" w:rsidRDefault="1EC03449" w:rsidP="1EC0344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37888F"/>
    <w:rsid w:val="00202802"/>
    <w:rsid w:val="00371B1B"/>
    <w:rsid w:val="00580BE0"/>
    <w:rsid w:val="00625201"/>
    <w:rsid w:val="009C6275"/>
    <w:rsid w:val="00A4483F"/>
    <w:rsid w:val="00A77539"/>
    <w:rsid w:val="00B30F77"/>
    <w:rsid w:val="00BE3EF0"/>
    <w:rsid w:val="00D3592E"/>
    <w:rsid w:val="00DA0F64"/>
    <w:rsid w:val="00E64707"/>
    <w:rsid w:val="01CA9844"/>
    <w:rsid w:val="03654508"/>
    <w:rsid w:val="0687AAC3"/>
    <w:rsid w:val="0B37888F"/>
    <w:rsid w:val="184FBA65"/>
    <w:rsid w:val="1E0153F9"/>
    <w:rsid w:val="1EC03449"/>
    <w:rsid w:val="2A9C2444"/>
    <w:rsid w:val="2D52D3C2"/>
    <w:rsid w:val="33C3EE12"/>
    <w:rsid w:val="35886113"/>
    <w:rsid w:val="3995BA8C"/>
    <w:rsid w:val="4A1417BF"/>
    <w:rsid w:val="4BA1BB00"/>
    <w:rsid w:val="4F5136E1"/>
    <w:rsid w:val="51DEA98B"/>
    <w:rsid w:val="56728725"/>
    <w:rsid w:val="60C9FEC0"/>
    <w:rsid w:val="6356C1F5"/>
    <w:rsid w:val="63C1CD65"/>
    <w:rsid w:val="6A8DB5F1"/>
    <w:rsid w:val="7098F919"/>
    <w:rsid w:val="7182215E"/>
    <w:rsid w:val="71EAF719"/>
    <w:rsid w:val="72A7D189"/>
    <w:rsid w:val="75BC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37888F"/>
  <w15:chartTrackingRefBased/>
  <w15:docId w15:val="{BA65BC1E-C19F-654E-B591-4C6BA9B37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rsid w:val="1EC03449"/>
    <w:pPr>
      <w:tabs>
        <w:tab w:val="center" w:pos="4680"/>
        <w:tab w:val="right" w:pos="9360"/>
      </w:tabs>
      <w:spacing w:after="0" w:line="240" w:lineRule="auto"/>
    </w:pPr>
  </w:style>
  <w:style w:type="paragraph" w:styleId="a4">
    <w:name w:val="footer"/>
    <w:basedOn w:val="a"/>
    <w:uiPriority w:val="99"/>
    <w:unhideWhenUsed/>
    <w:rsid w:val="1EC03449"/>
    <w:pPr>
      <w:tabs>
        <w:tab w:val="center" w:pos="4680"/>
        <w:tab w:val="right" w:pos="9360"/>
      </w:tabs>
      <w:spacing w:after="0" w:line="240" w:lineRule="auto"/>
    </w:pPr>
  </w:style>
  <w:style w:type="table" w:styleId="a5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1502</Words>
  <Characters>8567</Characters>
  <Application>Microsoft Office Word</Application>
  <DocSecurity>0</DocSecurity>
  <Lines>71</Lines>
  <Paragraphs>20</Paragraphs>
  <ScaleCrop>false</ScaleCrop>
  <Company/>
  <LinksUpToDate>false</LinksUpToDate>
  <CharactersWithSpaces>10049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veronikafil91@gmail.com</dc:creator>
  <cp:keywords/>
  <dc:description/>
  <cp:lastModifiedBy>veronikafil91@gmail.com</cp:lastModifiedBy>
  <cp:revision>2</cp:revision>
  <dcterms:created xsi:type="dcterms:W3CDTF">2026-02-07T15:53:00Z</dcterms:created>
  <dcterms:modified xsi:type="dcterms:W3CDTF">2026-02-07T15:53:00Z</dcterms:modified>
</cp:coreProperties>
</file>