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after="0" w:line="360" w:lineRule="auto"/>
        <w:ind/>
        <w:jc w:val="center"/>
        <w:rPr>
          <w:rFonts w:cs="Times New Roman"/>
          <w:b/>
          <w:bCs/>
          <w:sz w:val="36"/>
          <w:szCs w:val="36"/>
        </w:rPr>
      </w:pPr>
      <w:r>
        <w:rPr>
          <w:rFonts w:cs="Times New Roman"/>
          <w:b/>
          <w:bCs/>
          <w:sz w:val="36"/>
          <w:szCs w:val="44"/>
        </w:rPr>
        <w:t xml:space="preserve">ФГБОУ ВО Кубанский ГАУ</w:t>
      </w:r>
      <w:r>
        <w:rPr>
          <w:rFonts w:cs="Times New Roman"/>
          <w:b/>
          <w:bCs/>
          <w:sz w:val="36"/>
          <w:szCs w:val="36"/>
        </w:rPr>
      </w:r>
    </w:p>
    <w:p>
      <w:pPr>
        <w:pBdr/>
        <w:spacing w:after="0" w:line="360" w:lineRule="auto"/>
        <w:ind/>
        <w:jc w:val="center"/>
        <w:rPr>
          <w:rFonts w:cs="Times New Roman"/>
          <w:b/>
          <w:bCs/>
          <w:sz w:val="36"/>
          <w:szCs w:val="44"/>
        </w:rPr>
      </w:pPr>
      <w:r>
        <w:rPr>
          <w:rFonts w:cs="Times New Roman"/>
          <w:b/>
          <w:bCs/>
          <w:sz w:val="36"/>
          <w:szCs w:val="44"/>
        </w:rPr>
        <w:t xml:space="preserve">НАЦИОНАЛЬНАЯ СИСТЕМА ПЛАТЕЖНЫХ КАРТ</w:t>
      </w:r>
      <w:r>
        <w:rPr>
          <w:rFonts w:cs="Times New Roman"/>
          <w:b/>
          <w:bCs/>
          <w:sz w:val="36"/>
          <w:szCs w:val="44"/>
        </w:rPr>
      </w:r>
    </w:p>
    <w:p>
      <w:pPr>
        <w:pBdr/>
        <w:spacing w:line="360" w:lineRule="auto"/>
        <w:ind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</w:r>
      <w:r>
        <w:rPr>
          <w:rFonts w:cs="Times New Roman"/>
          <w:b/>
          <w:bCs/>
        </w:rPr>
      </w:r>
    </w:p>
    <w:p>
      <w:pPr>
        <w:pBdr/>
        <w:spacing w:line="360" w:lineRule="auto"/>
        <w:ind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</w:r>
      <w:r>
        <w:rPr>
          <w:rFonts w:cs="Times New Roman"/>
          <w:b/>
          <w:bCs/>
        </w:rPr>
      </w:r>
    </w:p>
    <w:p>
      <w:pPr>
        <w:pBdr/>
        <w:spacing w:line="360" w:lineRule="auto"/>
        <w:ind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</w:r>
      <w:r>
        <w:rPr>
          <w:rFonts w:cs="Times New Roman"/>
          <w:b/>
          <w:bCs/>
        </w:rPr>
      </w:r>
    </w:p>
    <w:p>
      <w:pPr>
        <w:pBdr/>
        <w:spacing w:line="360" w:lineRule="auto"/>
        <w:ind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</w:r>
      <w:r>
        <w:rPr>
          <w:rFonts w:cs="Times New Roman"/>
          <w:b/>
          <w:bCs/>
        </w:rPr>
      </w:r>
    </w:p>
    <w:p>
      <w:pPr>
        <w:pBdr/>
        <w:spacing w:line="360" w:lineRule="auto"/>
        <w:ind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</w:r>
      <w:r>
        <w:rPr>
          <w:rFonts w:cs="Times New Roman"/>
          <w:b/>
          <w:bCs/>
        </w:rPr>
      </w:r>
    </w:p>
    <w:p>
      <w:pPr>
        <w:pBdr/>
        <w:spacing w:line="360" w:lineRule="auto"/>
        <w:ind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</w:r>
      <w:r>
        <w:rPr>
          <w:rFonts w:cs="Times New Roman"/>
          <w:b/>
          <w:bCs/>
        </w:rPr>
      </w:r>
    </w:p>
    <w:p>
      <w:pPr>
        <w:pBdr/>
        <w:spacing w:line="360" w:lineRule="auto"/>
        <w:ind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</w:r>
      <w:r>
        <w:rPr>
          <w:rFonts w:cs="Times New Roman"/>
          <w:b/>
          <w:bCs/>
        </w:rPr>
      </w:r>
    </w:p>
    <w:p>
      <w:pPr>
        <w:pBdr/>
        <w:spacing w:line="360" w:lineRule="auto"/>
        <w:ind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</w:r>
      <w:r>
        <w:rPr>
          <w:rFonts w:cs="Times New Roman"/>
          <w:b/>
          <w:bCs/>
        </w:rPr>
      </w:r>
    </w:p>
    <w:p>
      <w:pPr>
        <w:pBdr/>
        <w:spacing w:after="0" w:line="360" w:lineRule="auto"/>
        <w:ind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  <w:sz w:val="36"/>
          <w:szCs w:val="32"/>
        </w:rPr>
        <w:t xml:space="preserve">Обоснование реализации сервиса</w:t>
      </w:r>
      <w:r>
        <w:rPr>
          <w:rFonts w:cs="Times New Roman"/>
          <w:b/>
          <w:bCs/>
        </w:rPr>
      </w:r>
    </w:p>
    <w:p>
      <w:pPr>
        <w:pBdr/>
        <w:spacing w:after="240" w:line="360" w:lineRule="auto"/>
        <w:ind/>
        <w:jc w:val="center"/>
        <w:rPr>
          <w:rFonts w:cs="Times New Roman"/>
          <w:b/>
          <w:bCs/>
          <w:sz w:val="48"/>
          <w:szCs w:val="44"/>
        </w:rPr>
      </w:pPr>
      <w:r>
        <w:rPr>
          <w:rFonts w:cs="Times New Roman"/>
          <w:b/>
          <w:bCs/>
          <w:sz w:val="48"/>
          <w:szCs w:val="44"/>
        </w:rPr>
        <w:t xml:space="preserve">Оператор цифровых активов</w:t>
      </w:r>
      <w:r>
        <w:rPr>
          <w:rFonts w:cs="Times New Roman"/>
          <w:b/>
          <w:bCs/>
          <w:sz w:val="48"/>
          <w:szCs w:val="44"/>
        </w:rPr>
      </w:r>
    </w:p>
    <w:p>
      <w:pPr>
        <w:pBdr/>
        <w:spacing w:line="360" w:lineRule="auto"/>
        <w:ind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Пузырева Дарья Петровна</w:t>
      </w:r>
      <w:r>
        <w:rPr>
          <w:rFonts w:cs="Times New Roman"/>
          <w:b/>
          <w:bCs/>
          <w:sz w:val="24"/>
          <w:szCs w:val="24"/>
        </w:rPr>
      </w:r>
    </w:p>
    <w:p>
      <w:pPr>
        <w:pBdr/>
        <w:spacing w:line="360" w:lineRule="auto"/>
        <w:ind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Факультет </w:t>
      </w:r>
      <w:r>
        <w:rPr>
          <w:rFonts w:cs="Times New Roman"/>
          <w:b/>
          <w:bCs/>
          <w:sz w:val="24"/>
          <w:szCs w:val="24"/>
        </w:rPr>
        <w:t xml:space="preserve">Прикладной Информатики (ФПИ)</w:t>
      </w:r>
      <w:r>
        <w:rPr>
          <w:rFonts w:cs="Times New Roman"/>
          <w:b/>
          <w:bCs/>
          <w:sz w:val="24"/>
          <w:szCs w:val="24"/>
        </w:rPr>
      </w:r>
    </w:p>
    <w:p>
      <w:pPr>
        <w:pBdr/>
        <w:spacing w:line="360" w:lineRule="auto"/>
        <w:ind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Бакалавриат, 2 курс</w:t>
      </w:r>
      <w:r>
        <w:rPr>
          <w:rFonts w:cs="Times New Roman"/>
          <w:b/>
          <w:bCs/>
          <w:sz w:val="24"/>
          <w:szCs w:val="24"/>
        </w:rPr>
      </w:r>
    </w:p>
    <w:p>
      <w:pPr>
        <w:pBdr/>
        <w:spacing w:line="360" w:lineRule="auto"/>
        <w:ind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</w:r>
      <w:r>
        <w:rPr>
          <w:rFonts w:cs="Times New Roman"/>
          <w:b/>
          <w:bCs/>
          <w:sz w:val="24"/>
          <w:szCs w:val="24"/>
        </w:rPr>
      </w:r>
    </w:p>
    <w:p>
      <w:pPr>
        <w:pBdr/>
        <w:spacing w:line="360" w:lineRule="auto"/>
        <w:ind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Версия №</w:t>
      </w:r>
      <w:r>
        <w:rPr>
          <w:rFonts w:cs="Times New Roman"/>
          <w:b/>
          <w:bCs/>
          <w:sz w:val="24"/>
          <w:szCs w:val="24"/>
        </w:rPr>
        <w:t xml:space="preserve">1.3</w:t>
      </w:r>
      <w:r>
        <w:rPr>
          <w:rFonts w:cs="Times New Roman"/>
          <w:b/>
          <w:bCs/>
          <w:sz w:val="24"/>
          <w:szCs w:val="24"/>
        </w:rPr>
        <w:t xml:space="preserve"> от </w:t>
      </w:r>
      <w:r>
        <w:rPr>
          <w:rFonts w:cs="Times New Roman"/>
          <w:b/>
          <w:bCs/>
          <w:sz w:val="24"/>
          <w:szCs w:val="24"/>
        </w:rPr>
        <w:t xml:space="preserve">11.01.2026</w:t>
      </w:r>
      <w:r>
        <w:rPr>
          <w:rFonts w:cs="Times New Roman"/>
          <w:b/>
          <w:bCs/>
          <w:sz w:val="24"/>
          <w:szCs w:val="24"/>
        </w:rPr>
      </w:r>
    </w:p>
    <w:p>
      <w:pPr>
        <w:pBdr/>
        <w:spacing/>
        <w:ind/>
        <w:rPr>
          <w:rFonts w:cs="Times New Roman"/>
        </w:rPr>
      </w:pPr>
      <w:r>
        <w:rPr>
          <w:rFonts w:cs="Times New Roman"/>
        </w:rPr>
        <w:br w:type="page" w:clear="all"/>
      </w:r>
      <w:r>
        <w:rPr>
          <w:rFonts w:cs="Times New Roman"/>
        </w:rPr>
      </w:r>
    </w:p>
    <w:p>
      <w:pPr>
        <w:pStyle w:val="789"/>
        <w:pBdr/>
        <w:spacing w:after="0" w:afterAutospacing="0" w:beforeAutospacing="0" w:line="276" w:lineRule="auto"/>
        <w:ind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Термины, определения и сокращения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tbl>
      <w:tblPr>
        <w:tblStyle w:val="965"/>
        <w:tblW w:w="0" w:type="auto"/>
        <w:tblBorders/>
        <w:tblLook w:val="04A0" w:firstRow="1" w:lastRow="0" w:firstColumn="1" w:lastColumn="0" w:noHBand="0" w:noVBand="1"/>
      </w:tblPr>
      <w:tblGrid>
        <w:gridCol w:w="823"/>
        <w:gridCol w:w="2495"/>
        <w:gridCol w:w="6088"/>
      </w:tblGrid>
      <w:tr>
        <w:trPr/>
        <w:tc>
          <w:tcPr>
            <w:tcBorders/>
            <w:tcW w:w="761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Аббр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2495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Термин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6088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Описание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761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495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Инвестор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6088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Физическое / юридическое лицо / индивидуальный предприниматель, который вкладывает собственные или заёмные денежные средства в цифровые финансовые активы с целью получения дохода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761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ОИС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495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Оператор информационных систем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6088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Лицензированное российское юридическое лицо, включённое Банком России в специальный реестр. Технологическая платформа, которая по договору с эмитентом организует выпуск, учёт и обращение цифровых финансовых активов в своей информационной системе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761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ОЦА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495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Оператор цифровых активов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6088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Проектируемая платформа-агрегатор, выступающая в роли инфраструктурного игрока и технологического моста между всеми участниками рынка ЦФА. Не выпускает активы, не ведёт свой реестр и не является стороной сделки.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761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СБП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495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Система быстрых платежей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6088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Сервис Банка России, с помощью которого можно совершать межбанковские переводы по номеру мобильного телефона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761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ЦФА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495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Цифровые финансовые активы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6088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Цифровые права, удостоверенные с помощью цифрового кода или обозначения и позволяющие инвестировать в реальные активы. Инвестиционные продукты, которые эмитенты выпускают для привлечения капитала, а инвесторы покупают для получения дохода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761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495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Эмитент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6088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Юридическое лицо или индивидуальный предприниматель, которое принимает решение о выпуске цифровых финансовых активов с целью привлечения финансирования, разрабатывает условия выпуска ЦФА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75"/>
        <w:pBdr/>
        <w:spacing w:after="200"/>
        <w:ind w:hanging="357" w:left="714"/>
        <w:rPr/>
      </w:pPr>
      <w:r/>
      <w:bookmarkStart w:id="0" w:name="_Toc216035879"/>
      <w:r/>
      <w:bookmarkStart w:id="1" w:name="_Toc216035935"/>
      <w:r/>
      <w:bookmarkStart w:id="2" w:name="_Ref216038299"/>
      <w:r>
        <w:t xml:space="preserve">Описание сервиса</w:t>
      </w:r>
      <w:bookmarkEnd w:id="0"/>
      <w:r/>
      <w:bookmarkEnd w:id="1"/>
      <w:r/>
      <w:bookmarkEnd w:id="2"/>
      <w:r/>
      <w:r/>
    </w:p>
    <w:p>
      <w:pPr>
        <w:pStyle w:val="790"/>
        <w:pBdr/>
        <w:spacing w:after="440" w:afterAutospacing="0" w:before="100" w:line="276" w:lineRule="auto"/>
        <w:ind w:hanging="567" w:left="113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Описание сервиса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960"/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firstLine="709" w:left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Ключевая идея сер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виса заключается в создании платформы, которая объединяла бы всех участников рынка ЦФА, устраняя проблему их технологической изоляции, и стала бы единой витриной цифровых финансовых активов, реализующей полный набор функций первичного и вторичного рынков.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</w:r>
    </w:p>
    <w:p>
      <w:pPr>
        <w:pStyle w:val="960"/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firstLine="709" w:left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Данная идея должна сработать, потому что она направлена на решение болей всех участников рынка. Вместо регистрации на множестве платформ операторов информационных систем, выпускающих ЦФА, инвестор получает один ак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каунт для доступа к продуктам каждого оператора, а также возможность мобильно управлять купленными ЦФА без необходимости прохождения дополнительных проверок и регистраций. Кроме того, ему становятся доступен расширенный набор инструментов вторичного рынка.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</w:r>
    </w:p>
    <w:p>
      <w:pPr>
        <w:pStyle w:val="960"/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firstLine="709" w:left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Для эмитентов сервис повышает ликвидность активов, расширяет аудиторию и упрощает коммуникацию с операторами информационных систем. Взаимодействуя через предлагаемого оператора цифровых акт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ивов, эмитент получает возможность коммуницировать с ОИС через одну точку – то есть, заключать договоры, получать уведомления о статусе операций выпуска и продажи от разных операторов через один канал. Причем взаимодействие с эмитентом происходит не через 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API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-канал, а через интерфейс сервиса, что достаточно удобно для наглядного представления информации.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</w:r>
    </w:p>
    <w:p>
      <w:pPr>
        <w:pStyle w:val="960"/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firstLine="709" w:left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Для операторов информационных систем предлагаемый сервис становится каналом сбыта выпущенных ЦФА. Размещая активы на нашей платформе, ОИС получает доступ ко всей объединенной сети инвесторов, а не только к клиентам своей площадки.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</w:r>
    </w:p>
    <w:p>
      <w:pPr>
        <w:pStyle w:val="960"/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firstLine="709" w:left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Залогом успеха оператора цифровых активов является сетевой эффект. Иными словами, чем больше операторов информационных систем подключится к сервису, тем привлекательн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ее он станет для инвесторов, и наоборот: чем больше инвесторов присоединится к оператору цифровых активов, тем ценнее он будет для операторов информационных систем. Такая динамика роста, поддерживающаяся самостоятельно, создаст высокий конкурентный барьер.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</w:r>
    </w:p>
    <w:p>
      <w:pPr>
        <w:pStyle w:val="960"/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Идея решения основана на следующих утверждениях: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15"/>
        </w:num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Рынок цифровых финансовых активо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в стремительно развивается. Однако стоит отметить, что в основном это развитие касается первичных размещений и краткосрочных инструментов, в то время как почти не решены вопросы вторичного обращения, привлечения массового инвестора, налоговых ограничений [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fldChar w:fldCharType="begin"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instrText xml:space="preserve"> REF _Ref216038299 \n \h </w:instrTex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instrText xml:space="preserve"> \* MERGEFORMAT </w:instrTex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fldChar w:fldCharType="separate"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1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fldChar w:fldCharType="end"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].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15"/>
        </w:num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6"/>
          <w:sz w:val="24"/>
          <w:szCs w:val="24"/>
          <w:shd w:val="clear" w:color="auto" w:fill="ffffff"/>
        </w:rPr>
        <w:t xml:space="preserve">Расширение ликвидности се</w:t>
      </w:r>
      <w:r>
        <w:rPr>
          <w:rFonts w:ascii="Times New Roman" w:hAnsi="Times New Roman" w:cs="Times New Roman"/>
          <w:spacing w:val="6"/>
          <w:sz w:val="24"/>
          <w:szCs w:val="24"/>
          <w:shd w:val="clear" w:color="auto" w:fill="ffffff"/>
        </w:rPr>
        <w:t xml:space="preserve">йчас ограничено конкретным оператором и теми ЦФА, которые на его инфраструктуре выпускаются. Поэтому основная на сегодняшний день задача — обеспечить бесшовный доступ потенциальных клиентов к различным ЦФА, выпущенным на различных информационных системах [</w:t>
      </w:r>
      <w:r>
        <w:rPr>
          <w:rFonts w:ascii="Times New Roman" w:hAnsi="Times New Roman" w:cs="Times New Roman"/>
          <w:spacing w:val="6"/>
          <w:sz w:val="24"/>
          <w:szCs w:val="24"/>
          <w:shd w:val="clear" w:color="auto" w:fill="ffffff"/>
        </w:rPr>
        <w:fldChar w:fldCharType="begin"/>
      </w:r>
      <w:r>
        <w:rPr>
          <w:rFonts w:ascii="Times New Roman" w:hAnsi="Times New Roman" w:cs="Times New Roman"/>
          <w:spacing w:val="6"/>
          <w:sz w:val="24"/>
          <w:szCs w:val="24"/>
          <w:shd w:val="clear" w:color="auto" w:fill="ffffff"/>
        </w:rPr>
        <w:instrText xml:space="preserve"> REF _Ref214186136 \n \h </w:instrText>
      </w:r>
      <w:r>
        <w:rPr>
          <w:rFonts w:ascii="Times New Roman" w:hAnsi="Times New Roman" w:cs="Times New Roman"/>
          <w:spacing w:val="6"/>
          <w:sz w:val="24"/>
          <w:szCs w:val="24"/>
          <w:shd w:val="clear" w:color="auto" w:fill="ffffff"/>
        </w:rPr>
        <w:instrText xml:space="preserve"> \* MERGEFORMAT </w:instrText>
      </w:r>
      <w:r>
        <w:rPr>
          <w:rFonts w:ascii="Times New Roman" w:hAnsi="Times New Roman" w:cs="Times New Roman"/>
          <w:spacing w:val="6"/>
          <w:sz w:val="24"/>
          <w:szCs w:val="24"/>
          <w:shd w:val="clear" w:color="auto" w:fill="ffffff"/>
        </w:rPr>
        <w:fldChar w:fldCharType="separate"/>
      </w:r>
      <w:r>
        <w:rPr>
          <w:rFonts w:ascii="Times New Roman" w:hAnsi="Times New Roman" w:cs="Times New Roman"/>
          <w:spacing w:val="6"/>
          <w:sz w:val="24"/>
          <w:szCs w:val="24"/>
          <w:shd w:val="clear" w:color="auto" w:fill="ffffff"/>
        </w:rPr>
        <w:t xml:space="preserve">2</w:t>
      </w:r>
      <w:r>
        <w:rPr>
          <w:rFonts w:ascii="Times New Roman" w:hAnsi="Times New Roman" w:cs="Times New Roman"/>
          <w:spacing w:val="6"/>
          <w:sz w:val="24"/>
          <w:szCs w:val="24"/>
          <w:shd w:val="clear" w:color="auto" w:fill="ffffff"/>
        </w:rPr>
        <w:fldChar w:fldCharType="end"/>
      </w:r>
      <w:r>
        <w:rPr>
          <w:rFonts w:ascii="Times New Roman" w:hAnsi="Times New Roman" w:cs="Times New Roman"/>
          <w:spacing w:val="6"/>
          <w:sz w:val="24"/>
          <w:szCs w:val="24"/>
          <w:shd w:val="clear" w:color="auto" w:fill="ffffff"/>
        </w:rPr>
        <w:t xml:space="preserve">]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15"/>
        </w:num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Из-за технологической несовместимости платформ операторов информационных систем клиентам недоступны некоторые виды операций с ЦФА - например, перевод из экосистемы одного ОИС в экосистему другого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15"/>
        </w:num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 инвестора отсутствует единая точка входа на рынок, из-за чег</w:t>
      </w:r>
      <w:r>
        <w:rPr>
          <w:rFonts w:ascii="Times New Roman" w:hAnsi="Times New Roman" w:cs="Times New Roman"/>
          <w:sz w:val="24"/>
          <w:szCs w:val="24"/>
        </w:rPr>
        <w:t xml:space="preserve">о клиентский путь становится достаточно сложным. Если инвестор желает приобрести активы разных эмитентов, ему нужно пройти авторизацию и завести инвестиционный кошелек у каждого оператора информационных систем (ОИС), выпустившего ЦФА. Кроме того, инвестору</w:t>
      </w:r>
      <w:r>
        <w:rPr>
          <w:rFonts w:ascii="Times New Roman" w:hAnsi="Times New Roman" w:cs="Times New Roman"/>
          <w:sz w:val="24"/>
          <w:szCs w:val="24"/>
        </w:rPr>
        <w:t xml:space="preserve"> приходится переключаться между разными платформами для поиска наиболее выгодных предложений и мониторинга своего портфеля инвестиций. Ему необходимо зарегистрироваться на нескольких платформах (в среднем на семи), чтобы получить доступ ко всем продуктам [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REF _Ref214186126 \n \h </w:instrText>
      </w:r>
      <w:r>
        <w:rPr>
          <w:rFonts w:ascii="Times New Roman" w:hAnsi="Times New Roman" w:cs="Times New Roman"/>
          <w:sz w:val="24"/>
          <w:szCs w:val="24"/>
        </w:rPr>
        <w:instrText xml:space="preserve"> \* MERGEFORMAT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 xml:space="preserve">1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].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Сервис будет работать по следующим принципам: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16"/>
        </w:num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Операторы информационных систем предоставляют оператору информацию о всех доступных ЦФА, выпущенных ими; о любых изменениях в правах обладания активами; портфелях инвесторов и балансах эмитентов. ОЦА, получив эти данные, публикует их на свей платформе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16"/>
        </w:num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Инвестор / эмитент один раз проходит процедуру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KYC</w:t>
      </w:r>
      <w:r>
        <w:rPr>
          <w:rFonts w:ascii="Times New Roman" w:hAnsi="Times New Roman" w:cs="Times New Roman"/>
          <w:sz w:val="24"/>
          <w:szCs w:val="24"/>
        </w:rPr>
        <w:t xml:space="preserve"> на нашей платформе и получает доступ к личному кабинету, который используется для быстрой авторизации у всех ОИС. В личном кабинете инвестора буд</w:t>
      </w:r>
      <w:r>
        <w:rPr>
          <w:rFonts w:ascii="Times New Roman" w:hAnsi="Times New Roman" w:cs="Times New Roman"/>
          <w:sz w:val="24"/>
          <w:szCs w:val="24"/>
        </w:rPr>
        <w:t xml:space="preserve">ут показаны: баланс его портфеля, история действий, статусы заявок на сделку, меню возможных операций с ЦФА. В личном кабинете эмитента будут отображены: текущий баланс его активов, владельцы его активов и доли приобретенных ими ЦФА от общей совокупности.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16"/>
        </w:numPr>
        <w:pBdr/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Сервис работает как витрина – на его главной странице инвестор может просматривать доступные ЦФА, а эмитент – информацию о подключенных операторах информационных систем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16"/>
        </w:numPr>
        <w:pBdr/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Сервис реализует недоступные на данный момент операции вторичного рынка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16"/>
        </w:numPr>
        <w:pBdr/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Сервис не меняет о</w:t>
      </w:r>
      <w:r>
        <w:rPr>
          <w:rFonts w:ascii="Times New Roman" w:hAnsi="Times New Roman" w:cs="Times New Roman"/>
          <w:sz w:val="24"/>
          <w:szCs w:val="24"/>
        </w:rPr>
        <w:t xml:space="preserve">сновы структуры рынка – каждый из участников выполняет те же функции, что и до его внедрения. Сервис не выпускает, не продает активы, не является стороной сделки, а также не ведет свой реестр. Он только координирует взаимодействие участников друг с другом.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данный момент подобное решение удовлетворяет имеющимся запросам потребителей и устраняет их проблемы. Обеспечивая взаимодействие между всеми участниками, оно устраняет фрагментацию рынка, на сегодняшний день являющейся серьезной проблемой.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Основным и единственным платежным инструментом опе</w:t>
      </w:r>
      <w:r>
        <w:rPr>
          <w:rFonts w:ascii="Times New Roman" w:hAnsi="Times New Roman" w:cs="Times New Roman"/>
          <w:sz w:val="24"/>
          <w:szCs w:val="24"/>
        </w:rPr>
        <w:t xml:space="preserve">ратора цифровых активов является Система быстрых платежей (СБП). Внешними участниками являются: инвесторы (физические / юридические лица), эмитенты (юридические лица), банки, обслуживающие инвесторов, эмитентов и операторов информационных систем, ОПКЦ СБП.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90"/>
        <w:pBdr/>
        <w:spacing w:after="440" w:afterAutospacing="0" w:before="100" w:line="276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1.2.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Акторы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Акторами сервиса являются: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2"/>
        </w:numPr>
        <w:pBdr/>
        <w:tabs>
          <w:tab w:val="left" w:leader="none" w:pos="0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Инвестор - в этой роли могут выступать физические и юридические лица. Их цель</w:t>
      </w:r>
      <w:r>
        <w:rPr>
          <w:rFonts w:ascii="Times New Roman" w:hAnsi="Times New Roman" w:cs="Times New Roman"/>
          <w:sz w:val="24"/>
          <w:szCs w:val="24"/>
        </w:rPr>
        <w:t xml:space="preserve">ю является приобретение цифровых финансовых активов и дальнейшее распоряжение ими. Инвестор является конечным потребителем услуг предлагаемого сервиса – его потребность в удобном управлении ЦФА является главным стимулом создания оператора цифровых активов.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2"/>
        </w:numPr>
        <w:pBdr/>
        <w:tabs>
          <w:tab w:val="left" w:leader="none" w:pos="0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Эмитент - юридичес</w:t>
      </w:r>
      <w:r>
        <w:rPr>
          <w:rFonts w:ascii="Times New Roman" w:hAnsi="Times New Roman" w:cs="Times New Roman"/>
          <w:sz w:val="24"/>
          <w:szCs w:val="24"/>
        </w:rPr>
        <w:t xml:space="preserve">кое лицо, принимающее решение об эмиссии ЦФА, разрабатывающее условия выпуска для привлечения финансирования. Эмитент является поставщиком инвестиционных продуктов, задача которого – получить максимальную ликвидность своих активов для привлечения капитала.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2"/>
        </w:numPr>
        <w:pBdr/>
        <w:tabs>
          <w:tab w:val="left" w:leader="none" w:pos="0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Операторы информационных систем – лицензированное юридическое лицо, которое организует выпуск, обращение и учет ЦФА. Ими могут быть только российские юридические лица, включенные Банком России в реестр таких операторов (на данный момент 14 организаций) [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REF _Ref214186178 \n \h </w:instrText>
      </w:r>
      <w:r>
        <w:rPr>
          <w:rFonts w:ascii="Times New Roman" w:hAnsi="Times New Roman" w:cs="Times New Roman"/>
          <w:sz w:val="24"/>
          <w:szCs w:val="24"/>
        </w:rPr>
        <w:instrText xml:space="preserve"> \* MERGEFORMAT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 xml:space="preserve">4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]. ОИС вед</w:t>
      </w:r>
      <w:r>
        <w:rPr>
          <w:rFonts w:ascii="Times New Roman" w:hAnsi="Times New Roman" w:cs="Times New Roman"/>
          <w:sz w:val="24"/>
          <w:szCs w:val="24"/>
        </w:rPr>
        <w:t xml:space="preserve">ут свой реестр прав собственности на ЦФА и являются основными технологическими партнерами сервиса, а также поставщиками сведений по ЦФА, инвесторам и эмитентам. Благодаря сотрудничеству с ОЦА операторы получают широкий канал дистрибуции и большую аудиторию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2"/>
        </w:numPr>
        <w:pBdr/>
        <w:tabs>
          <w:tab w:val="left" w:leader="none" w:pos="0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Банк инвестора – любой банк, в котором инвестор открыл счет. Банк инициирует перевод денежных средств по распоряжению инвестора и гарантирует его безопасное проведение по СБП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2"/>
        </w:numPr>
        <w:pBdr/>
        <w:tabs>
          <w:tab w:val="left" w:leader="none" w:pos="0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Банк, обслуживающий ОИС – банк, в котором открыт номинальный счет оператора информационных систем. Он принимает платежи от инвесторов, рецензирует их и переводит эмитентам после исполнения сделки с ЦФА.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2"/>
        </w:numPr>
        <w:pBdr/>
        <w:tabs>
          <w:tab w:val="left" w:leader="none" w:pos="0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ОПКЦ СБП – центральный технологический компонент Системы быстрых платежей, маршрутизирующий межбанковские платежи. Обеспечивает быструю связь между банком инвестора и банком ОИС.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pBdr/>
        <w:tabs>
          <w:tab w:val="left" w:leader="none" w:pos="0"/>
        </w:tabs>
        <w:spacing w:after="0" w:line="276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Каждый актор выполняет определенный ряд действий в зависимости от своей роли (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REF _Ref214796207 \h </w:instrText>
      </w:r>
      <w:r>
        <w:rPr>
          <w:rFonts w:ascii="Times New Roman" w:hAnsi="Times New Roman" w:cs="Times New Roman"/>
          <w:sz w:val="24"/>
          <w:szCs w:val="24"/>
        </w:rPr>
        <w:instrText xml:space="preserve"> \* MERGEFORMAT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 xml:space="preserve">Таблица 1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).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78"/>
        <w:keepNext w:val="true"/>
        <w:pBdr/>
        <w:spacing w:after="0" w:line="276" w:lineRule="auto"/>
        <w:ind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/>
      <w:bookmarkStart w:id="3" w:name="_Ref214796207"/>
      <w:r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1</w: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. Акторы и их действия</w:t>
      </w:r>
      <w:bookmarkEnd w:id="3"/>
      <w:r/>
      <w:r>
        <w:rPr>
          <w:rFonts w:ascii="Times New Roman" w:hAnsi="Times New Roman" w:cs="Times New Roman"/>
          <w:color w:val="auto"/>
          <w:sz w:val="24"/>
          <w:szCs w:val="24"/>
        </w:rPr>
      </w:r>
    </w:p>
    <w:tbl>
      <w:tblPr>
        <w:tblStyle w:val="965"/>
        <w:tblW w:w="0" w:type="auto"/>
        <w:tblBorders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>
        <w:trPr/>
        <w:tc>
          <w:tcPr>
            <w:tcBorders/>
            <w:tcW w:w="3114" w:type="dxa"/>
            <w:textDirection w:val="lrTb"/>
            <w:noWrap w:val="false"/>
          </w:tcPr>
          <w:p>
            <w:pPr>
              <w:pStyle w:val="960"/>
              <w:pBdr/>
              <w:tabs>
                <w:tab w:val="left" w:leader="none" w:pos="0"/>
              </w:tabs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Актор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15" w:type="dxa"/>
            <w:textDirection w:val="lrTb"/>
            <w:noWrap w:val="false"/>
          </w:tcPr>
          <w:p>
            <w:pPr>
              <w:pStyle w:val="960"/>
              <w:pBdr/>
              <w:tabs>
                <w:tab w:val="left" w:leader="none" w:pos="0"/>
              </w:tabs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Действие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15" w:type="dxa"/>
            <w:textDirection w:val="lrTb"/>
            <w:noWrap w:val="false"/>
          </w:tcPr>
          <w:p>
            <w:pPr>
              <w:pStyle w:val="960"/>
              <w:pBdr/>
              <w:tabs>
                <w:tab w:val="left" w:leader="none" w:pos="0"/>
              </w:tabs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Предназначение действия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4" w:type="dxa"/>
            <w:textDirection w:val="lrTb"/>
            <w:noWrap w:val="false"/>
          </w:tcPr>
          <w:p>
            <w:pPr>
              <w:pStyle w:val="960"/>
              <w:pBdr/>
              <w:tabs>
                <w:tab w:val="left" w:leader="none" w:pos="0"/>
              </w:tabs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Инвестор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15" w:type="dxa"/>
            <w:textDirection w:val="lrTb"/>
            <w:noWrap w:val="false"/>
          </w:tcPr>
          <w:p>
            <w:pPr>
              <w:pStyle w:val="960"/>
              <w:pBdr/>
              <w:tabs>
                <w:tab w:val="left" w:leader="none" w:pos="0"/>
              </w:tabs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Регистрируется и проходит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KYC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на платформе оператора цифровых активов;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960"/>
              <w:pBdr/>
              <w:tabs>
                <w:tab w:val="left" w:leader="none" w:pos="0"/>
              </w:tabs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Выбирает ЦФА и инициирует сделку;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960"/>
              <w:pBdr/>
              <w:tabs>
                <w:tab w:val="left" w:leader="none" w:pos="0"/>
              </w:tabs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Оплачивает ЦФА переводом суммы на номинальный счет ОИС по СБП;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15" w:type="dxa"/>
            <w:textDirection w:val="lrTb"/>
            <w:noWrap w:val="false"/>
          </w:tcPr>
          <w:p>
            <w:pPr>
              <w:pStyle w:val="960"/>
              <w:pBdr/>
              <w:tabs>
                <w:tab w:val="left" w:leader="none" w:pos="0"/>
              </w:tabs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Создание универсального профиля, доступ ко всем инструментам обращения с ЦФА, управление инвестиционным портфелем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4" w:type="dxa"/>
            <w:textDirection w:val="lrTb"/>
            <w:noWrap w:val="false"/>
          </w:tcPr>
          <w:p>
            <w:pPr>
              <w:pStyle w:val="960"/>
              <w:pBdr/>
              <w:tabs>
                <w:tab w:val="left" w:leader="none" w:pos="0"/>
              </w:tabs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Эмитент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15" w:type="dxa"/>
            <w:textDirection w:val="lrTb"/>
            <w:noWrap w:val="false"/>
          </w:tcPr>
          <w:p>
            <w:pPr>
              <w:pStyle w:val="960"/>
              <w:pBdr/>
              <w:tabs>
                <w:tab w:val="left" w:leader="none" w:pos="0"/>
              </w:tabs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Заключает договор с ОИС об эмиссии ЦФА;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960"/>
              <w:pBdr/>
              <w:tabs>
                <w:tab w:val="left" w:leader="none" w:pos="0"/>
              </w:tabs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Разрабатывает условия выпуска ЦФА;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960"/>
              <w:pBdr/>
              <w:tabs>
                <w:tab w:val="left" w:leader="none" w:pos="0"/>
              </w:tabs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Получает прибыль от продажи ЦФА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15" w:type="dxa"/>
            <w:textDirection w:val="lrTb"/>
            <w:noWrap w:val="false"/>
          </w:tcPr>
          <w:p>
            <w:pPr>
              <w:pStyle w:val="960"/>
              <w:pBdr/>
              <w:tabs>
                <w:tab w:val="left" w:leader="none" w:pos="0"/>
              </w:tabs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Привлечение финансирования от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широкого круга инвесторов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4" w:type="dxa"/>
            <w:textDirection w:val="lrTb"/>
            <w:noWrap w:val="false"/>
          </w:tcPr>
          <w:p>
            <w:pPr>
              <w:pStyle w:val="960"/>
              <w:pBdr/>
              <w:tabs>
                <w:tab w:val="left" w:leader="none" w:pos="0"/>
              </w:tabs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Оператор информационных систем (ОИС)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15" w:type="dxa"/>
            <w:textDirection w:val="lrTb"/>
            <w:noWrap w:val="false"/>
          </w:tcPr>
          <w:p>
            <w:pPr>
              <w:pStyle w:val="960"/>
              <w:pBdr/>
              <w:tabs>
                <w:tab w:val="left" w:leader="none" w:pos="0"/>
              </w:tabs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Выпускает активы по запросу эмитента;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960"/>
              <w:pBdr/>
              <w:tabs>
                <w:tab w:val="left" w:leader="none" w:pos="0"/>
              </w:tabs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Предоставляет данные о ЦФА оператору цифровых активов;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960"/>
              <w:pBdr/>
              <w:tabs>
                <w:tab w:val="left" w:leader="none" w:pos="0"/>
              </w:tabs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Идентифицирует инвестора на своей платформе;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960"/>
              <w:pBdr/>
              <w:tabs>
                <w:tab w:val="left" w:leader="none" w:pos="0"/>
              </w:tabs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Подтверждает сделку и фиксирует её в реестре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960"/>
              <w:pBdr/>
              <w:tabs>
                <w:tab w:val="left" w:leader="none" w:pos="0"/>
              </w:tabs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15" w:type="dxa"/>
            <w:textDirection w:val="lrTb"/>
            <w:noWrap w:val="false"/>
          </w:tcPr>
          <w:p>
            <w:pPr>
              <w:pStyle w:val="960"/>
              <w:pBdr/>
              <w:tabs>
                <w:tab w:val="left" w:leader="none" w:pos="0"/>
              </w:tabs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«Наполнение» рынка активами, легитимное подтверждение сделки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4" w:type="dxa"/>
            <w:textDirection w:val="lrTb"/>
            <w:noWrap w:val="false"/>
          </w:tcPr>
          <w:p>
            <w:pPr>
              <w:pStyle w:val="960"/>
              <w:pBdr/>
              <w:tabs>
                <w:tab w:val="left" w:leader="none" w:pos="0"/>
              </w:tabs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Банк оператора информационных систем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15" w:type="dxa"/>
            <w:textDirection w:val="lrTb"/>
            <w:noWrap w:val="false"/>
          </w:tcPr>
          <w:p>
            <w:pPr>
              <w:pStyle w:val="960"/>
              <w:pBdr/>
              <w:tabs>
                <w:tab w:val="left" w:leader="none" w:pos="0"/>
              </w:tabs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Запрашивает данные для формирования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QR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кода для оплаты по СБП;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960"/>
              <w:pBdr/>
              <w:tabs>
                <w:tab w:val="left" w:leader="none" w:pos="0"/>
              </w:tabs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Осуществляет прием платежа, перевод эмитенту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960"/>
              <w:pBdr/>
              <w:tabs>
                <w:tab w:val="left" w:leader="none" w:pos="0"/>
              </w:tabs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15" w:type="dxa"/>
            <w:textDirection w:val="lrTb"/>
            <w:noWrap w:val="false"/>
          </w:tcPr>
          <w:p>
            <w:pPr>
              <w:pStyle w:val="960"/>
              <w:pBdr/>
              <w:tabs>
                <w:tab w:val="left" w:leader="none" w:pos="0"/>
              </w:tabs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Проведение расчетов между участниками, гарантия их исполнения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4" w:type="dxa"/>
            <w:textDirection w:val="lrTb"/>
            <w:noWrap w:val="false"/>
          </w:tcPr>
          <w:p>
            <w:pPr>
              <w:pStyle w:val="960"/>
              <w:pBdr/>
              <w:tabs>
                <w:tab w:val="left" w:leader="none" w:pos="0"/>
              </w:tabs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Банк инвестора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15" w:type="dxa"/>
            <w:textDirection w:val="lrTb"/>
            <w:noWrap w:val="false"/>
          </w:tcPr>
          <w:p>
            <w:pPr>
              <w:pStyle w:val="960"/>
              <w:pBdr/>
              <w:tabs>
                <w:tab w:val="left" w:leader="none" w:pos="0"/>
              </w:tabs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Обрабатывает запрос инвестора на перевод и проводит платеж через СБП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15" w:type="dxa"/>
            <w:textDirection w:val="lrTb"/>
            <w:noWrap w:val="false"/>
          </w:tcPr>
          <w:p>
            <w:pPr>
              <w:pStyle w:val="960"/>
              <w:pBdr/>
              <w:tabs>
                <w:tab w:val="left" w:leader="none" w:pos="0"/>
              </w:tabs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Обеспечение безопасного и удобного списания средств со счет инвестора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4" w:type="dxa"/>
            <w:textDirection w:val="lrTb"/>
            <w:noWrap w:val="false"/>
          </w:tcPr>
          <w:p>
            <w:pPr>
              <w:pStyle w:val="960"/>
              <w:pBdr/>
              <w:tabs>
                <w:tab w:val="left" w:leader="none" w:pos="0"/>
              </w:tabs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ОПКЦ СБП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15" w:type="dxa"/>
            <w:textDirection w:val="lrTb"/>
            <w:noWrap w:val="false"/>
          </w:tcPr>
          <w:p>
            <w:pPr>
              <w:pStyle w:val="960"/>
              <w:pBdr/>
              <w:tabs>
                <w:tab w:val="left" w:leader="none" w:pos="0"/>
              </w:tabs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Маршрутизирует платеж между банками инвестора и оператора информационных систем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15" w:type="dxa"/>
            <w:textDirection w:val="lrTb"/>
            <w:noWrap w:val="false"/>
          </w:tcPr>
          <w:p>
            <w:pPr>
              <w:pStyle w:val="960"/>
              <w:pBdr/>
              <w:tabs>
                <w:tab w:val="left" w:leader="none" w:pos="0"/>
              </w:tabs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Технологическое обеспечение мгновенных платежей между банками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90"/>
        <w:pBdr/>
        <w:spacing w:after="440" w:afterAutospacing="0" w:before="100" w:line="276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1.3.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Архитектурные схемы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Первым ключевым процессом предлагаемого решения является покупка ЦФА инвестором. Описываемый процесс был выбран для демонстрации примера того, как внедрение нового игрока рынка повлияет на осуществление стандартных операций с ЦФА (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REF _Ref216032071 \h  \* MERGEFORMAT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 xml:space="preserve">Рисунок 1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).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078182" cy="2660237"/>
                <wp:effectExtent l="0" t="0" r="0" b="6985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2093113" cy="2679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3.64pt;height:209.4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/>
      <w:bookmarkStart w:id="4" w:name="_Ref216032071"/>
      <w:r>
        <w:rPr>
          <w:rFonts w:ascii="Times New Roman" w:hAnsi="Times New Roman" w:cs="Times New Roman"/>
          <w:i/>
          <w:iCs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</w:rPr>
        <w:fldChar w:fldCharType="begin"/>
      </w:r>
      <w:r>
        <w:rPr>
          <w:rFonts w:ascii="Times New Roman" w:hAnsi="Times New Roman" w:cs="Times New Roman"/>
          <w:i/>
          <w:iCs/>
          <w:sz w:val="24"/>
          <w:szCs w:val="24"/>
        </w:rPr>
        <w:instrText xml:space="preserve"> SEQ Рисунок \* ARABIC </w:instrText>
      </w:r>
      <w:r>
        <w:rPr>
          <w:rFonts w:ascii="Times New Roman" w:hAnsi="Times New Roman" w:cs="Times New Roman"/>
          <w:i/>
          <w:iCs/>
          <w:sz w:val="24"/>
          <w:szCs w:val="24"/>
        </w:rPr>
        <w:fldChar w:fldCharType="separate"/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1</w:t>
      </w:r>
      <w:r>
        <w:rPr>
          <w:rFonts w:ascii="Times New Roman" w:hAnsi="Times New Roman" w:cs="Times New Roman"/>
          <w:i/>
          <w:iCs/>
          <w:sz w:val="24"/>
          <w:szCs w:val="24"/>
        </w:rPr>
        <w:fldChar w:fldCharType="end"/>
      </w:r>
      <w:bookmarkEnd w:id="4"/>
      <w:r>
        <w:rPr>
          <w:rFonts w:ascii="Times New Roman" w:hAnsi="Times New Roman" w:cs="Times New Roman"/>
          <w:i/>
          <w:iCs/>
          <w:sz w:val="24"/>
          <w:szCs w:val="24"/>
        </w:rPr>
        <w:t xml:space="preserve">. Процесс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AS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IS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покупки ЦФА инвестором</w:t>
      </w:r>
      <w:r>
        <w:rPr>
          <w:rFonts w:ascii="Times New Roman" w:hAnsi="Times New Roman" w:cs="Times New Roman"/>
          <w:i/>
          <w:iCs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/>
      <w:bookmarkStart w:id="5" w:name="_Toc216035824"/>
      <w:r/>
      <w:bookmarkStart w:id="6" w:name="_Toc216035880"/>
      <w:r/>
      <w:bookmarkStart w:id="7" w:name="_Toc216035936"/>
      <w:r>
        <w:rPr>
          <w:rFonts w:ascii="Times New Roman" w:hAnsi="Times New Roman" w:cs="Times New Roman"/>
          <w:sz w:val="24"/>
          <w:szCs w:val="24"/>
        </w:rPr>
        <w:t xml:space="preserve">0)</w:t>
      </w:r>
      <w:r>
        <w:rPr>
          <w:rFonts w:ascii="Times New Roman" w:hAnsi="Times New Roman" w:cs="Times New Roman"/>
          <w:sz w:val="24"/>
          <w:szCs w:val="24"/>
        </w:rPr>
        <w:tab/>
        <w:t xml:space="preserve">Оператор публикует актуальные ЦФА на своей платформе</w:t>
      </w:r>
      <w:bookmarkEnd w:id="5"/>
      <w:r/>
      <w:bookmarkEnd w:id="6"/>
      <w:r/>
      <w:bookmarkEnd w:id="7"/>
      <w:r/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/>
      <w:bookmarkStart w:id="8" w:name="_Toc216035825"/>
      <w:r/>
      <w:bookmarkStart w:id="9" w:name="_Toc216035881"/>
      <w:r/>
      <w:bookmarkStart w:id="10" w:name="_Toc216035937"/>
      <w:r>
        <w:rPr>
          <w:rFonts w:ascii="Times New Roman" w:hAnsi="Times New Roman" w:cs="Times New Roman"/>
          <w:sz w:val="24"/>
          <w:szCs w:val="24"/>
        </w:rPr>
        <w:t xml:space="preserve">1)</w:t>
      </w:r>
      <w:r>
        <w:rPr>
          <w:rFonts w:ascii="Times New Roman" w:hAnsi="Times New Roman" w:cs="Times New Roman"/>
          <w:sz w:val="24"/>
          <w:szCs w:val="24"/>
        </w:rPr>
        <w:tab/>
        <w:t xml:space="preserve">Инвестор инициирует покупку ЦФА, ОИС верифицирует его</w:t>
      </w:r>
      <w:bookmarkEnd w:id="8"/>
      <w:r/>
      <w:bookmarkEnd w:id="9"/>
      <w:r/>
      <w:bookmarkEnd w:id="10"/>
      <w:r/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/>
      <w:bookmarkStart w:id="11" w:name="_Toc216035826"/>
      <w:r/>
      <w:bookmarkStart w:id="12" w:name="_Toc216035882"/>
      <w:r/>
      <w:bookmarkStart w:id="13" w:name="_Toc216035938"/>
      <w:r>
        <w:rPr>
          <w:rFonts w:ascii="Times New Roman" w:hAnsi="Times New Roman" w:cs="Times New Roman"/>
          <w:sz w:val="24"/>
          <w:szCs w:val="24"/>
        </w:rPr>
        <w:t xml:space="preserve">2)</w:t>
      </w:r>
      <w:r>
        <w:rPr>
          <w:rFonts w:ascii="Times New Roman" w:hAnsi="Times New Roman" w:cs="Times New Roman"/>
          <w:sz w:val="24"/>
          <w:szCs w:val="24"/>
        </w:rPr>
        <w:tab/>
        <w:t xml:space="preserve">Платежный модуль ОИС отправляет запрос в банк ОИС</w:t>
      </w:r>
      <w:bookmarkEnd w:id="11"/>
      <w:r/>
      <w:bookmarkEnd w:id="12"/>
      <w:r/>
      <w:bookmarkEnd w:id="13"/>
      <w:r/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/>
      <w:bookmarkStart w:id="14" w:name="_Toc216035827"/>
      <w:r/>
      <w:bookmarkStart w:id="15" w:name="_Toc216035883"/>
      <w:r/>
      <w:bookmarkStart w:id="16" w:name="_Toc216035939"/>
      <w:r>
        <w:rPr>
          <w:rFonts w:ascii="Times New Roman" w:hAnsi="Times New Roman" w:cs="Times New Roman"/>
          <w:sz w:val="24"/>
          <w:szCs w:val="24"/>
        </w:rPr>
        <w:t xml:space="preserve">3)</w:t>
      </w:r>
      <w:r>
        <w:rPr>
          <w:rFonts w:ascii="Times New Roman" w:hAnsi="Times New Roman" w:cs="Times New Roman"/>
          <w:sz w:val="24"/>
          <w:szCs w:val="24"/>
        </w:rPr>
        <w:tab/>
        <w:t xml:space="preserve">Банк </w:t>
      </w:r>
      <w:r>
        <w:rPr>
          <w:rFonts w:ascii="Times New Roman" w:hAnsi="Times New Roman" w:cs="Times New Roman"/>
          <w:sz w:val="24"/>
          <w:szCs w:val="24"/>
        </w:rPr>
        <w:t xml:space="preserve">ОИСа</w:t>
      </w:r>
      <w:r>
        <w:rPr>
          <w:rFonts w:ascii="Times New Roman" w:hAnsi="Times New Roman" w:cs="Times New Roman"/>
          <w:sz w:val="24"/>
          <w:szCs w:val="24"/>
        </w:rPr>
        <w:t xml:space="preserve"> запрашивает QR-код у ОПКЦ СБП и получает данные для его формирования.</w:t>
      </w:r>
      <w:bookmarkEnd w:id="14"/>
      <w:r/>
      <w:bookmarkEnd w:id="15"/>
      <w:r/>
      <w:bookmarkEnd w:id="16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/>
      <w:bookmarkStart w:id="17" w:name="_Toc216035828"/>
      <w:r/>
      <w:bookmarkStart w:id="18" w:name="_Toc216035884"/>
      <w:r/>
      <w:bookmarkStart w:id="19" w:name="_Toc216035940"/>
      <w:r>
        <w:rPr>
          <w:rFonts w:ascii="Times New Roman" w:hAnsi="Times New Roman" w:cs="Times New Roman"/>
          <w:sz w:val="24"/>
          <w:szCs w:val="24"/>
        </w:rPr>
        <w:t xml:space="preserve">4)</w:t>
      </w:r>
      <w:r>
        <w:rPr>
          <w:rFonts w:ascii="Times New Roman" w:hAnsi="Times New Roman" w:cs="Times New Roman"/>
          <w:sz w:val="24"/>
          <w:szCs w:val="24"/>
        </w:rPr>
        <w:tab/>
        <w:t xml:space="preserve">Банк </w:t>
      </w:r>
      <w:r>
        <w:rPr>
          <w:rFonts w:ascii="Times New Roman" w:hAnsi="Times New Roman" w:cs="Times New Roman"/>
          <w:sz w:val="24"/>
          <w:szCs w:val="24"/>
        </w:rPr>
        <w:t xml:space="preserve">ОИСа</w:t>
      </w:r>
      <w:r>
        <w:rPr>
          <w:rFonts w:ascii="Times New Roman" w:hAnsi="Times New Roman" w:cs="Times New Roman"/>
          <w:sz w:val="24"/>
          <w:szCs w:val="24"/>
        </w:rPr>
        <w:t xml:space="preserve"> передает данные оператору информационных систем. ОИС отображает платежный QR-код на экране.</w:t>
      </w:r>
      <w:bookmarkEnd w:id="17"/>
      <w:r/>
      <w:bookmarkEnd w:id="18"/>
      <w:r/>
      <w:bookmarkEnd w:id="19"/>
      <w:r/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/>
      <w:bookmarkStart w:id="20" w:name="_Toc216035829"/>
      <w:r/>
      <w:bookmarkStart w:id="21" w:name="_Toc216035885"/>
      <w:r/>
      <w:bookmarkStart w:id="22" w:name="_Toc216035941"/>
      <w:r>
        <w:rPr>
          <w:rFonts w:ascii="Times New Roman" w:hAnsi="Times New Roman" w:cs="Times New Roman"/>
          <w:sz w:val="24"/>
          <w:szCs w:val="24"/>
        </w:rPr>
        <w:t xml:space="preserve">5)</w:t>
      </w:r>
      <w:r>
        <w:rPr>
          <w:rFonts w:ascii="Times New Roman" w:hAnsi="Times New Roman" w:cs="Times New Roman"/>
          <w:sz w:val="24"/>
          <w:szCs w:val="24"/>
        </w:rPr>
        <w:tab/>
        <w:t xml:space="preserve">Инвестор открывает банковское приложение и сканирует код с экрана для пополнения инвестиционного кошелька на платформе ОИС по СБП (технически совершает перевод на номинальный счет ОИС)</w:t>
      </w:r>
      <w:bookmarkEnd w:id="20"/>
      <w:r/>
      <w:bookmarkEnd w:id="21"/>
      <w:r/>
      <w:bookmarkEnd w:id="22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/>
      <w:bookmarkStart w:id="23" w:name="_Toc216035830"/>
      <w:r/>
      <w:bookmarkStart w:id="24" w:name="_Toc216035886"/>
      <w:r/>
      <w:bookmarkStart w:id="25" w:name="_Toc216035942"/>
      <w:r>
        <w:rPr>
          <w:rFonts w:ascii="Times New Roman" w:hAnsi="Times New Roman" w:cs="Times New Roman"/>
          <w:sz w:val="24"/>
          <w:szCs w:val="24"/>
        </w:rPr>
        <w:t xml:space="preserve">6)</w:t>
      </w:r>
      <w:r>
        <w:rPr>
          <w:rFonts w:ascii="Times New Roman" w:hAnsi="Times New Roman" w:cs="Times New Roman"/>
          <w:sz w:val="24"/>
          <w:szCs w:val="24"/>
        </w:rPr>
        <w:tab/>
        <w:t xml:space="preserve">Банковское приложение расшифровывает QR-код и обращается к ОПКЦ СБП для получения данных по платежу. Затем банк инвестора запрашивает подтверждение перевода у инвестора, получив его, формирует сообщение о платеже и отправляет его в ОПКЦ СБП.</w:t>
      </w:r>
      <w:bookmarkEnd w:id="23"/>
      <w:r/>
      <w:bookmarkEnd w:id="24"/>
      <w:r/>
      <w:bookmarkEnd w:id="25"/>
      <w:r/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/>
      <w:bookmarkStart w:id="26" w:name="_Toc216035831"/>
      <w:r/>
      <w:bookmarkStart w:id="27" w:name="_Toc216035887"/>
      <w:r/>
      <w:bookmarkStart w:id="28" w:name="_Toc216035943"/>
      <w:r>
        <w:rPr>
          <w:rFonts w:ascii="Times New Roman" w:hAnsi="Times New Roman" w:cs="Times New Roman"/>
          <w:sz w:val="24"/>
          <w:szCs w:val="24"/>
        </w:rPr>
        <w:t xml:space="preserve">7)</w:t>
      </w:r>
      <w:r>
        <w:rPr>
          <w:rFonts w:ascii="Times New Roman" w:hAnsi="Times New Roman" w:cs="Times New Roman"/>
          <w:sz w:val="24"/>
          <w:szCs w:val="24"/>
        </w:rPr>
        <w:tab/>
        <w:t xml:space="preserve">ОПКЦ СБП запрашивает у банка ОИС разрешение на прием платежа и получает его</w:t>
      </w:r>
      <w:bookmarkEnd w:id="26"/>
      <w:r/>
      <w:bookmarkEnd w:id="27"/>
      <w:r/>
      <w:bookmarkEnd w:id="28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/>
      <w:bookmarkStart w:id="29" w:name="_Toc216035832"/>
      <w:r/>
      <w:bookmarkStart w:id="30" w:name="_Toc216035888"/>
      <w:r/>
      <w:bookmarkStart w:id="31" w:name="_Toc216035944"/>
      <w:r>
        <w:rPr>
          <w:rFonts w:ascii="Times New Roman" w:hAnsi="Times New Roman" w:cs="Times New Roman"/>
          <w:sz w:val="24"/>
          <w:szCs w:val="24"/>
        </w:rPr>
        <w:t xml:space="preserve">8)</w:t>
      </w:r>
      <w:r>
        <w:rPr>
          <w:rFonts w:ascii="Times New Roman" w:hAnsi="Times New Roman" w:cs="Times New Roman"/>
          <w:sz w:val="24"/>
          <w:szCs w:val="24"/>
        </w:rPr>
        <w:tab/>
        <w:t xml:space="preserve">После клиринга между банком инвестора и банком ОИС, ОПКЦ СБП отправляет банку инвестора и банку оператора подтверждение успешного платежа</w:t>
      </w:r>
      <w:bookmarkEnd w:id="29"/>
      <w:r/>
      <w:bookmarkEnd w:id="30"/>
      <w:r/>
      <w:bookmarkEnd w:id="31"/>
      <w:r/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/>
      <w:bookmarkStart w:id="32" w:name="_Toc216035833"/>
      <w:r/>
      <w:bookmarkStart w:id="33" w:name="_Toc216035889"/>
      <w:r/>
      <w:bookmarkStart w:id="34" w:name="_Toc216035945"/>
      <w:r>
        <w:rPr>
          <w:rFonts w:ascii="Times New Roman" w:hAnsi="Times New Roman" w:cs="Times New Roman"/>
          <w:sz w:val="24"/>
          <w:szCs w:val="24"/>
        </w:rPr>
        <w:t xml:space="preserve">9)</w:t>
      </w:r>
      <w:r>
        <w:rPr>
          <w:rFonts w:ascii="Times New Roman" w:hAnsi="Times New Roman" w:cs="Times New Roman"/>
          <w:sz w:val="24"/>
          <w:szCs w:val="24"/>
        </w:rPr>
        <w:tab/>
        <w:t xml:space="preserve">После зачисления платежа, банк, где обслуживается ОИС, уведомляет его о поступлении суммы на его счет</w:t>
      </w:r>
      <w:bookmarkEnd w:id="32"/>
      <w:r/>
      <w:bookmarkEnd w:id="33"/>
      <w:r/>
      <w:bookmarkEnd w:id="34"/>
      <w:r/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/>
      <w:bookmarkStart w:id="35" w:name="_Toc216035834"/>
      <w:r/>
      <w:bookmarkStart w:id="36" w:name="_Toc216035890"/>
      <w:r/>
      <w:bookmarkStart w:id="37" w:name="_Toc216035946"/>
      <w:r>
        <w:rPr>
          <w:rFonts w:ascii="Times New Roman" w:hAnsi="Times New Roman" w:cs="Times New Roman"/>
          <w:sz w:val="24"/>
          <w:szCs w:val="24"/>
        </w:rPr>
        <w:t xml:space="preserve">10)</w:t>
      </w:r>
      <w:r>
        <w:rPr>
          <w:rFonts w:ascii="Times New Roman" w:hAnsi="Times New Roman" w:cs="Times New Roman"/>
          <w:sz w:val="24"/>
          <w:szCs w:val="24"/>
        </w:rPr>
        <w:tab/>
        <w:t xml:space="preserve">ОИС списывает ЦФА с резерва эмитента, зачисляет на счет инвестора и регистрирует факт проведения операции в реестре</w:t>
      </w:r>
      <w:bookmarkEnd w:id="35"/>
      <w:r/>
      <w:bookmarkEnd w:id="36"/>
      <w:r/>
      <w:bookmarkEnd w:id="37"/>
      <w:r/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/>
      <w:bookmarkStart w:id="38" w:name="_Toc216035835"/>
      <w:r/>
      <w:bookmarkStart w:id="39" w:name="_Toc216035891"/>
      <w:r/>
      <w:bookmarkStart w:id="40" w:name="_Toc216035947"/>
      <w:r>
        <w:rPr>
          <w:rFonts w:ascii="Times New Roman" w:hAnsi="Times New Roman" w:cs="Times New Roman"/>
          <w:sz w:val="24"/>
          <w:szCs w:val="24"/>
        </w:rPr>
        <w:t xml:space="preserve">11)</w:t>
      </w:r>
      <w:r>
        <w:rPr>
          <w:rFonts w:ascii="Times New Roman" w:hAnsi="Times New Roman" w:cs="Times New Roman"/>
          <w:sz w:val="24"/>
          <w:szCs w:val="24"/>
        </w:rPr>
        <w:tab/>
        <w:t xml:space="preserve">ОИС уведомляет инвестора о зачислении активов, а эмитента - о списании</w:t>
      </w:r>
      <w:bookmarkEnd w:id="38"/>
      <w:r/>
      <w:bookmarkEnd w:id="39"/>
      <w:r/>
      <w:bookmarkEnd w:id="40"/>
      <w:r/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/>
      <w:bookmarkStart w:id="41" w:name="_Toc216035836"/>
      <w:r/>
      <w:bookmarkStart w:id="42" w:name="_Toc216035892"/>
      <w:r/>
      <w:bookmarkStart w:id="43" w:name="_Toc216035948"/>
      <w:r>
        <w:rPr>
          <w:rFonts w:ascii="Times New Roman" w:hAnsi="Times New Roman" w:cs="Times New Roman"/>
          <w:sz w:val="24"/>
          <w:szCs w:val="24"/>
        </w:rPr>
        <w:t xml:space="preserve">12)</w:t>
      </w:r>
      <w:r>
        <w:rPr>
          <w:rFonts w:ascii="Times New Roman" w:hAnsi="Times New Roman" w:cs="Times New Roman"/>
          <w:sz w:val="24"/>
          <w:szCs w:val="24"/>
        </w:rPr>
        <w:tab/>
        <w:t xml:space="preserve">Оператор запрашивает у банка уменьшение баланса инвестора и увеличение баланса эмитента и получает ответ об успешной транзакции</w:t>
      </w:r>
      <w:bookmarkEnd w:id="41"/>
      <w:r/>
      <w:bookmarkEnd w:id="42"/>
      <w:r/>
      <w:bookmarkEnd w:id="43"/>
      <w:r/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/>
      <w:bookmarkStart w:id="44" w:name="_Toc216035837"/>
      <w:r/>
      <w:bookmarkStart w:id="45" w:name="_Toc216035893"/>
      <w:r/>
      <w:bookmarkStart w:id="46" w:name="_Toc216035949"/>
      <w:r>
        <w:rPr>
          <w:rFonts w:ascii="Times New Roman" w:hAnsi="Times New Roman" w:cs="Times New Roman"/>
          <w:sz w:val="24"/>
          <w:szCs w:val="24"/>
        </w:rPr>
        <w:t xml:space="preserve">13)</w:t>
      </w:r>
      <w:r>
        <w:rPr>
          <w:rFonts w:ascii="Times New Roman" w:hAnsi="Times New Roman" w:cs="Times New Roman"/>
          <w:sz w:val="24"/>
          <w:szCs w:val="24"/>
        </w:rPr>
        <w:tab/>
        <w:t xml:space="preserve">ОИС уведомляет эмитента о пополнении его кошелька на платформе</w:t>
      </w:r>
      <w:bookmarkEnd w:id="44"/>
      <w:r/>
      <w:bookmarkEnd w:id="45"/>
      <w:r/>
      <w:bookmarkEnd w:id="46"/>
      <w:r/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/>
      <w:bookmarkStart w:id="47" w:name="_Toc216035838"/>
      <w:r/>
      <w:bookmarkStart w:id="48" w:name="_Toc216035894"/>
      <w:r/>
      <w:bookmarkStart w:id="49" w:name="_Toc216035950"/>
      <w:r>
        <w:rPr>
          <w:rFonts w:ascii="Times New Roman" w:hAnsi="Times New Roman" w:cs="Times New Roman"/>
          <w:sz w:val="24"/>
          <w:szCs w:val="24"/>
        </w:rPr>
        <w:t xml:space="preserve">После внедрения оператора цифровых активов процесс изменится </w:t>
      </w:r>
      <w:r>
        <w:rPr>
          <w:rStyle w:val="987"/>
        </w:rPr>
        <w:t xml:space="preserve">следующим образом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REF _Ref213257893 \h  \* MERGEFORMAT </w:instrText>
      </w:r>
      <w:r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 xml:space="preserve">Рисунок 2</w:t>
      </w:r>
      <w:r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):</w:t>
      </w:r>
      <w:bookmarkEnd w:id="47"/>
      <w:r/>
      <w:bookmarkEnd w:id="48"/>
      <w:r/>
      <w:bookmarkEnd w:id="49"/>
      <w:r/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after="0" w:line="276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50310" cy="3093985"/>
                <wp:effectExtent l="0" t="0" r="2540" b="0"/>
                <wp:docPr id="2" name="Рисунок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765881" cy="31068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95.30pt;height:243.6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</w:rPr>
        <w:fldChar w:fldCharType="begin"/>
      </w:r>
      <w:r>
        <w:rPr>
          <w:rFonts w:ascii="Times New Roman" w:hAnsi="Times New Roman" w:cs="Times New Roman"/>
          <w:i/>
          <w:iCs/>
          <w:sz w:val="24"/>
          <w:szCs w:val="24"/>
        </w:rPr>
        <w:instrText xml:space="preserve"> SEQ Рисунок \* ARABIC </w:instrText>
      </w:r>
      <w:r>
        <w:rPr>
          <w:rFonts w:ascii="Times New Roman" w:hAnsi="Times New Roman" w:cs="Times New Roman"/>
          <w:i/>
          <w:iCs/>
          <w:sz w:val="24"/>
          <w:szCs w:val="24"/>
        </w:rPr>
        <w:fldChar w:fldCharType="separate"/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2</w:t>
      </w:r>
      <w:r>
        <w:rPr>
          <w:rFonts w:ascii="Times New Roman" w:hAnsi="Times New Roman" w:cs="Times New Roman"/>
          <w:i/>
          <w:iCs/>
          <w:sz w:val="24"/>
          <w:szCs w:val="24"/>
        </w:rPr>
        <w:fldChar w:fldCharType="end"/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. Процесс TO BE покупки ЦФА инвестором</w:t>
      </w:r>
      <w:r>
        <w:rPr>
          <w:rFonts w:ascii="Times New Roman" w:hAnsi="Times New Roman" w:cs="Times New Roman"/>
          <w:i/>
          <w:iCs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0)</w:t>
      </w:r>
      <w:r>
        <w:rPr>
          <w:rFonts w:ascii="Times New Roman" w:hAnsi="Times New Roman" w:cs="Times New Roman"/>
          <w:sz w:val="24"/>
          <w:szCs w:val="24"/>
        </w:rPr>
        <w:tab/>
        <w:t xml:space="preserve">ОИС предоставляет информацию об актуальных ЦФА оператору цифровых активов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</w:t>
      </w:r>
      <w:r>
        <w:rPr>
          <w:rFonts w:ascii="Times New Roman" w:hAnsi="Times New Roman" w:cs="Times New Roman"/>
          <w:sz w:val="24"/>
          <w:szCs w:val="24"/>
        </w:rPr>
        <w:tab/>
        <w:t xml:space="preserve">Инвестор инициирует покупку ЦФА - выбирает актив с главной страницы ОЦА, заполняет заявку на покупку в личном кабинете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</w:t>
      </w:r>
      <w:r>
        <w:rPr>
          <w:rFonts w:ascii="Times New Roman" w:hAnsi="Times New Roman" w:cs="Times New Roman"/>
          <w:sz w:val="24"/>
          <w:szCs w:val="24"/>
        </w:rPr>
        <w:tab/>
        <w:t xml:space="preserve">ОЦА передает ОИС заявку инвестора на покупку и его результаты KYC. Оператор информационных систем должен подтвердить верификацию инвестора внутри своей платформы и обработать заявку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</w:t>
      </w:r>
      <w:r>
        <w:rPr>
          <w:rFonts w:ascii="Times New Roman" w:hAnsi="Times New Roman" w:cs="Times New Roman"/>
          <w:sz w:val="24"/>
          <w:szCs w:val="24"/>
        </w:rPr>
        <w:tab/>
        <w:t xml:space="preserve">Платежный модуль ОИС отправляет запрос в банк </w:t>
      </w:r>
      <w:r>
        <w:rPr>
          <w:rFonts w:ascii="Times New Roman" w:hAnsi="Times New Roman" w:cs="Times New Roman"/>
          <w:sz w:val="24"/>
          <w:szCs w:val="24"/>
        </w:rPr>
        <w:t xml:space="preserve">ОИСа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4)</w:t>
      </w:r>
      <w:r>
        <w:rPr>
          <w:rFonts w:ascii="Times New Roman" w:hAnsi="Times New Roman" w:cs="Times New Roman"/>
          <w:sz w:val="24"/>
          <w:szCs w:val="24"/>
        </w:rPr>
        <w:tab/>
        <w:t xml:space="preserve">Банк </w:t>
      </w:r>
      <w:r>
        <w:rPr>
          <w:rFonts w:ascii="Times New Roman" w:hAnsi="Times New Roman" w:cs="Times New Roman"/>
          <w:sz w:val="24"/>
          <w:szCs w:val="24"/>
        </w:rPr>
        <w:t xml:space="preserve">ОИСа</w:t>
      </w:r>
      <w:r>
        <w:rPr>
          <w:rFonts w:ascii="Times New Roman" w:hAnsi="Times New Roman" w:cs="Times New Roman"/>
          <w:sz w:val="24"/>
          <w:szCs w:val="24"/>
        </w:rPr>
        <w:t xml:space="preserve"> запрашивает QR-код у ОПКЦ СБП и получает данные для его формирования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5)</w:t>
      </w:r>
      <w:r>
        <w:rPr>
          <w:rFonts w:ascii="Times New Roman" w:hAnsi="Times New Roman" w:cs="Times New Roman"/>
          <w:sz w:val="24"/>
          <w:szCs w:val="24"/>
        </w:rPr>
        <w:tab/>
        <w:t xml:space="preserve">Банк </w:t>
      </w:r>
      <w:r>
        <w:rPr>
          <w:rFonts w:ascii="Times New Roman" w:hAnsi="Times New Roman" w:cs="Times New Roman"/>
          <w:sz w:val="24"/>
          <w:szCs w:val="24"/>
        </w:rPr>
        <w:t xml:space="preserve">ОИСа</w:t>
      </w:r>
      <w:r>
        <w:rPr>
          <w:rFonts w:ascii="Times New Roman" w:hAnsi="Times New Roman" w:cs="Times New Roman"/>
          <w:sz w:val="24"/>
          <w:szCs w:val="24"/>
        </w:rPr>
        <w:t xml:space="preserve"> передает данные оператору информационных систем (стрелка 5а), а ОИС передает их оператору цифровых активов (стрелка 5б). ОЦА отображает этот QR-код на экране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6)</w:t>
      </w:r>
      <w:r>
        <w:rPr>
          <w:rFonts w:ascii="Times New Roman" w:hAnsi="Times New Roman" w:cs="Times New Roman"/>
          <w:sz w:val="24"/>
          <w:szCs w:val="24"/>
        </w:rPr>
        <w:tab/>
        <w:t xml:space="preserve">Инвестор открывает банковское приложение и сканирует код с экрана для оплаты ЦФА по СБП на номинальный счет ОИС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7)</w:t>
      </w:r>
      <w:r>
        <w:rPr>
          <w:rFonts w:ascii="Times New Roman" w:hAnsi="Times New Roman" w:cs="Times New Roman"/>
          <w:sz w:val="24"/>
          <w:szCs w:val="24"/>
        </w:rPr>
        <w:tab/>
        <w:t xml:space="preserve">Банковское приложение расшифровывает QR-код и обращается к ОПКЦ СБП для получения данных по платежу. Затем банк инвестора, получив подтверждение платежа от инвестора, формирует сообщение о платеже и отправляет его в ОПКЦ СБП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8)</w:t>
      </w:r>
      <w:r>
        <w:rPr>
          <w:rFonts w:ascii="Times New Roman" w:hAnsi="Times New Roman" w:cs="Times New Roman"/>
          <w:sz w:val="24"/>
          <w:szCs w:val="24"/>
        </w:rPr>
        <w:tab/>
        <w:t xml:space="preserve">ОПКЦ СБП запрашивает у банка ОИС разрешение на прием платежа и получает его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9) </w:t>
      </w:r>
      <w:r>
        <w:rPr>
          <w:rFonts w:ascii="Times New Roman" w:hAnsi="Times New Roman" w:cs="Times New Roman"/>
          <w:sz w:val="24"/>
          <w:szCs w:val="24"/>
        </w:rPr>
        <w:tab/>
        <w:t xml:space="preserve">После клиринга между банком инвестора и банком ОИС, ОПКЦ СБП отправляет банку инвестора и банку ОИС подтверждение успешного платежа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10)</w:t>
      </w:r>
      <w:r>
        <w:rPr>
          <w:rFonts w:ascii="Times New Roman" w:hAnsi="Times New Roman" w:cs="Times New Roman"/>
          <w:sz w:val="24"/>
          <w:szCs w:val="24"/>
        </w:rPr>
        <w:tab/>
        <w:t xml:space="preserve">После зачисления платежа, банк, где обслуживается ОИС, уведомляет оператора информационных систем о поступлении суммы на его счет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11)</w:t>
      </w:r>
      <w:r>
        <w:rPr>
          <w:rFonts w:ascii="Times New Roman" w:hAnsi="Times New Roman" w:cs="Times New Roman"/>
          <w:sz w:val="24"/>
          <w:szCs w:val="24"/>
        </w:rPr>
        <w:tab/>
        <w:t xml:space="preserve">ОИС уведомляет оператора цифровых активов об успешной оплате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12)</w:t>
      </w:r>
      <w:r>
        <w:rPr>
          <w:rFonts w:ascii="Times New Roman" w:hAnsi="Times New Roman" w:cs="Times New Roman"/>
          <w:sz w:val="24"/>
          <w:szCs w:val="24"/>
        </w:rPr>
        <w:tab/>
        <w:t xml:space="preserve">ОИС осуществляет списание ЦФА с резерва эмитента и зачисление на счет инвестора, при этом регистрирует факт проведения операции в реестре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13)</w:t>
      </w:r>
      <w:r>
        <w:rPr>
          <w:rFonts w:ascii="Times New Roman" w:hAnsi="Times New Roman" w:cs="Times New Roman"/>
          <w:sz w:val="24"/>
          <w:szCs w:val="24"/>
        </w:rPr>
        <w:tab/>
        <w:t xml:space="preserve">После фиксации факта изменения прав собственности на ЦФА оператор передает хэш транзакции платформе ОЦА для записи в его базу данных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14)</w:t>
      </w:r>
      <w:r>
        <w:rPr>
          <w:rFonts w:ascii="Times New Roman" w:hAnsi="Times New Roman" w:cs="Times New Roman"/>
          <w:sz w:val="24"/>
          <w:szCs w:val="24"/>
        </w:rPr>
        <w:tab/>
        <w:t xml:space="preserve">Оператор цифровых активов сообщает инвестору о зачислении активов, а эмитенту – об их списании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15)</w:t>
      </w:r>
      <w:r>
        <w:rPr>
          <w:rFonts w:ascii="Times New Roman" w:hAnsi="Times New Roman" w:cs="Times New Roman"/>
          <w:sz w:val="24"/>
          <w:szCs w:val="24"/>
        </w:rPr>
        <w:tab/>
        <w:t xml:space="preserve">ОИС запрашивает перевод денег эмитенту на его счет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16)</w:t>
      </w:r>
      <w:r>
        <w:rPr>
          <w:rFonts w:ascii="Times New Roman" w:hAnsi="Times New Roman" w:cs="Times New Roman"/>
          <w:sz w:val="24"/>
          <w:szCs w:val="24"/>
        </w:rPr>
        <w:tab/>
        <w:t xml:space="preserve">ОИС направляет уведомление оператору цифровых активов о зачислении денег на счет эмитента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17)</w:t>
      </w:r>
      <w:r>
        <w:rPr>
          <w:rFonts w:ascii="Times New Roman" w:hAnsi="Times New Roman" w:cs="Times New Roman"/>
          <w:sz w:val="24"/>
          <w:szCs w:val="24"/>
        </w:rPr>
        <w:tab/>
        <w:t xml:space="preserve">ОЦА передает эмитенту сообщение об успешном зачислении денежной суммы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Второ</w:t>
      </w:r>
      <w:r>
        <w:rPr>
          <w:rFonts w:ascii="Times New Roman" w:hAnsi="Times New Roman" w:cs="Times New Roman"/>
          <w:sz w:val="24"/>
          <w:szCs w:val="24"/>
        </w:rPr>
        <w:t xml:space="preserve">й процесс TO-BE представляет собой перевод ЦФА, выпущенных одним оператором (ОИС А), на платформу другого оператора (ОИС Б). На сегодняшний день такая операция недоступна из-за изоляции платформ операторов, поэтому на схеме отображен только процесс TO BE (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REF _Ref213258123 \h  \* MERGEFORMAT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 xml:space="preserve">Рисунок 3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). 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08803" cy="2327564"/>
                <wp:effectExtent l="0" t="0" r="0" b="0"/>
                <wp:docPr id="3" name="Рисунок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926437" cy="23380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07.78pt;height:183.27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/>
      <w:bookmarkStart w:id="50" w:name="_Ref213258123"/>
      <w:r>
        <w:rPr>
          <w:rFonts w:ascii="Times New Roman" w:hAnsi="Times New Roman" w:cs="Times New Roman"/>
          <w:i/>
          <w:iCs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</w:rPr>
        <w:fldChar w:fldCharType="begin"/>
      </w:r>
      <w:r>
        <w:rPr>
          <w:rFonts w:ascii="Times New Roman" w:hAnsi="Times New Roman" w:cs="Times New Roman"/>
          <w:i/>
          <w:iCs/>
          <w:sz w:val="24"/>
          <w:szCs w:val="24"/>
        </w:rPr>
        <w:instrText xml:space="preserve"> SEQ Рисунок \* ARABIC </w:instrText>
      </w:r>
      <w:r>
        <w:rPr>
          <w:rFonts w:ascii="Times New Roman" w:hAnsi="Times New Roman" w:cs="Times New Roman"/>
          <w:i/>
          <w:iCs/>
          <w:sz w:val="24"/>
          <w:szCs w:val="24"/>
        </w:rPr>
        <w:fldChar w:fldCharType="separate"/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3</w:t>
      </w:r>
      <w:r>
        <w:rPr>
          <w:rFonts w:ascii="Times New Roman" w:hAnsi="Times New Roman" w:cs="Times New Roman"/>
          <w:i/>
          <w:iCs/>
          <w:sz w:val="24"/>
          <w:szCs w:val="24"/>
        </w:rPr>
        <w:fldChar w:fldCharType="end"/>
      </w:r>
      <w:bookmarkEnd w:id="50"/>
      <w:r>
        <w:rPr>
          <w:rFonts w:ascii="Times New Roman" w:hAnsi="Times New Roman" w:cs="Times New Roman"/>
          <w:i/>
          <w:iCs/>
          <w:sz w:val="24"/>
          <w:szCs w:val="24"/>
        </w:rPr>
        <w:t xml:space="preserve">. Процесс TO BE перевода ЦФА от одного ОИС к другому</w:t>
      </w:r>
      <w:r>
        <w:rPr>
          <w:rFonts w:ascii="Times New Roman" w:hAnsi="Times New Roman" w:cs="Times New Roman"/>
          <w:i/>
          <w:iCs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</w:t>
      </w:r>
      <w:r>
        <w:rPr>
          <w:rFonts w:ascii="Times New Roman" w:hAnsi="Times New Roman" w:cs="Times New Roman"/>
          <w:sz w:val="24"/>
          <w:szCs w:val="24"/>
        </w:rPr>
        <w:tab/>
        <w:t xml:space="preserve">Инвестор заполняет заявку на перевод ЦФА от ОИС А к ОИС Б на платформе оператора цифровых активов. На протяжении процесса обмена инвестор оповещен о статусе транзакции (заявка в рассмотрении, отклонена, перевод в процессе и </w:t>
      </w:r>
      <w:r>
        <w:rPr>
          <w:rFonts w:ascii="Times New Roman" w:hAnsi="Times New Roman" w:cs="Times New Roman"/>
          <w:sz w:val="24"/>
          <w:szCs w:val="24"/>
        </w:rPr>
        <w:t xml:space="preserve">т.д</w:t>
      </w:r>
      <w:r>
        <w:rPr>
          <w:rFonts w:ascii="Times New Roman" w:hAnsi="Times New Roman" w:cs="Times New Roman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</w:t>
      </w:r>
      <w:r>
        <w:rPr>
          <w:rFonts w:ascii="Times New Roman" w:hAnsi="Times New Roman" w:cs="Times New Roman"/>
          <w:sz w:val="24"/>
          <w:szCs w:val="24"/>
        </w:rPr>
        <w:tab/>
        <w:t xml:space="preserve">ОЦА отправляет ОИС А результаты KYC инвестора и запрос о переводе активов на площадку другого оператора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</w:t>
      </w:r>
      <w:r>
        <w:rPr>
          <w:rFonts w:ascii="Times New Roman" w:hAnsi="Times New Roman" w:cs="Times New Roman"/>
          <w:sz w:val="24"/>
          <w:szCs w:val="24"/>
        </w:rPr>
        <w:tab/>
        <w:t xml:space="preserve">Оператор информационных систем верифицирует инвестора, проверяет его права на указанные активы и возвращает подтверждение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4)</w:t>
      </w:r>
      <w:r>
        <w:rPr>
          <w:rFonts w:ascii="Times New Roman" w:hAnsi="Times New Roman" w:cs="Times New Roman"/>
          <w:sz w:val="24"/>
          <w:szCs w:val="24"/>
        </w:rPr>
        <w:tab/>
        <w:t xml:space="preserve">Платформа ОЦА запрашивает у ОИС Б готовность осуществить прием активов, оператор возвращает вердикт. Если ответ отрицательный, то транзакция отклоняется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5)</w:t>
      </w:r>
      <w:r>
        <w:rPr>
          <w:rFonts w:ascii="Times New Roman" w:hAnsi="Times New Roman" w:cs="Times New Roman"/>
          <w:sz w:val="24"/>
          <w:szCs w:val="24"/>
        </w:rPr>
        <w:tab/>
        <w:t xml:space="preserve">Эмиссия оператором Б эквивалентных ЦФА (если запрос на перевод им одобрен), передача оператору цифровых активов хэша выпуска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6)</w:t>
      </w:r>
      <w:r>
        <w:rPr>
          <w:rFonts w:ascii="Times New Roman" w:hAnsi="Times New Roman" w:cs="Times New Roman"/>
          <w:sz w:val="24"/>
          <w:szCs w:val="24"/>
        </w:rPr>
        <w:tab/>
        <w:t xml:space="preserve">Платформа ОЦА уведомляет оператора А о выпуске ОИС Б эквивалентных активов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7)</w:t>
      </w:r>
      <w:r>
        <w:rPr>
          <w:rFonts w:ascii="Times New Roman" w:hAnsi="Times New Roman" w:cs="Times New Roman"/>
          <w:sz w:val="24"/>
          <w:szCs w:val="24"/>
        </w:rPr>
        <w:tab/>
        <w:t xml:space="preserve">Оператор А проводит списание ЦФА со счета инвестора, фиксацию передачи прав собственности и передает хэш транзакции списания платформе ОЦА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8)</w:t>
      </w:r>
      <w:r>
        <w:rPr>
          <w:rFonts w:ascii="Times New Roman" w:hAnsi="Times New Roman" w:cs="Times New Roman"/>
          <w:sz w:val="24"/>
          <w:szCs w:val="24"/>
        </w:rPr>
        <w:tab/>
        <w:t xml:space="preserve">ОЦА оповещает оператора Б о совершенной транзакции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9)</w:t>
      </w:r>
      <w:r>
        <w:rPr>
          <w:rFonts w:ascii="Times New Roman" w:hAnsi="Times New Roman" w:cs="Times New Roman"/>
          <w:sz w:val="24"/>
          <w:szCs w:val="24"/>
        </w:rPr>
        <w:tab/>
        <w:t xml:space="preserve">Оператор Б зачисляет эквивалентные активы на счет инвестора и возвращает хэш транзакции зачисления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10)</w:t>
      </w:r>
      <w:r>
        <w:rPr>
          <w:rFonts w:ascii="Times New Roman" w:hAnsi="Times New Roman" w:cs="Times New Roman"/>
          <w:sz w:val="24"/>
          <w:szCs w:val="24"/>
        </w:rPr>
        <w:tab/>
        <w:t xml:space="preserve">Оператор цифровых активов записывает хэш в свою базу данных и уведомляет инвестора об успешном переводе ЦФА из оператора А в ОИС Б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Style w:val="790"/>
        <w:pBdr/>
        <w:spacing w:after="440" w:afterAutospacing="0" w:beforeAutospacing="0" w:line="276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1.4.</w:t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Пользовательские сценарии</w:t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</w:r>
    </w:p>
    <w:p>
      <w:pPr>
        <w:pBdr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/>
      <w:bookmarkStart w:id="51" w:name="_Toc216035839"/>
      <w:r/>
      <w:bookmarkStart w:id="52" w:name="_Toc216035895"/>
      <w:r/>
      <w:bookmarkStart w:id="53" w:name="_Toc216035951"/>
      <w:r>
        <w:rPr>
          <w:rFonts w:ascii="Times New Roman" w:hAnsi="Times New Roman" w:cs="Times New Roman"/>
          <w:sz w:val="24"/>
          <w:szCs w:val="24"/>
          <w:lang w:eastAsia="ru-RU"/>
        </w:rPr>
        <w:t xml:space="preserve">Предлагаемое решение в виде оператора цифровых активов предполагает наличие следующих пользовательских сценариев:</w:t>
      </w:r>
      <w:bookmarkEnd w:id="51"/>
      <w:r/>
      <w:bookmarkEnd w:id="52"/>
      <w:r/>
      <w:bookmarkEnd w:id="53"/>
      <w:r/>
      <w:r>
        <w:rPr>
          <w:rFonts w:ascii="Times New Roman" w:hAnsi="Times New Roman" w:cs="Times New Roman"/>
          <w:sz w:val="24"/>
          <w:szCs w:val="24"/>
          <w:lang w:eastAsia="ru-RU"/>
        </w:rPr>
      </w:r>
    </w:p>
    <w:p>
      <w:pPr>
        <w:pBdr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/>
      <w:bookmarkStart w:id="54" w:name="_Toc216035840"/>
      <w:r/>
      <w:bookmarkStart w:id="55" w:name="_Toc216035896"/>
      <w:r/>
      <w:bookmarkStart w:id="56" w:name="_Toc216035952"/>
      <w:r>
        <w:rPr>
          <w:rFonts w:ascii="Times New Roman" w:hAnsi="Times New Roman" w:cs="Times New Roman"/>
          <w:sz w:val="24"/>
          <w:szCs w:val="24"/>
          <w:lang w:eastAsia="ru-RU"/>
        </w:rPr>
        <w:t xml:space="preserve">Регистрация инвестора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– пользовательский сценарий, по выполнении которого инвестор получает доступ к инструментам платформы предлагаемого сервиса. Предусловие: на момент регистрации инвестор может как впервые проходить данную процедуру, так и уже быть клиентом какого-либо ОИС. </w:t>
      </w:r>
      <w:bookmarkStart w:id="57" w:name="_Hlk214646960"/>
      <w:r>
        <w:rPr>
          <w:rFonts w:ascii="Times New Roman" w:hAnsi="Times New Roman" w:cs="Times New Roman"/>
          <w:sz w:val="24"/>
          <w:szCs w:val="24"/>
          <w:lang w:eastAsia="ru-RU"/>
        </w:rPr>
        <w:t xml:space="preserve">Постусловие:</w:t>
      </w:r>
      <w:bookmarkEnd w:id="57"/>
      <w:r>
        <w:rPr>
          <w:rFonts w:ascii="Times New Roman" w:hAnsi="Times New Roman" w:cs="Times New Roman"/>
          <w:sz w:val="24"/>
          <w:szCs w:val="24"/>
          <w:lang w:eastAsia="ru-RU"/>
        </w:rPr>
        <w:t xml:space="preserve"> клиент получает доступ к личному кабинету</w:t>
      </w:r>
      <w:bookmarkEnd w:id="54"/>
      <w:r/>
      <w:bookmarkEnd w:id="55"/>
      <w:r/>
      <w:bookmarkEnd w:id="56"/>
      <w:r/>
      <w:r>
        <w:rPr>
          <w:rFonts w:ascii="Times New Roman" w:hAnsi="Times New Roman" w:cs="Times New Roman"/>
          <w:sz w:val="24"/>
          <w:szCs w:val="24"/>
          <w:lang w:eastAsia="ru-RU"/>
        </w:rPr>
      </w:r>
    </w:p>
    <w:p>
      <w:pPr>
        <w:pBdr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/>
      <w:bookmarkStart w:id="58" w:name="_Toc216035841"/>
      <w:r/>
      <w:bookmarkStart w:id="59" w:name="_Toc216035897"/>
      <w:r/>
      <w:bookmarkStart w:id="60" w:name="_Toc216035953"/>
      <w:r>
        <w:rPr>
          <w:rFonts w:ascii="Times New Roman" w:hAnsi="Times New Roman" w:cs="Times New Roman"/>
          <w:sz w:val="24"/>
          <w:szCs w:val="24"/>
          <w:lang w:eastAsia="ru-RU"/>
        </w:rPr>
        <w:t xml:space="preserve">Инициация покупки ЦФА – процесс, означающий подачу инвестором заявки на покупку определенных активов и запрос на одобрение сделки к оператору информационных систем. Предусловие: </w:t>
      </w:r>
      <w:r>
        <w:rPr>
          <w:rFonts w:ascii="Times New Roman" w:hAnsi="Times New Roman" w:cs="Times New Roman"/>
          <w:sz w:val="24"/>
          <w:szCs w:val="24"/>
        </w:rPr>
        <w:t xml:space="preserve">инвестор прошел процедуру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KYC</w:t>
      </w:r>
      <w:r>
        <w:rPr>
          <w:rFonts w:ascii="Times New Roman" w:hAnsi="Times New Roman" w:cs="Times New Roman"/>
          <w:sz w:val="24"/>
          <w:szCs w:val="24"/>
        </w:rPr>
        <w:t xml:space="preserve">, и его данные хранятся на платформе оператора цифровых активов. Постусловие: либо заявка клиента отклоняется оператором информационных систем, либо ОИС её одобряет, и инвестор может переходить к оплате</w:t>
      </w:r>
      <w:bookmarkEnd w:id="58"/>
      <w:r/>
      <w:bookmarkEnd w:id="59"/>
      <w:r/>
      <w:bookmarkEnd w:id="60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</w:r>
    </w:p>
    <w:p>
      <w:pPr>
        <w:pBdr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Поку</w:t>
      </w:r>
      <w:r>
        <w:rPr>
          <w:rFonts w:ascii="Times New Roman" w:hAnsi="Times New Roman" w:cs="Times New Roman"/>
          <w:sz w:val="24"/>
          <w:szCs w:val="24"/>
        </w:rPr>
        <w:t xml:space="preserve">пка ЦФА – процесс, в ходе которого клиент приобретает определенные цифровые финансовые активы. Предусловие: оператор информационных систем одобрил заявку на покупку активов. Постусловие: у инвестора появляется право владения и распоряжения данными активами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Перевод ЦФА - пользовательский сценарий, описывающий перевод ЦФА, выпущенного операт</w:t>
      </w:r>
      <w:r>
        <w:rPr>
          <w:rFonts w:ascii="Times New Roman" w:hAnsi="Times New Roman" w:cs="Times New Roman"/>
          <w:sz w:val="24"/>
          <w:szCs w:val="24"/>
        </w:rPr>
        <w:t xml:space="preserve">ором А, в экосистему оператора Б. Предусловие: обязательная регистрация инвестора в системе, наличие у него прав собственности на некоторые цифровые активы. Постусловие: у инвестора появились активы, аналогичные обменянным, но выпущенные другим оператором.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Межплатформенный обмен ЦФА </w:t>
      </w:r>
      <w:r>
        <w:rPr>
          <w:rFonts w:ascii="Times New Roman" w:hAnsi="Times New Roman" w:cs="Times New Roman"/>
          <w:sz w:val="24"/>
          <w:szCs w:val="24"/>
        </w:rPr>
        <w:t xml:space="preserve">– реализация инвестором А, являющимся клиентом ОИС А, обмена его цифровых активов на активы инвестора Б, являющегося клиентом оператора Б. Предусловие: наличие у обоих инвесторов прав собственности на цифровые активы, одинаковые типы цифровых активов А и Б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Взаимосвязь между </w:t>
      </w:r>
      <w:r>
        <w:rPr>
          <w:rFonts w:ascii="Times New Roman" w:hAnsi="Times New Roman" w:cs="Times New Roman"/>
          <w:sz w:val="24"/>
          <w:szCs w:val="24"/>
        </w:rPr>
        <w:t xml:space="preserve">акторами</w:t>
      </w:r>
      <w:r>
        <w:rPr>
          <w:rFonts w:ascii="Times New Roman" w:hAnsi="Times New Roman" w:cs="Times New Roman"/>
          <w:sz w:val="24"/>
          <w:szCs w:val="24"/>
        </w:rPr>
        <w:t xml:space="preserve"> и сценариями представлена на диаграмме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UML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REF _Ref214826676 \h </w:instrText>
      </w:r>
      <w:r>
        <w:rPr>
          <w:rFonts w:ascii="Times New Roman" w:hAnsi="Times New Roman" w:cs="Times New Roman"/>
          <w:sz w:val="24"/>
          <w:szCs w:val="24"/>
        </w:rPr>
        <w:instrText xml:space="preserve"> \* MERGEFORMAT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 xml:space="preserve">Рисунок 4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).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7592695"/>
                <wp:effectExtent l="0" t="0" r="3810" b="8255"/>
                <wp:docPr id="4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39790" cy="75926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0pt;height:597.8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/>
      <w:bookmarkStart w:id="61" w:name="_Ref214826676"/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 xml:space="preserve">4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. Диаграмма прецедентов (UML </w:t>
      </w:r>
      <w:r>
        <w:rPr>
          <w:rFonts w:ascii="Times New Roman" w:hAnsi="Times New Roman" w:cs="Times New Roman"/>
          <w:sz w:val="24"/>
          <w:szCs w:val="24"/>
        </w:rPr>
        <w:t xml:space="preserve">Use</w:t>
      </w:r>
      <w:r>
        <w:rPr>
          <w:rFonts w:ascii="Times New Roman" w:hAnsi="Times New Roman" w:cs="Times New Roman"/>
          <w:sz w:val="24"/>
          <w:szCs w:val="24"/>
        </w:rPr>
        <w:t xml:space="preserve"> Case </w:t>
      </w:r>
      <w:r>
        <w:rPr>
          <w:rFonts w:ascii="Times New Roman" w:hAnsi="Times New Roman" w:cs="Times New Roman"/>
          <w:sz w:val="24"/>
          <w:szCs w:val="24"/>
        </w:rPr>
        <w:t xml:space="preserve">Diagram</w:t>
      </w:r>
      <w:r>
        <w:rPr>
          <w:rFonts w:ascii="Times New Roman" w:hAnsi="Times New Roman" w:cs="Times New Roman"/>
          <w:sz w:val="24"/>
          <w:szCs w:val="24"/>
        </w:rPr>
        <w:t xml:space="preserve">)</w:t>
      </w:r>
      <w:bookmarkEnd w:id="61"/>
      <w:r/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cs="Times New Roman"/>
          <w:i/>
          <w:iCs/>
          <w:sz w:val="24"/>
          <w:szCs w:val="24"/>
        </w:rPr>
      </w:r>
    </w:p>
    <w:p>
      <w:pPr>
        <w:pStyle w:val="791"/>
        <w:pBdr/>
        <w:spacing/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1.4.1.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Регистрация инвестора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Данный процесс обеспечивает подключение инвесторов и эмитентов к платформе оператора цифровых активов в соответствии с требованиям</w:t>
      </w:r>
      <w:r>
        <w:rPr>
          <w:rFonts w:ascii="Times New Roman" w:hAnsi="Times New Roman" w:cs="Times New Roman"/>
          <w:sz w:val="24"/>
          <w:szCs w:val="24"/>
        </w:rPr>
        <w:t xml:space="preserve">и российского законодательства. В результате успешной идентификации и проверки клиент получает полный доступ ко всем видам операций с ЦФА, а также единую учетную запись для всех операторов информационных систем. Подробная схема процесса представлена ниже (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REF _Ref214796663 \h </w:instrText>
      </w:r>
      <w:r>
        <w:rPr>
          <w:rFonts w:ascii="Times New Roman" w:hAnsi="Times New Roman" w:cs="Times New Roman"/>
          <w:sz w:val="24"/>
          <w:szCs w:val="24"/>
        </w:rPr>
        <w:instrText xml:space="preserve"> \* MERGEFORMAT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5).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keepNext w:val="true"/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72100" cy="6969832"/>
                <wp:effectExtent l="0" t="0" r="0" b="2540"/>
                <wp:docPr id="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578969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373744" cy="69719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23.00pt;height:548.8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78"/>
        <w:pBdr/>
        <w:spacing w:after="0" w:line="276" w:lineRule="auto"/>
        <w:ind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/>
      <w:bookmarkStart w:id="62" w:name="_Ref214796663"/>
      <w:r/>
      <w:bookmarkStart w:id="63" w:name="_Ref214796657"/>
      <w:r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5</w: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bookmarkEnd w:id="62"/>
      <w:r>
        <w:rPr>
          <w:rFonts w:ascii="Times New Roman" w:hAnsi="Times New Roman" w:cs="Times New Roman"/>
          <w:color w:val="auto"/>
          <w:sz w:val="24"/>
          <w:szCs w:val="24"/>
        </w:rPr>
        <w:t xml:space="preserve">. Процесс регистрации инвестора на платформе ОЦА</w:t>
      </w:r>
      <w:bookmarkEnd w:id="63"/>
      <w:r/>
      <w:r>
        <w:rPr>
          <w:rFonts w:ascii="Times New Roman" w:hAnsi="Times New Roman" w:cs="Times New Roman"/>
          <w:color w:val="auto"/>
          <w:sz w:val="24"/>
          <w:szCs w:val="24"/>
        </w:rPr>
      </w:r>
    </w:p>
    <w:p>
      <w:pPr>
        <w:pStyle w:val="960"/>
        <w:numPr>
          <w:ilvl w:val="0"/>
          <w:numId w:val="18"/>
        </w:num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Инвестор / эмитент запускает мобильное приложение или открывает веб-версию платформы. В главном меню выбирает раздел "Личный кабинет инвестора" / "Личный кабинет эмитента" для начала работы с сервисом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18"/>
        </w:num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Система отображает интерфейс с двумя вариантами: вход для существующих пользователей и регистрация для новых. Клиент выбирает опцию создания новой учетной записи, после чего выбирает свою роль – физическое или юридическое лицо.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18"/>
        </w:num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Физическое лицо осуществляет регистрацию через Госуслуги и получает полный доступ к личному кабинету. Иных проверок ему не нужно проходить, поскольку регистрация через портал Госуслуг является исчерпывающей.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18"/>
        </w:num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клиент – юридическое лицо, то система выдает ему форму регистрации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18"/>
        </w:num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Пользователь изучает соглашение об обработке персональных данных и правила платформы. Затем заполняет обязательные поля: ФИО, почту, телефон и создает пароль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18"/>
        </w:num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Клиентская часть приложения отправляет регистрационные данные на бэкенд-сервер для обработки и сохранения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18"/>
        </w:num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Серверная часть проверяет наличие введенных данных в существующей базе пользователей для предотвращения дублирования учетных записей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18"/>
        </w:num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Система анализирует результаты проверки. Если пользователь с такими данными уже есть, процесс переходит к уведомлению о существовании учетной записи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18"/>
        </w:num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введенные контактные данные уже существуют в системе, пользователь получает сообщение о том, что учетная запись уже зарегистрирована, и предложение восстановить доступ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18"/>
        </w:num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нового пользователя система </w:t>
      </w:r>
      <w:r>
        <w:rPr>
          <w:rFonts w:ascii="Times New Roman" w:hAnsi="Times New Roman" w:cs="Times New Roman"/>
          <w:sz w:val="24"/>
          <w:szCs w:val="24"/>
        </w:rPr>
        <w:t xml:space="preserve">хэширует</w:t>
      </w:r>
      <w:r>
        <w:rPr>
          <w:rFonts w:ascii="Times New Roman" w:hAnsi="Times New Roman" w:cs="Times New Roman"/>
          <w:sz w:val="24"/>
          <w:szCs w:val="24"/>
        </w:rPr>
        <w:t xml:space="preserve"> данные, формирует уникальный ID и создает запись в базе данных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18"/>
        </w:num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регистрации на платформе пользователь получает доступ к личному кабинету, однако он ограничен, пока клиент не пройдет все процедуры верификации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18"/>
        </w:num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Пользователь в личном кабинете загружает сканы документов: паспорт, ИНН, СНИЛС или другие необходимые для верификации документы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18"/>
        </w:num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Клиентское приложение передает загруженные файлы документов на сервер для дальнейшей обработки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18"/>
        </w:num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Платформа ОЦА обращается к ФНС для получения выписки из ЕГРЮЛ с целью полной проверки клиента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18"/>
        </w:num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пользователь верифицирован, он наблюдает изменение статуса в личном кабинете и получает полный доступ ко всем инструментам сервиса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91"/>
        <w:pBdr/>
        <w:spacing w:after="440" w:afterAutospacing="0" w:beforeAutospacing="0" w:line="276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1.4.2.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Инициация покупки ЦФА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ab/>
        <w:t xml:space="preserve">Этот процесс начинает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ся, когда клиент, во время просмотра витрины сервиса, решает инвестировать в определенные активы. Задача процесса заключается в обеспечении коммуникации между инвестором и оператором информационных систем: ОИС должен обработать заявку клиента на покупку ЦФ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А и вернуть ему вердикт – разрешает ли он покупку выбранных активов или нет. Инициация покупки ЦФА является основой всего процесса инвестирования, поскольку именно от одобрения оператором информационных систем заявки зависят дальнейшие действия инвестора (</w:t>
      </w:r>
      <w:r>
        <w:rPr>
          <w:rFonts w:ascii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hAnsi="Times New Roman" w:cs="Times New Roman"/>
          <w:sz w:val="24"/>
          <w:szCs w:val="24"/>
          <w:lang w:eastAsia="ru-RU"/>
        </w:rPr>
        <w:instrText xml:space="preserve"> REF _Ref214797697 \h </w:instrText>
      </w:r>
      <w:r>
        <w:rPr>
          <w:rFonts w:ascii="Times New Roman" w:hAnsi="Times New Roman" w:cs="Times New Roman"/>
          <w:sz w:val="24"/>
          <w:szCs w:val="24"/>
          <w:lang w:eastAsia="ru-RU"/>
        </w:rPr>
        <w:instrText xml:space="preserve"> \* MERGEFORMAT </w:instrText>
      </w:r>
      <w:r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 xml:space="preserve">Рисунок 6</w:t>
      </w:r>
      <w:r>
        <w:rPr>
          <w:rFonts w:ascii="Times New Roman" w:hAnsi="Times New Roman" w:cs="Times New Roman"/>
          <w:sz w:val="24"/>
          <w:szCs w:val="24"/>
          <w:lang w:eastAsia="ru-RU"/>
        </w:rPr>
        <w:fldChar w:fldCharType="end"/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).</w:t>
      </w:r>
      <w:r>
        <w:rPr>
          <w:rFonts w:ascii="Times New Roman" w:hAnsi="Times New Roman" w:cs="Times New Roman"/>
          <w:sz w:val="24"/>
          <w:szCs w:val="24"/>
          <w:lang w:eastAsia="ru-RU"/>
        </w:rPr>
      </w:r>
    </w:p>
    <w:p>
      <w:pPr>
        <w:keepNext w:val="true"/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29745" cy="8756073"/>
                <wp:effectExtent l="0" t="0" r="0" b="6985"/>
                <wp:docPr id="6" name="Группа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929745" cy="8756073"/>
                          <a:chOff x="0" y="0"/>
                          <a:chExt cx="5939790" cy="8332259"/>
                        </a:xfrm>
                      </wpg:grpSpPr>
                      <pic:pic xmlns:pic="http://schemas.openxmlformats.org/drawingml/2006/picture">
                        <pic:nvPicPr>
                          <pic:cNvPr id="12" name="Рисунок 12"/>
                          <pic:cNvPicPr>
                            <a:picLocks noChangeAspect="1"/>
                          </pic:cNvPicPr>
                          <pic:nvPr/>
                        </pic:nvPicPr>
                        <pic:blipFill>
                          <a:blip r:embed="rId17"/>
                          <a:stretch/>
                        </pic:blipFill>
                        <pic:spPr bwMode="auto">
                          <a:xfrm>
                            <a:off x="16933" y="5096934"/>
                            <a:ext cx="5922645" cy="3235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Рисунок 4"/>
                          <pic:cNvPicPr>
                            <a:picLocks noChangeAspect="1"/>
                          </pic:cNvPicPr>
                          <pic:nvPr/>
                        </pic:nvPicPr>
                        <pic:blipFill>
                          <a:blip r:embed="rId18"/>
                          <a:stretch/>
                        </pic:blipFill>
                        <pic:spPr bwMode="auto">
                          <a:xfrm>
                            <a:off x="0" y="0"/>
                            <a:ext cx="5939790" cy="51009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5" o:spid="_x0000_s0000" style="width:466.91pt;height:689.45pt;mso-wrap-distance-left:0.00pt;mso-wrap-distance-top:0.00pt;mso-wrap-distance-right:0.00pt;mso-wrap-distance-bottom:0.00pt;" coordorigin="0,0" coordsize="59397,8332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6" o:spid="_x0000_s6" type="#_x0000_t75" style="position:absolute;left:169;top:50969;width:59226;height:32353;z-index:1;" stroked="false">
                  <v:imagedata r:id="rId17" o:title=""/>
                  <o:lock v:ext="edit" rotation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7" o:spid="_x0000_s7" type="#_x0000_t75" style="position:absolute;left:0;top:0;width:59397;height:51009;z-index:1;" stroked="false">
                  <v:imagedata r:id="rId18" o:title=""/>
                  <o:lock v:ext="edit" rotation="t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78"/>
        <w:pBdr/>
        <w:spacing w:after="0" w:line="276" w:lineRule="auto"/>
        <w:ind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</w:pPr>
      <w:r/>
      <w:bookmarkStart w:id="64" w:name="_Ref214797697"/>
      <w:r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6</w: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bookmarkEnd w:id="64"/>
      <w:r>
        <w:rPr>
          <w:rFonts w:ascii="Times New Roman" w:hAnsi="Times New Roman" w:cs="Times New Roman"/>
          <w:color w:val="auto"/>
          <w:sz w:val="24"/>
          <w:szCs w:val="24"/>
        </w:rPr>
        <w:t xml:space="preserve">. Инициация покупки ЦФА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</w:r>
    </w:p>
    <w:p>
      <w:pPr>
        <w:pStyle w:val="960"/>
        <w:numPr>
          <w:ilvl w:val="0"/>
          <w:numId w:val="19"/>
        </w:numPr>
        <w:pBdr/>
        <w:spacing w:after="0" w:line="276" w:lineRule="auto"/>
        <w:ind w:hanging="720"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Эмитент входит в свой личный кабинет на платформе ОЦА. В интерфейсе управления он находит и выбирает опцию выпуска цифровых финансовых активов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19"/>
        </w:numPr>
        <w:pBdr/>
        <w:spacing w:after="0" w:line="276" w:lineRule="auto"/>
        <w:ind w:hanging="720"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Система инициирует заявку на выпуск ЦФА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19"/>
        </w:numPr>
        <w:pBdr/>
        <w:spacing w:after="0" w:line="276" w:lineRule="auto"/>
        <w:ind w:hanging="720"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Платформа отображает эмитенту заявку с возможностью выбора оператора из списка ОИС, подключенных к платформе, указания условий выпуска, типа ЦФА и количества единиц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19"/>
        </w:numPr>
        <w:pBdr/>
        <w:spacing w:after="0" w:line="276" w:lineRule="auto"/>
        <w:ind w:hanging="720"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Эмитент заполняет требуемые поля формы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19"/>
        </w:numPr>
        <w:pBdr/>
        <w:spacing w:after="0" w:line="276" w:lineRule="auto"/>
        <w:ind w:hanging="720"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ОЦА отправляет оператору информационных систем пакет данных - параметры заявки и данные эмитента для дальнейшей обработки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19"/>
        </w:numPr>
        <w:pBdr/>
        <w:spacing w:after="0" w:line="276" w:lineRule="auto"/>
        <w:ind w:hanging="720"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Оператор информационных систем генерирует и отправляет ОЦА проект договора на выпуск ЦФА. Форма уже содержит все проверенные данные эмитента и выбранные условия, готовая к финальному просмотру и подписанию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19"/>
        </w:numPr>
        <w:pBdr/>
        <w:spacing w:after="0" w:line="276" w:lineRule="auto"/>
        <w:ind w:hanging="720"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ОЦА демонстрирует договор эмитенту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19"/>
        </w:numPr>
        <w:pBdr/>
        <w:spacing w:after="0" w:line="276" w:lineRule="auto"/>
        <w:ind w:firstLine="0"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Эмитент с помощью интерфейса платформы (или интеграции со средствами КЭП) подписывает проект договора своей квалифицированной электронной подписью. Это действие делает документ юридически значимым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19"/>
        </w:numPr>
        <w:pBdr/>
        <w:spacing w:after="0" w:line="276" w:lineRule="auto"/>
        <w:ind w:hanging="720"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Подписанный эмитентом файл договора (например, в формате PDF с ЭЦП) передается на сервер ОЦА. Оператор цифровых активов извлекает из документа ключевые данные (реквизиты сторон, дата подписи) и создает запись в базе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19"/>
        </w:numPr>
        <w:pBdr/>
        <w:spacing w:after="0" w:line="276" w:lineRule="auto"/>
        <w:ind w:hanging="709"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Сервер ОЦА направляет подписанный эмитентом документ выбранному оператору информационных систем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19"/>
        </w:numPr>
        <w:pBdr/>
        <w:spacing w:after="0" w:line="276" w:lineRule="auto"/>
        <w:ind w:hanging="709"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ОИС получает документ, проводит валидацию электронной подписи эмитента и подписывает договор, становясь второй стороной соглашения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19"/>
        </w:numPr>
        <w:pBdr/>
        <w:spacing w:after="0" w:line="276" w:lineRule="auto"/>
        <w:ind w:hanging="709"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ОИС отправляет платформе ОЦА криптографический хэш финального, подписанного обеими сторонами договора, как подтверждение исполнения. Сам документ хранит оператор информационных систем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19"/>
        </w:numPr>
        <w:pBdr/>
        <w:spacing w:after="0" w:line="276" w:lineRule="auto"/>
        <w:ind w:hanging="709"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ОЦА получает хэш и записывает его в свою базу данных, привязывая к заявке. Этот хэш служит ссылкой на итоговый юридический документ. Если эмитенту впоследствии понадобится копия договора, ОЦА запросит её у оператора информационных систем именно </w:t>
      </w:r>
      <w:r>
        <w:rPr>
          <w:rFonts w:ascii="Times New Roman" w:hAnsi="Times New Roman" w:cs="Times New Roman"/>
          <w:sz w:val="24"/>
          <w:szCs w:val="24"/>
        </w:rPr>
        <w:t xml:space="preserve">по этому</w:t>
      </w:r>
      <w:r>
        <w:rPr>
          <w:rFonts w:ascii="Times New Roman" w:hAnsi="Times New Roman" w:cs="Times New Roman"/>
          <w:sz w:val="24"/>
          <w:szCs w:val="24"/>
        </w:rPr>
        <w:t xml:space="preserve"> хэшу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19"/>
        </w:numPr>
        <w:pBdr/>
        <w:spacing w:after="0" w:line="276" w:lineRule="auto"/>
        <w:ind w:hanging="709"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Оператор информационных систем выпускает цифровые активы и зачисляет их на счет эмитента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19"/>
        </w:numPr>
        <w:pBdr/>
        <w:spacing w:after="0" w:line="276" w:lineRule="auto"/>
        <w:ind w:hanging="709"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ОИС передает оператору цифровых активов информацию по выпущенным активам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19"/>
        </w:numPr>
        <w:pBdr/>
        <w:spacing w:after="0" w:line="276" w:lineRule="auto"/>
        <w:ind w:hanging="709"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Серверная часть обрабатывает полученные данные и подготавливает их для отображения на клиентской части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19"/>
        </w:numPr>
        <w:pBdr/>
        <w:spacing w:after="0" w:line="276" w:lineRule="auto"/>
        <w:ind w:hanging="709"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ОЦА публикует активы на главной странице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19"/>
        </w:numPr>
        <w:pBdr/>
        <w:spacing w:after="0" w:line="276" w:lineRule="auto"/>
        <w:ind w:hanging="709"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Инвестор заходит на платформ</w:t>
      </w:r>
      <w:r>
        <w:rPr>
          <w:rFonts w:ascii="Times New Roman" w:hAnsi="Times New Roman" w:cs="Times New Roman"/>
          <w:sz w:val="24"/>
          <w:szCs w:val="24"/>
        </w:rPr>
        <w:t xml:space="preserve">у и открывает раздел с доступными цифровыми активами, где может посмотреть актуальный каталог ЦФА с характеристиками каждого актива. Клиент может применять фильтры (по оператору, типу актива, минимальному размеру инвестиции) для поиска подходящих вариантов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19"/>
        </w:numPr>
        <w:pBdr/>
        <w:spacing w:after="0" w:line="276" w:lineRule="auto"/>
        <w:ind w:hanging="709"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анализа предложений инвестор определяет подходящий цифровой актив для покупки и нажимает кнопку «Инвестировать»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19"/>
        </w:numPr>
        <w:pBdr/>
        <w:spacing w:after="0" w:line="276" w:lineRule="auto"/>
        <w:ind w:hanging="709"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Система предоставляет инвестору форму для заполнения данных о совершаемой сделке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19"/>
        </w:numPr>
        <w:pBdr/>
        <w:spacing w:after="0" w:line="276" w:lineRule="auto"/>
        <w:ind w:hanging="709"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Инвестор </w:t>
      </w:r>
      <w:r>
        <w:rPr>
          <w:rFonts w:ascii="Times New Roman" w:hAnsi="Times New Roman" w:cs="Times New Roman"/>
          <w:sz w:val="24"/>
          <w:szCs w:val="24"/>
        </w:rPr>
        <w:t xml:space="preserve">вводит необходимую информацию, включая количество приобретаемых активов и реквизиты. Также подтверждает сделку с использованием квалифицированной электронной подписи. Система проверяет валидность подписи и соответствие сертификата установленным требованиям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19"/>
        </w:numPr>
        <w:pBdr/>
        <w:spacing w:after="0" w:line="276" w:lineRule="auto"/>
        <w:ind w:hanging="709"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Клиентская часть отправляет подписанную заявку на серверную часть платформы ОЦА. Система фиксирует получение заявки и присваивает ей уникальный идентификатор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19"/>
        </w:numPr>
        <w:pBdr/>
        <w:spacing w:after="0" w:line="276" w:lineRule="auto"/>
        <w:ind w:hanging="709"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Система отображает статус заявки, находящейся на рассмотрении, в личном кабинете клиента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19"/>
        </w:numPr>
        <w:pBdr/>
        <w:spacing w:after="0" w:line="276" w:lineRule="auto"/>
        <w:ind w:hanging="709"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Сервер передает заявку вместе с результатами KYC-проверки оператору информационных систем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19"/>
        </w:numPr>
        <w:pBdr/>
        <w:spacing w:after="0" w:line="276" w:lineRule="auto"/>
        <w:ind w:hanging="709"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ОИС проводит верификацию инвестора и обработки заявки. Если заявка одобрена, выполняется резервирование запрашиваемых активов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19"/>
        </w:numPr>
        <w:pBdr/>
        <w:spacing w:after="0" w:line="276" w:lineRule="auto"/>
        <w:ind w:hanging="709"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Оператор цифровых активов получает подтверждение о возможности заключения сделки, либо отклонение заявки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19"/>
        </w:numPr>
        <w:pBdr/>
        <w:spacing w:after="0" w:line="276" w:lineRule="auto"/>
        <w:ind w:hanging="709"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зависимости от ответа оператора, обновляется статус заявки в личном кабинете инвестора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91"/>
        <w:pBdr/>
        <w:spacing w:after="200" w:afterAutospacing="0" w:before="200" w:beforeAutospacing="0" w:line="276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1.4.3.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Покупка ЦФА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/>
      <w:bookmarkStart w:id="65" w:name="_Toc216035842"/>
      <w:r/>
      <w:bookmarkStart w:id="66" w:name="_Toc216035898"/>
      <w:r/>
      <w:bookmarkStart w:id="67" w:name="_Toc216035954"/>
      <w:r>
        <w:rPr>
          <w:rFonts w:ascii="Times New Roman" w:hAnsi="Times New Roman" w:cs="Times New Roman"/>
          <w:sz w:val="24"/>
          <w:szCs w:val="24"/>
        </w:rPr>
        <w:t xml:space="preserve">Данный процесс является продолжением процесса «Инициация покупки ЦФА» и демонстрирует оплату активов и получение их инвестором. Он охватывает всех </w:t>
      </w:r>
      <w:r>
        <w:rPr>
          <w:rFonts w:ascii="Times New Roman" w:hAnsi="Times New Roman" w:cs="Times New Roman"/>
          <w:sz w:val="24"/>
          <w:szCs w:val="24"/>
        </w:rPr>
        <w:t xml:space="preserve">акторов</w:t>
      </w:r>
      <w:r>
        <w:rPr>
          <w:rFonts w:ascii="Times New Roman" w:hAnsi="Times New Roman" w:cs="Times New Roman"/>
          <w:sz w:val="24"/>
          <w:szCs w:val="24"/>
        </w:rPr>
        <w:t xml:space="preserve"> и описывает взаимодействие между ними. На момент первого действия подразумевается, что инвестор уже получил одобрение заявки на покупку активов (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REF _Ref214797774 \h </w:instrText>
      </w:r>
      <w:r>
        <w:rPr>
          <w:rFonts w:ascii="Times New Roman" w:hAnsi="Times New Roman" w:cs="Times New Roman"/>
          <w:sz w:val="24"/>
          <w:szCs w:val="24"/>
        </w:rPr>
        <w:instrText xml:space="preserve"> \* MERGEFORMAT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7).</w:t>
      </w:r>
      <w:bookmarkEnd w:id="65"/>
      <w:r/>
      <w:bookmarkEnd w:id="66"/>
      <w:r/>
      <w:bookmarkEnd w:id="67"/>
      <w:r/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/>
      <w:bookmarkStart w:id="68" w:name="_Toc216035843"/>
      <w:r/>
      <w:bookmarkStart w:id="69" w:name="_Toc216035899"/>
      <w:r/>
      <w:bookmarkStart w:id="70" w:name="_Toc216035955"/>
      <w:r>
        <w:rPr>
          <w:rFonts w:ascii="Times New Roman" w:hAnsi="Times New Roman" w:cs="Times New Roman"/>
          <w:sz w:val="24"/>
          <w:szCs w:val="2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7173595"/>
                <wp:effectExtent l="0" t="0" r="3810" b="8255"/>
                <wp:docPr id="7" name="Группа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939790" cy="7173595"/>
                          <a:chOff x="0" y="0"/>
                          <a:chExt cx="5939790" cy="7173919"/>
                        </a:xfrm>
                      </wpg:grpSpPr>
                      <pic:pic xmlns:pic="http://schemas.openxmlformats.org/drawingml/2006/picture">
                        <pic:nvPicPr>
                          <pic:cNvPr id="9" name="Рисунок 8"/>
                          <pic:cNvPicPr>
                            <a:picLocks noChangeAspect="1"/>
                          </pic:cNvPicPr>
                          <pic:nvPr/>
                        </pic:nvPicPr>
                        <pic:blipFill>
                          <a:blip r:embed="rId19"/>
                          <a:stretch/>
                        </pic:blipFill>
                        <pic:spPr bwMode="auto">
                          <a:xfrm>
                            <a:off x="0" y="3794449"/>
                            <a:ext cx="5939790" cy="33794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Рисунок 5"/>
                          <pic:cNvPicPr>
                            <a:picLocks noChangeAspect="1"/>
                          </pic:cNvPicPr>
                          <pic:nvPr/>
                        </pic:nvPicPr>
                        <pic:blipFill>
                          <a:blip r:embed="rId20"/>
                          <a:stretch/>
                        </pic:blipFill>
                        <pic:spPr bwMode="auto">
                          <a:xfrm>
                            <a:off x="0" y="0"/>
                            <a:ext cx="5939790" cy="38074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8" o:spid="_x0000_s0000" style="width:467.70pt;height:564.85pt;mso-wrap-distance-left:0.00pt;mso-wrap-distance-top:0.00pt;mso-wrap-distance-right:0.00pt;mso-wrap-distance-bottom:0.00pt;" coordorigin="0,0" coordsize="59397,7173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9" o:spid="_x0000_s9" type="#_x0000_t75" style="position:absolute;left:0;top:37944;width:59397;height:33794;z-index:1;" stroked="false">
                  <v:imagedata r:id="rId19" o:title=""/>
                  <o:lock v:ext="edit" rotation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" o:spid="_x0000_s10" type="#_x0000_t75" style="position:absolute;left:0;top:0;width:59397;height:38074;z-index:1;" stroked="false">
                  <v:imagedata r:id="rId20" o:title=""/>
                  <o:lock v:ext="edit" rotation="t"/>
                </v:shape>
              </v:group>
            </w:pict>
          </mc:Fallback>
        </mc:AlternateContent>
      </w:r>
      <w:bookmarkEnd w:id="68"/>
      <w:r/>
      <w:bookmarkEnd w:id="69"/>
      <w:r/>
      <w:bookmarkEnd w:id="70"/>
      <w:r/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/>
      <w:bookmarkStart w:id="71" w:name="_Ref214797774"/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 xml:space="preserve">7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bookmarkEnd w:id="71"/>
      <w:r>
        <w:rPr>
          <w:rFonts w:ascii="Times New Roman" w:hAnsi="Times New Roman" w:cs="Times New Roman"/>
          <w:sz w:val="24"/>
          <w:szCs w:val="24"/>
        </w:rPr>
        <w:t xml:space="preserve">. Процесс покупки цифровых активов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46"/>
        </w:numPr>
        <w:pBdr/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одобрения заявки инвестору становится доступна кнопка оплаты желаемых активов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46"/>
        </w:numPr>
        <w:pBdr/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Клиент нажимает на кнопку, запуская процесс оплаты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46"/>
        </w:numPr>
        <w:pBdr/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Получая от инвестора запрос на оплату, сервис ОЦА обращается к оператору информационных систем, выпустившему эти активы, для получения платежного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QR</w:t>
      </w:r>
      <w:r>
        <w:rPr>
          <w:rFonts w:ascii="Times New Roman" w:hAnsi="Times New Roman" w:cs="Times New Roman"/>
          <w:sz w:val="24"/>
          <w:szCs w:val="24"/>
        </w:rPr>
        <w:t xml:space="preserve">-кода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46"/>
        </w:numPr>
        <w:pBdr/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ОИС получает запрос на код и перенаправляет его в свой банк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46"/>
        </w:numPr>
        <w:pBdr/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Банк проверяет полученные данные () и передает их в ОПКЦ СБП для регистрации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QR</w:t>
      </w:r>
      <w:r>
        <w:rPr>
          <w:rFonts w:ascii="Times New Roman" w:hAnsi="Times New Roman" w:cs="Times New Roman"/>
          <w:sz w:val="24"/>
          <w:szCs w:val="24"/>
        </w:rPr>
        <w:t xml:space="preserve">-кода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ОПКЦ возвращает QR-код в </w:t>
      </w:r>
      <w:r>
        <w:rPr>
          <w:rFonts w:ascii="Times New Roman" w:hAnsi="Times New Roman" w:cs="Times New Roman"/>
          <w:sz w:val="24"/>
          <w:szCs w:val="24"/>
        </w:rPr>
        <w:t xml:space="preserve">payload</w:t>
      </w:r>
      <w:r>
        <w:rPr>
          <w:rFonts w:ascii="Times New Roman" w:hAnsi="Times New Roman" w:cs="Times New Roman"/>
          <w:sz w:val="24"/>
          <w:szCs w:val="24"/>
        </w:rPr>
        <w:t xml:space="preserve">-формате или в виде изображения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7-9.</w:t>
      </w:r>
      <w:r>
        <w:rPr>
          <w:rFonts w:ascii="Times New Roman" w:hAnsi="Times New Roman" w:cs="Times New Roman"/>
          <w:sz w:val="24"/>
          <w:szCs w:val="24"/>
        </w:rPr>
        <w:tab/>
        <w:t xml:space="preserve">QR-код последовательно передается от банка оператора самому ОИС, а затем оператору цифровых активов. Серверная часть обрабатывает входящее сообщение и направляет запрос отрисовки кода на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frontend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25"/>
        </w:numPr>
        <w:pBdr/>
        <w:spacing w:after="0" w:line="276" w:lineRule="auto"/>
        <w:ind w:hanging="709"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Веб-приложение оператора цифровых активов демонстрирует код инвестору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25"/>
        </w:numPr>
        <w:pBdr/>
        <w:spacing w:after="0" w:line="276" w:lineRule="auto"/>
        <w:ind w:hanging="709"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Инвестор заходит в банковское приложение и сканирует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QR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25"/>
        </w:numPr>
        <w:pBdr/>
        <w:spacing w:after="0" w:line="276" w:lineRule="auto"/>
        <w:ind w:hanging="709"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Банк инвестора расшифровывает</w:t>
      </w:r>
      <w:r>
        <w:rPr>
          <w:rFonts w:ascii="Times New Roman" w:hAnsi="Times New Roman" w:cs="Times New Roman"/>
          <w:sz w:val="24"/>
          <w:szCs w:val="24"/>
        </w:rPr>
        <w:t xml:space="preserve"> отсканированный код и выделяет из него идентификатор ссылки и её тип. Затем он обращается к ОПКЦ НСПК, чтобы запросить: идентификатор ОИС, идентификатор его банка, сумму и назначение платежа. Эти данные необходимы ему для формирования платежного поручения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25"/>
        </w:numPr>
        <w:pBdr/>
        <w:spacing w:after="0" w:line="276" w:lineRule="auto"/>
        <w:ind w:hanging="709"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ОПКЦ обрабатывает поступивший запрос по идентификатору ссылки и возвращает все необходимые реквизиты операции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25"/>
        </w:numPr>
        <w:pBdr/>
        <w:spacing w:after="0" w:line="276" w:lineRule="auto"/>
        <w:ind w:hanging="709"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Банк инвестора, получив все реквизиты, отображает их на экране и запрашивает у клиента подтверждение платежа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25"/>
        </w:numPr>
        <w:pBdr/>
        <w:spacing w:after="0" w:line="276" w:lineRule="auto"/>
        <w:ind w:hanging="709"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Инвестор нажимает кнопку подтверждения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25"/>
        </w:numPr>
        <w:pBdr/>
        <w:spacing w:after="0" w:line="276" w:lineRule="auto"/>
        <w:ind w:hanging="709"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Как только инвестор подтвердил оплату, банк инвестора отправляет сформированное платежное поручение в ОПКЦ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25"/>
        </w:numPr>
        <w:pBdr/>
        <w:spacing w:after="0" w:line="276" w:lineRule="auto"/>
        <w:ind w:hanging="709"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ОПКЦ СБП проверяет распоряжение на перевод и запрашивает у банка оператора информационных систем готовность принять входящий платеж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25"/>
        </w:numPr>
        <w:pBdr/>
        <w:spacing w:after="0" w:line="276" w:lineRule="auto"/>
        <w:ind w:hanging="709"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Банк ОИС проверяет реквизиты, указанные в распоряжении на перевод, и подтверждает транзакцию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25"/>
        </w:numPr>
        <w:pBdr/>
        <w:spacing w:after="0" w:line="276" w:lineRule="auto"/>
        <w:ind w:hanging="709"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получения положительного ответа от банка ОИС, расчетный центр СБП начинает сеттльмент – перевод суммы с корсчета инвестора на корсчет оператора информационных систем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25"/>
        </w:numPr>
        <w:pBdr/>
        <w:spacing w:after="0" w:line="276" w:lineRule="auto"/>
        <w:ind w:hanging="709"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окончании сеттльмента РЦ СБП уведомляет банки об успешной операции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25"/>
        </w:numPr>
        <w:pBdr/>
        <w:spacing w:after="0" w:line="276" w:lineRule="auto"/>
        <w:ind w:hanging="709"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Банки уменьшают и увеличивают балансы счетов инвестора и оператора соответственно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25"/>
        </w:numPr>
        <w:pBdr/>
        <w:spacing w:after="0" w:line="276" w:lineRule="auto"/>
        <w:ind w:hanging="709"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совершенных расчетов оператор информационных систем зачисляет ранее зарезервированные ЦФА на инвестиционный кошелек инвестора и формирует сообщение для ОЦА, содержащее: новый баланс активов инвестора и хэш транзакции зачисления ЦФА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25"/>
        </w:numPr>
        <w:pBdr/>
        <w:spacing w:after="0" w:line="276" w:lineRule="auto"/>
        <w:ind w:hanging="709"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ОИС отправляет сообщение с результатами выполнения операции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25"/>
        </w:numPr>
        <w:pBdr/>
        <w:spacing w:after="0" w:line="276" w:lineRule="auto"/>
        <w:ind w:hanging="709"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Получив сообщение, оператор цифровых активов записывает хэш в базу данных, обновляет историю операций инвестора и выполняет расчет инвестиционного портфеля, определяя, какую долю занимает определенный актив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25"/>
        </w:numPr>
        <w:pBdr/>
        <w:spacing w:after="0" w:line="276" w:lineRule="auto"/>
        <w:ind w:hanging="709"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личном кабинете инвестора отображаются обновленные сведения о его инвестиционном балансе, включая процент купленных ЦФА относительно общего объема портфеля, характеристики активов, долю в компании, количество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25"/>
        </w:numPr>
        <w:pBdr/>
        <w:spacing w:after="0" w:line="276" w:lineRule="auto"/>
        <w:ind w:hanging="709"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ОИС отправляет своему банку запрос на перевод суммы, равной стоимости приобретенных инвестором активов, эмитенту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25"/>
        </w:numPr>
        <w:pBdr/>
        <w:spacing w:after="0" w:line="276" w:lineRule="auto"/>
        <w:ind w:hanging="709"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Банк оператора осуществляет зачисление на счет эмитента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25"/>
        </w:numPr>
        <w:pBdr/>
        <w:spacing w:after="0" w:line="276" w:lineRule="auto"/>
        <w:ind w:hanging="709"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ОИС уведомляет эмитента об успешной сделке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91"/>
        <w:pBdr/>
        <w:spacing w:after="440" w:afterAutospacing="0" w:before="200" w:beforeAutospacing="0" w:line="276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1.4.5.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Перевод ЦФА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Этот процесс совершается, когда инвестор, являясь клиентом одного оператора и обладая выпущенными им активами, хочет перейти к сотрудниче</w:t>
      </w:r>
      <w:r>
        <w:rPr>
          <w:rFonts w:ascii="Times New Roman" w:hAnsi="Times New Roman" w:cs="Times New Roman"/>
          <w:sz w:val="24"/>
          <w:szCs w:val="24"/>
        </w:rPr>
        <w:t xml:space="preserve">ству с другим оператором, не теряя при этом имеющиеся ЦФА. На сегодняшний день такая операция невозможна из-за технологической разрозненности платформ ОИС и отсутствия прямых каналов коммуникации между ними. Данную проблему как раз и решает предлагаемый се</w:t>
      </w:r>
      <w:r>
        <w:rPr>
          <w:rFonts w:ascii="Times New Roman" w:hAnsi="Times New Roman" w:cs="Times New Roman"/>
          <w:sz w:val="24"/>
          <w:szCs w:val="24"/>
        </w:rPr>
        <w:t xml:space="preserve">рвис оператора цифровых активов: благодаря ему, инвестору необходимо только заполнить заявку на перевод ЦФА - остальные шаги процесса выполнятся «за кадром». При этом реализация этого процесса не нарушает существующую логику работы рынка цифровых активов (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REF _Ref214798990 \h  \* MERGEFORMAT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8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REF _Ref219039063 \h </w:instrText>
      </w:r>
      <w:r>
        <w:rPr>
          <w:rFonts w:ascii="Times New Roman" w:hAnsi="Times New Roman" w:cs="Times New Roman"/>
          <w:sz w:val="24"/>
          <w:szCs w:val="24"/>
        </w:rPr>
        <w:instrText xml:space="preserve"> \* MERGEFORMAT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 xml:space="preserve">9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).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6559550"/>
                <wp:effectExtent l="0" t="0" r="3810" b="0"/>
                <wp:docPr id="8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224086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39790" cy="6559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0pt;height:516.5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78"/>
        <w:pBdr/>
        <w:spacing w:after="0" w:line="276" w:lineRule="auto"/>
        <w:ind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/>
      <w:bookmarkStart w:id="72" w:name="_Ref214798990"/>
      <w:r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8</w: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bookmarkEnd w:id="72"/>
      <w:r>
        <w:rPr>
          <w:rFonts w:ascii="Times New Roman" w:hAnsi="Times New Roman" w:cs="Times New Roman"/>
          <w:color w:val="auto"/>
          <w:sz w:val="24"/>
          <w:szCs w:val="24"/>
        </w:rPr>
        <w:t xml:space="preserve">. Процесс перевода активов от одного оператора к другому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(часть 1)</w:t>
      </w:r>
      <w:r>
        <w:rPr>
          <w:rFonts w:ascii="Times New Roman" w:hAnsi="Times New Roman" w:cs="Times New Roman"/>
          <w:color w:val="auto"/>
          <w:sz w:val="24"/>
          <w:szCs w:val="24"/>
        </w:rPr>
      </w:r>
    </w:p>
    <w:p>
      <w:pPr>
        <w:keepNext w:val="true"/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286125"/>
                <wp:effectExtent l="0" t="0" r="3810" b="9525"/>
                <wp:docPr id="9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556731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39790" cy="3286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0pt;height:258.75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78"/>
        <w:pBdr/>
        <w:spacing w:after="0" w:line="276" w:lineRule="auto"/>
        <w:ind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/>
      <w:bookmarkStart w:id="73" w:name="_Ref219039063"/>
      <w:r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9</w: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bookmarkEnd w:id="73"/>
      <w:r>
        <w:rPr>
          <w:rFonts w:ascii="Times New Roman" w:hAnsi="Times New Roman" w:cs="Times New Roman"/>
          <w:color w:val="auto"/>
          <w:sz w:val="24"/>
          <w:szCs w:val="24"/>
        </w:rPr>
        <w:t xml:space="preserve">. Процесс перевода активов от одного оператора к другому (часть 2)</w:t>
      </w:r>
      <w:r>
        <w:rPr>
          <w:rFonts w:ascii="Times New Roman" w:hAnsi="Times New Roman" w:cs="Times New Roman"/>
          <w:color w:val="auto"/>
          <w:sz w:val="24"/>
          <w:szCs w:val="24"/>
        </w:rPr>
      </w:r>
    </w:p>
    <w:p>
      <w:pPr>
        <w:pStyle w:val="960"/>
        <w:numPr>
          <w:ilvl w:val="0"/>
          <w:numId w:val="20"/>
        </w:num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Инвестор проходит авторизацию в личном кабинете платформы. После успешного входа пользователь выбирает раздел управления цифровыми активами. В интерфейсе системы находится и активируется опция перевода ЦФА между различными платформами.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20"/>
        </w:num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Сервис ОЦА предоставляет инвестору форму заявки, в которой необходимо указать: исходную и целевую платформы, тип и количество передаваемых цифровых активов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20"/>
        </w:num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Пользователь заполняет заявку на осуществление перевода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20"/>
        </w:num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Клиентская часть приложения обрабатывает введенные пользователем данные и формирует запрос для передачи на сервер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20"/>
        </w:num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Система возвращает клиенту статус заявки, находящейся на рассмотрении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20"/>
        </w:num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Серверная часть ОЦА принимает поступивший запрос на обработку и идентифицирует пользователя и извлекает результаты ранее проведенной процедуры KYC из базы данных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20"/>
        </w:num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Сформи</w:t>
      </w:r>
      <w:r>
        <w:rPr>
          <w:rFonts w:ascii="Times New Roman" w:hAnsi="Times New Roman" w:cs="Times New Roman"/>
          <w:sz w:val="24"/>
          <w:szCs w:val="24"/>
        </w:rPr>
        <w:t xml:space="preserve">рованный пакет данных передается исходному оператору информационных систем (ОИС А). В передаваемой информации содержатся детали запроса, подтверждение и результаты прохождения проверок. После того, как ОИС А добрил запрос, он возвращает вердикт системе ОЦА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20"/>
        </w:num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Получив положительный ответ от исходного оператора, система направляет целевому оператору Б аналогичный запрос, дублирующий ранее отправленные ОИС А данные.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20"/>
        </w:num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Оператор Б выполняет собственную процедуру идентификации и верификации клиента, проверяет установленные лимиты и технические возможности платформы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20"/>
        </w:num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Оператор информационных систем возвращает ответ о том, готов ли он принять перевод активов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20"/>
        </w:num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ответ отрицательный, система ОЦА информирует инвестора об отклонении заявки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20"/>
        </w:num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Пользователь получает уведомление об отказе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20"/>
        </w:num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целевой оператор готов выпустить эквивалентные ЦФА и согласен на перевод, то сервису возвращается положительный вердикт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20"/>
        </w:num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Серверная часть передает сообщение о принятии заявки на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frontend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20"/>
        </w:num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Статус заявки меняется на «Одобрена»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20"/>
        </w:num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Оператор Б выполняет процедуру эмиссии эквивалентных активов, которые: имеют обеспечение заблокированными активами в ОИС </w:t>
      </w:r>
      <w:r>
        <w:rPr>
          <w:rFonts w:ascii="Times New Roman" w:hAnsi="Times New Roman" w:cs="Times New Roman"/>
          <w:sz w:val="24"/>
          <w:szCs w:val="24"/>
        </w:rPr>
        <w:t xml:space="preserve">А,  представляют</w:t>
      </w:r>
      <w:r>
        <w:rPr>
          <w:rFonts w:ascii="Times New Roman" w:hAnsi="Times New Roman" w:cs="Times New Roman"/>
          <w:sz w:val="24"/>
          <w:szCs w:val="24"/>
        </w:rPr>
        <w:t xml:space="preserve"> права на тот же выпуск эмитента, в своих метаданных содержат ссылку на исходный актив, полностью соответствуют исходным ЦФА по параметрам и стоимости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20"/>
        </w:num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успешного создания активов генерируется уникальный хэш выпуска, который фиксируется на платформе ОИС Б и передается оператору цифровых активов для регистрации. Система фиксирует факт успешного завершения эмиссионной процедуры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20"/>
        </w:num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Оператор цифровых активов получает и обрабатывает переданный хэш выпуска. Информация вносится в базу данных проводимых операций. Сервис уведомляет исходного оператора о выпуске целевой платформой активов и подтверждает её готовность к приему ЦФА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20"/>
        </w:num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Оператор А получает уведомление о готовности оператора Б. и инициирует процедуру списания - со счета инвестора </w:t>
      </w:r>
      <w:r>
        <w:rPr>
          <w:rFonts w:ascii="Times New Roman" w:hAnsi="Times New Roman" w:cs="Times New Roman"/>
          <w:sz w:val="24"/>
          <w:szCs w:val="24"/>
        </w:rPr>
        <w:t xml:space="preserve">снимается соответствующее количество передаваемых ЦФА и зачисляется на баланс эмитента. Однако эти ЦФА блокируются и становятся недоступными для проведения операций с ними. Факт передачи прав собственности фиксируется в распределенном реестре оператора А.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20"/>
        </w:num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Хэш проведенной транзакции передается оператору цифровых активов для учетных целей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20"/>
        </w:num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Оператор цифровых активов получает хэш операции списания от оператора А и записывает его в базу, после чего уведомляет оператора Б об обнулении баланса инвестора по переводимым ЦФА на исходной платформе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20"/>
        </w:num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Оператор Б зачисляет эквивалентные ЦФА на счет инвестора и регистрирует транзакцию в своем реестре, после чего возвращается хэш операции зачисления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20"/>
        </w:num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Оператор цифровых активов получает хэш операции зачисления от оператора Б и записывает его в базу данных платформы. На этом этапе формируется полный аудиторский след проведенной операции перевода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20"/>
        </w:num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Инвестор получает систе</w:t>
      </w:r>
      <w:r>
        <w:rPr>
          <w:rFonts w:ascii="Times New Roman" w:hAnsi="Times New Roman" w:cs="Times New Roman"/>
          <w:sz w:val="24"/>
          <w:szCs w:val="24"/>
        </w:rPr>
        <w:t xml:space="preserve">мное уведомление об успешном завершении перевода, а эмитент – о смене оператора, ответственного за сервисное обслуживание конкретного инвестора и его пакета активов. В личных кабинетах инвестора и эмитента отображается обновленный статус портфеля активов.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20"/>
        </w:num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ОЦА формирует платёжное поручение и направляет его ОИС А с требованием перевести стоимость переведенных активов на номинальный счёт ОИС Б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20"/>
        </w:num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ОИС А совершает банковский перевод на номинальный счёт ОИС Б в пользу эмитента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20"/>
        </w:num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/>
      <w:bookmarkStart w:id="74" w:name="_Hlk219039277"/>
      <w:r>
        <w:rPr>
          <w:rFonts w:ascii="Times New Roman" w:hAnsi="Times New Roman" w:cs="Times New Roman"/>
          <w:sz w:val="24"/>
          <w:szCs w:val="24"/>
        </w:rPr>
        <w:t xml:space="preserve">ОИС А отправляет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ОЦА подтверждение платежа</w:t>
      </w:r>
      <w:bookmarkEnd w:id="74"/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20"/>
        </w:num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Банковский перевод на номинальный счёт ОИС А в пользу того же эмитента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20"/>
        </w:num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ОИС А отправляет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ОЦА подтверждение перевода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20"/>
        </w:num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ОЦА обновляет запись в базе о том, что эмитент теперь является бенефициар двух номинальных счетов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20"/>
        </w:num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91"/>
        <w:pBdr/>
        <w:spacing w:after="440" w:afterAutospacing="0" w:beforeAutospacing="0" w:line="276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1.4.5.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Обмен активами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Этот процесс происходит, когда инвестор А хочет обменяться с инвестором Б активами одного типа. Обмен может происходить ка</w:t>
      </w:r>
      <w:r>
        <w:rPr>
          <w:rFonts w:ascii="Times New Roman" w:hAnsi="Times New Roman" w:cs="Times New Roman"/>
          <w:sz w:val="24"/>
          <w:szCs w:val="24"/>
        </w:rPr>
        <w:t xml:space="preserve">к в рамках экосистемы одного ОИС, так в межплатформенном формате. В текущей юридической практике обмен ЦФА между инвесторами-клиентами разных операторов возможен, но только при участии оператора обмена ЦФА, который агрегирует заявки и обеспечивает расчет [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REF _Ref216038424 \n \h  \* MERGEFORMAT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 xml:space="preserve">5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]. Пошаговая схема межплатформенного обмена с участием оператора цифровых активов представлена ниже (</w:t>
      </w:r>
      <w:r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REF _Ref214798945 \h  \* MERGEFORMAT </w:instrText>
      </w:r>
      <w:r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10</w:t>
      </w:r>
      <w:r>
        <w:rPr>
          <w:rFonts w:ascii="Times New Roman" w:hAnsi="Times New Roman" w:cs="Times New Roman"/>
          <w:sz w:val="24"/>
          <w:szCs w:val="24"/>
        </w:rPr>
        <w:t xml:space="preserve">).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/>
      <w:bookmarkStart w:id="75" w:name="_Toc216035844"/>
      <w:r/>
      <w:bookmarkStart w:id="76" w:name="_Toc216035900"/>
      <w:r/>
      <w:bookmarkStart w:id="77" w:name="_Toc216035956"/>
      <w:r>
        <w:rPr>
          <w:rFonts w:ascii="Times New Roman" w:hAnsi="Times New Roman" w:cs="Times New Roman"/>
          <w:sz w:val="24"/>
          <w:szCs w:val="2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7885" cy="7041515"/>
                <wp:effectExtent l="0" t="0" r="5715" b="6985"/>
                <wp:docPr id="10" name="Рисунок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37885" cy="704151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55pt;height:554.4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bookmarkEnd w:id="75"/>
      <w:r/>
      <w:bookmarkEnd w:id="76"/>
      <w:r/>
      <w:bookmarkEnd w:id="77"/>
      <w:r/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/>
      <w:bookmarkStart w:id="78" w:name="_Ref214798945"/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 xml:space="preserve">10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bookmarkEnd w:id="78"/>
      <w:r>
        <w:rPr>
          <w:rFonts w:ascii="Times New Roman" w:hAnsi="Times New Roman" w:cs="Times New Roman"/>
          <w:sz w:val="24"/>
          <w:szCs w:val="24"/>
        </w:rPr>
        <w:t xml:space="preserve">. Процесс межплатформенного обмена ЦФА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47"/>
        </w:numPr>
        <w:pBdr/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Авторизированный инвестор А входит в личный кабинет и выбирает опцию размещения своих ЦФА на вторичном рынке для последующего обмена. Система предоставляет ему специализированную форму для указания параметров предлагаемых к обмену активов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47"/>
        </w:numPr>
        <w:pBdr/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Интерфейс платформы отображает форму с полями для описания выставляемых на обмен ЦФА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47"/>
        </w:numPr>
        <w:pBdr/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Пользователь указывает тип актива, его количество и желаемые условия обмена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47"/>
        </w:numPr>
        <w:pBdr/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Серверная часть системы обрабатывает полученные данные формы и записывает в базу данных факт выставления активов на обмен в базе данных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47"/>
        </w:numPr>
        <w:pBdr/>
        <w:tabs>
          <w:tab w:val="left" w:leader="none" w:pos="709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Размещенное предложение об обмене становится доступным для просмотра всеми участниками платформы. Информация отображается в разделе "Вторичный рынок"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47"/>
        </w:numPr>
        <w:pBdr/>
        <w:tabs>
          <w:tab w:val="left" w:leader="none" w:pos="709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Инвестор Б просматривает раздел вторичного рынка и выбирает предложение от Инвестора А. После изучения условий обмена он нажимает кнопку "Обмен" для заключения сделки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47"/>
        </w:numPr>
        <w:pBdr/>
        <w:tabs>
          <w:tab w:val="left" w:leader="none" w:pos="709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Система отображает интерфейс для оформления заявки на обмен цифровыми активами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47"/>
        </w:numPr>
        <w:pBdr/>
        <w:tabs>
          <w:tab w:val="left" w:leader="none" w:pos="709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Инвестор Б заполняет необходимые поля в форме, указывая конкретные активы, которые готов предложить в рамках обмена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47"/>
        </w:numPr>
        <w:pBdr/>
        <w:tabs>
          <w:tab w:val="left" w:leader="none" w:pos="709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Клиентская часть системы передает данные заполненной заявки на серверную часть платформы для валидации и дальнейшей передачи полученных данных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47"/>
        </w:numPr>
        <w:pBdr/>
        <w:tabs>
          <w:tab w:val="left" w:leader="none" w:pos="709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</w:t>
      </w:r>
      <w:r>
        <w:rPr>
          <w:rFonts w:ascii="Times New Roman" w:hAnsi="Times New Roman" w:cs="Times New Roman"/>
          <w:sz w:val="24"/>
          <w:szCs w:val="24"/>
        </w:rPr>
        <w:t xml:space="preserve">рверная часть формирует комплексный запрос для ОИС А (оператора инвестора А). В запрос включаются результаты KYC-проверок обоих инвесторов, условия сделки и характеристики активов. Пакет данных передается для проведения необходимых верификационных процедур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47"/>
        </w:numPr>
        <w:pBdr/>
        <w:tabs>
          <w:tab w:val="left" w:leader="none" w:pos="709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Оператор информационных систем А обрабатывает поступивший запрос на проведение обмена. Выполняется идентификация обоих участников сделки, проверка их прав на активы, параметры ЦФА. Проводится анализ соответствия операции установленным правилам и лимитам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47"/>
        </w:numPr>
        <w:pBdr/>
        <w:tabs>
          <w:tab w:val="left" w:leader="none" w:pos="709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завершения проверок оператор А возвращает в систему свой вердикт по сделке. Решение содержит информацию о возможности / невозможности проведения обмена. В случае положительного решения указываются одобренные параметры операции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47"/>
        </w:numPr>
        <w:pBdr/>
        <w:tabs>
          <w:tab w:val="left" w:leader="none" w:pos="709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отрицательном решении оператора А платформа получает, обрабатывает ответ и передает его на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frontend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47"/>
        </w:numPr>
        <w:pBdr/>
        <w:tabs>
          <w:tab w:val="left" w:leader="none" w:pos="709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Инвестор Б получает уведомление об отклонении заявки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47"/>
        </w:numPr>
        <w:pBdr/>
        <w:tabs>
          <w:tab w:val="left" w:leader="none" w:pos="709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согласии ОИС А на обмен, он отправляет положительный вердикт системе ОЦА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47"/>
        </w:numPr>
        <w:pBdr/>
        <w:tabs>
          <w:tab w:val="left" w:leader="none" w:pos="709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Оператор цифровых активов обрабатывает ответ и формирует запрос на обмен для ОИС Б. Данный запрос идентичен запросу в пункте 10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47"/>
        </w:numPr>
        <w:pBdr/>
        <w:tabs>
          <w:tab w:val="left" w:leader="none" w:pos="709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Пункт 17-21 повторяют пункты 11-15. ОИС Б идентифицирует инвесторов, анализирует поступивший пакет данных и решает, готов ли он совершить обмен. Если ответ оператора отрицательный, платформа уведомляет инвестора Б о невозможности сделки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48"/>
        </w:numPr>
        <w:pBdr/>
        <w:tabs>
          <w:tab w:val="left" w:leader="none" w:pos="0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Система ОЦА сопоставляет полученные от обоих операторов данные и отправляет им сообщение о согласии и готовности каждого из них провести обмен активами между инвесторами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48"/>
        </w:numPr>
        <w:pBdr/>
        <w:tabs>
          <w:tab w:val="left" w:leader="none" w:pos="0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Оператор информационных систем Б выполняет списание ЦФА с баланса инвестора Б и зачисление этих акти</w:t>
      </w:r>
      <w:r>
        <w:rPr>
          <w:rFonts w:ascii="Times New Roman" w:hAnsi="Times New Roman" w:cs="Times New Roman"/>
          <w:sz w:val="24"/>
          <w:szCs w:val="24"/>
        </w:rPr>
        <w:t xml:space="preserve">вов на счет Инвестора А в своей системе. Параллельно ОИС А выполняет аналогичное действие: списывает ЦФА с баланса инвестора А и зачисление этих активов на счет инвестора Б в своей системе. При таких одновременных операциях соблюдается принцип атомарности </w:t>
      </w:r>
      <w:r>
        <w:rPr>
          <w:rFonts w:ascii="Times New Roman" w:hAnsi="Times New Roman" w:cs="Times New Roman"/>
          <w:sz w:val="24"/>
          <w:szCs w:val="24"/>
        </w:rPr>
        <w:t xml:space="preserve">взаимозачетных</w:t>
      </w:r>
      <w:r>
        <w:rPr>
          <w:rFonts w:ascii="Times New Roman" w:hAnsi="Times New Roman" w:cs="Times New Roman"/>
          <w:sz w:val="24"/>
          <w:szCs w:val="24"/>
        </w:rPr>
        <w:t xml:space="preserve"> операций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48"/>
        </w:numPr>
        <w:pBdr/>
        <w:tabs>
          <w:tab w:val="left" w:leader="none" w:pos="0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ОИС А, как и ОИС Б, фиксирует факт проведения транзакции в своем распределенном реестре. Оба оператора передают хэши операций оператору цифровых активов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48"/>
        </w:numPr>
        <w:pBdr/>
        <w:tabs>
          <w:tab w:val="left" w:leader="none" w:pos="0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Оператор цифровых активов получает хэши проведенных транзакций от обоих операторов. Вся информация о сделке записывается в базу данных платформы. Формируется полный аудиторский след успешной операции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numPr>
          <w:ilvl w:val="0"/>
          <w:numId w:val="48"/>
        </w:numPr>
        <w:pBdr/>
        <w:tabs>
          <w:tab w:val="left" w:leader="none" w:pos="0"/>
        </w:tabs>
        <w:spacing w:after="0" w:line="276" w:lineRule="auto"/>
        <w:ind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Платформа ОЦА уведомляет инвесторов об успешном обмене и обновляет информацию об инвестиционном кошельке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0"/>
        <w:pBdr/>
        <w:tabs>
          <w:tab w:val="left" w:leader="none" w:pos="709"/>
        </w:tabs>
        <w:spacing w:after="0" w:line="276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90"/>
        <w:pBdr/>
        <w:spacing w:after="440" w:afterAutospacing="0" w:beforeAutospacing="0" w:line="276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1.5.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Схема внутренней логики работы сервиса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/>
      <w:bookmarkStart w:id="79" w:name="_Toc216035901"/>
      <w:r/>
      <w:bookmarkStart w:id="80" w:name="_Toc216035957"/>
      <w:r>
        <w:rPr>
          <w:rFonts w:ascii="Times New Roman" w:hAnsi="Times New Roman" w:cs="Times New Roman"/>
          <w:sz w:val="24"/>
          <w:szCs w:val="24"/>
        </w:rPr>
        <w:t xml:space="preserve">Внутреннее устройство оператора цифровых активов представлено следующими модулями (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REF _Ref216020118 \h </w:instrText>
      </w:r>
      <w:r>
        <w:rPr>
          <w:rFonts w:ascii="Times New Roman" w:hAnsi="Times New Roman" w:cs="Times New Roman"/>
          <w:sz w:val="24"/>
          <w:szCs w:val="24"/>
        </w:rPr>
        <w:instrText xml:space="preserve"> \* MERGEFORMAT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 xml:space="preserve">Рисунок 10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):</w:t>
      </w:r>
      <w:bookmarkEnd w:id="79"/>
      <w:r/>
      <w:bookmarkEnd w:id="80"/>
      <w:r/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68982" cy="2073439"/>
                <wp:effectExtent l="0" t="0" r="0" b="3175"/>
                <wp:docPr id="11" name="Рисунок 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4686957" cy="20814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367.64pt;height:163.26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/>
      <w:bookmarkStart w:id="81" w:name="_Ref216020118"/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>
        <w:rPr>
          <w:rFonts w:ascii="Times New Roman" w:hAnsi="Times New Roman" w:cs="Times New Roman"/>
          <w:i/>
          <w:iCs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 xml:space="preserve">11</w:t>
      </w:r>
      <w:r>
        <w:rPr>
          <w:rFonts w:ascii="Times New Roman" w:hAnsi="Times New Roman" w:cs="Times New Roman"/>
          <w:i/>
          <w:iCs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. Архитектура сервиса</w:t>
      </w:r>
      <w:bookmarkEnd w:id="81"/>
      <w:r/>
      <w:r>
        <w:rPr>
          <w:rFonts w:ascii="Times New Roman" w:hAnsi="Times New Roman" w:cs="Times New Roman"/>
          <w:i/>
          <w:iCs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</w:t>
      </w:r>
      <w:bookmarkStart w:id="82" w:name="_Toc216035902"/>
      <w:r/>
      <w:bookmarkStart w:id="83" w:name="_Toc216035958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API</w:t>
      </w:r>
      <w:r>
        <w:rPr>
          <w:rFonts w:ascii="Times New Roman" w:hAnsi="Times New Roman" w:cs="Times New Roman"/>
          <w:sz w:val="24"/>
          <w:szCs w:val="24"/>
        </w:rPr>
        <w:t xml:space="preserve">-шлюз – является оркестратором входящих сообщений с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frontend</w:t>
      </w:r>
      <w:r>
        <w:rPr>
          <w:rFonts w:ascii="Times New Roman" w:hAnsi="Times New Roman" w:cs="Times New Roman"/>
          <w:sz w:val="24"/>
          <w:szCs w:val="24"/>
        </w:rPr>
        <w:t xml:space="preserve"> части, а также осуществляет коммуникацию с операторами информационных систем по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API</w:t>
      </w:r>
      <w:r>
        <w:rPr>
          <w:rFonts w:ascii="Times New Roman" w:hAnsi="Times New Roman" w:cs="Times New Roman"/>
          <w:sz w:val="24"/>
          <w:szCs w:val="24"/>
        </w:rPr>
        <w:t xml:space="preserve">. В зависимости от типа задачи, он вызывает определенный микросервис для дальнейшего её решения</w:t>
      </w:r>
      <w:bookmarkEnd w:id="82"/>
      <w:r/>
      <w:bookmarkEnd w:id="83"/>
      <w:r/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/>
      <w:bookmarkStart w:id="84" w:name="_Toc216035903"/>
      <w:r/>
      <w:bookmarkStart w:id="85" w:name="_Toc216035959"/>
      <w:r>
        <w:rPr>
          <w:rFonts w:ascii="Times New Roman" w:hAnsi="Times New Roman" w:cs="Times New Roman"/>
          <w:sz w:val="24"/>
          <w:szCs w:val="24"/>
        </w:rPr>
        <w:t xml:space="preserve">1а.</w:t>
      </w:r>
      <w:r>
        <w:rPr>
          <w:rFonts w:ascii="Times New Roman" w:hAnsi="Times New Roman" w:cs="Times New Roman"/>
          <w:sz w:val="24"/>
          <w:szCs w:val="24"/>
        </w:rPr>
        <w:tab/>
        <w:t xml:space="preserve">Для обработки сообщений, получаемые от ОИС по API, в платформу оператора цифровых активов встроен модуль входящих сообщений</w:t>
      </w:r>
      <w:bookmarkEnd w:id="84"/>
      <w:r/>
      <w:bookmarkEnd w:id="85"/>
      <w:r/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/>
      <w:bookmarkStart w:id="86" w:name="_Toc216035904"/>
      <w:r/>
      <w:bookmarkStart w:id="87" w:name="_Toc216035960"/>
      <w:r>
        <w:rPr>
          <w:rFonts w:ascii="Times New Roman" w:hAnsi="Times New Roman" w:cs="Times New Roman"/>
          <w:sz w:val="24"/>
          <w:szCs w:val="24"/>
        </w:rPr>
        <w:t xml:space="preserve">2.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Микросервис авторизации клиента отвечает за регистрацию клиента в системе, создание его единого для всех ОИС профиля на платформе, а также последующую аутентификацию</w:t>
      </w:r>
      <w:bookmarkEnd w:id="86"/>
      <w:r/>
      <w:bookmarkEnd w:id="87"/>
      <w:r/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/>
      <w:bookmarkStart w:id="88" w:name="_Toc216035905"/>
      <w:r/>
      <w:bookmarkStart w:id="89" w:name="_Toc216035961"/>
      <w:r>
        <w:rPr>
          <w:rFonts w:ascii="Times New Roman" w:hAnsi="Times New Roman" w:cs="Times New Roman"/>
          <w:sz w:val="24"/>
          <w:szCs w:val="24"/>
        </w:rPr>
        <w:t xml:space="preserve">3.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Модуль агрегации сведений о ЦФА работает аналогичным образом, что и предыдущий о</w:t>
      </w:r>
      <w:r>
        <w:rPr>
          <w:rFonts w:ascii="Times New Roman" w:hAnsi="Times New Roman" w:cs="Times New Roman"/>
          <w:sz w:val="24"/>
          <w:szCs w:val="24"/>
        </w:rPr>
        <w:t xml:space="preserve">писанный. Операторы информационных систем регулярно передают данные о выпущенных ими активах и любых изменениях их статуса. На основе такого своевременного сбора сведений, оператор цифровых активов формирует актуальную «витрину» всех доступных на рынке ЦФА</w:t>
      </w:r>
      <w:bookmarkEnd w:id="88"/>
      <w:r/>
      <w:bookmarkEnd w:id="89"/>
      <w:r/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/>
      <w:bookmarkStart w:id="90" w:name="_Toc216035906"/>
      <w:r/>
      <w:bookmarkStart w:id="91" w:name="_Toc216035962"/>
      <w:r>
        <w:rPr>
          <w:rFonts w:ascii="Times New Roman" w:hAnsi="Times New Roman" w:cs="Times New Roman"/>
          <w:sz w:val="24"/>
          <w:szCs w:val="24"/>
        </w:rPr>
        <w:t xml:space="preserve">4.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Модуль агрегации данных инвестора и эмитента принимает сведения о клиентах, отправляемые каждым оператором информационных систем, с которыми они </w:t>
      </w:r>
      <w:r>
        <w:rPr>
          <w:rFonts w:ascii="Times New Roman" w:hAnsi="Times New Roman" w:cs="Times New Roman"/>
          <w:sz w:val="24"/>
          <w:szCs w:val="24"/>
        </w:rPr>
        <w:t xml:space="preserve">сотрудничают. Пакет д</w:t>
      </w:r>
      <w:r>
        <w:rPr>
          <w:rFonts w:ascii="Times New Roman" w:hAnsi="Times New Roman" w:cs="Times New Roman"/>
          <w:sz w:val="24"/>
          <w:szCs w:val="24"/>
        </w:rPr>
        <w:t xml:space="preserve">анных включает в себя: баланс кошелька, куда зачислены ЦФА, стоимость приобретенных / выпущенных активов, их характеристики. После сбора информации ОЦА формирует единый показатель, отображающий совокупные баланс и сумму и видимый в личном кабинете клиента.</w:t>
      </w:r>
      <w:bookmarkEnd w:id="90"/>
      <w:r/>
      <w:bookmarkEnd w:id="91"/>
      <w:r/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/>
      <w:bookmarkStart w:id="92" w:name="_Toc216035907"/>
      <w:r/>
      <w:bookmarkStart w:id="93" w:name="_Toc216035963"/>
      <w:r>
        <w:rPr>
          <w:rFonts w:ascii="Times New Roman" w:hAnsi="Times New Roman" w:cs="Times New Roman"/>
          <w:sz w:val="24"/>
          <w:szCs w:val="24"/>
        </w:rPr>
        <w:t xml:space="preserve">5.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Модуль управления заявками обрабатывает входящие данных из заявок на покупку, продажу, обмен, перевод активов, принимает сообщения от ОИС по конкретной заявке</w:t>
      </w:r>
      <w:bookmarkEnd w:id="92"/>
      <w:r/>
      <w:bookmarkEnd w:id="93"/>
      <w:r/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/>
      <w:bookmarkStart w:id="94" w:name="_Toc216035908"/>
      <w:r/>
      <w:bookmarkStart w:id="95" w:name="_Toc216035964"/>
      <w:r>
        <w:rPr>
          <w:rFonts w:ascii="Times New Roman" w:hAnsi="Times New Roman" w:cs="Times New Roman"/>
          <w:sz w:val="24"/>
          <w:szCs w:val="24"/>
        </w:rPr>
        <w:t xml:space="preserve">6.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Модуль обработки и передачи персональных данных обеспечивает безопасную обработку и подтверждение данных документов клиента</w:t>
      </w:r>
      <w:bookmarkEnd w:id="94"/>
      <w:r/>
      <w:bookmarkEnd w:id="95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/>
      <w:bookmarkStart w:id="96" w:name="_Toc216035909"/>
      <w:r/>
      <w:bookmarkStart w:id="97" w:name="_Toc216035965"/>
      <w:r>
        <w:rPr>
          <w:rFonts w:ascii="Times New Roman" w:hAnsi="Times New Roman" w:cs="Times New Roman"/>
          <w:sz w:val="24"/>
          <w:szCs w:val="24"/>
        </w:rPr>
        <w:t xml:space="preserve">7.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Платежный сервис отвечает за инициацию оплаты, отправляет сообщение с запросом платежного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QR</w:t>
      </w:r>
      <w:r>
        <w:rPr>
          <w:rFonts w:ascii="Times New Roman" w:hAnsi="Times New Roman" w:cs="Times New Roman"/>
          <w:sz w:val="24"/>
          <w:szCs w:val="24"/>
        </w:rPr>
        <w:t xml:space="preserve">-кода и его отрисовку в пользовательском интерфейсе</w:t>
      </w:r>
      <w:bookmarkEnd w:id="96"/>
      <w:r/>
      <w:bookmarkEnd w:id="97"/>
      <w:r/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/>
      <w:bookmarkStart w:id="98" w:name="_Toc216035910"/>
      <w:r/>
      <w:bookmarkStart w:id="99" w:name="_Toc216035966"/>
      <w:r>
        <w:rPr>
          <w:rFonts w:ascii="Times New Roman" w:hAnsi="Times New Roman" w:cs="Times New Roman"/>
          <w:sz w:val="24"/>
          <w:szCs w:val="24"/>
        </w:rPr>
        <w:t xml:space="preserve">7а.</w:t>
      </w:r>
      <w:r>
        <w:rPr>
          <w:rFonts w:ascii="Times New Roman" w:hAnsi="Times New Roman" w:cs="Times New Roman"/>
          <w:sz w:val="24"/>
          <w:szCs w:val="24"/>
        </w:rPr>
        <w:tab/>
        <w:t xml:space="preserve">Модуль исходящих сообщений выполняют ответную коммуникацию между инвесторами и операторами информационных систем посредством прямого взаимодействия через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UI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API</w:t>
      </w:r>
      <w:r>
        <w:rPr>
          <w:rFonts w:ascii="Times New Roman" w:hAnsi="Times New Roman" w:cs="Times New Roman"/>
          <w:sz w:val="24"/>
          <w:szCs w:val="24"/>
        </w:rPr>
        <w:t xml:space="preserve">-каналов соответственно.</w:t>
      </w:r>
      <w:bookmarkEnd w:id="98"/>
      <w:r/>
      <w:bookmarkEnd w:id="99"/>
      <w:r/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75"/>
        <w:pBdr/>
        <w:spacing w:after="200"/>
        <w:ind w:hanging="357" w:left="714"/>
        <w:rPr/>
      </w:pPr>
      <w:r/>
      <w:bookmarkStart w:id="100" w:name="_Toc216035911"/>
      <w:r/>
      <w:bookmarkStart w:id="101" w:name="_Toc216035967"/>
      <w:r>
        <w:t xml:space="preserve">Рынок сервиса</w:t>
      </w:r>
      <w:bookmarkEnd w:id="100"/>
      <w:r/>
      <w:bookmarkEnd w:id="101"/>
      <w:r/>
      <w:r/>
    </w:p>
    <w:p>
      <w:pPr>
        <w:pStyle w:val="790"/>
        <w:pBdr/>
        <w:spacing w:after="440" w:afterAutospacing="0" w:beforeAutospacing="0" w:line="276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2.1.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Рынок Сервиса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/>
      <w:bookmarkStart w:id="102" w:name="_Toc216035912"/>
      <w:r/>
      <w:bookmarkStart w:id="103" w:name="_Toc216035968"/>
      <w:r>
        <w:rPr>
          <w:rFonts w:ascii="Times New Roman" w:hAnsi="Times New Roman" w:cs="Times New Roman"/>
          <w:sz w:val="24"/>
          <w:szCs w:val="24"/>
        </w:rPr>
        <w:t xml:space="preserve">Дальнейшие расчеты были произведены с опорой на таблицу показателей рынка ЦФА с 31.03.2025 по 30.06.2025</w:t>
      </w:r>
      <w:bookmarkEnd w:id="102"/>
      <w:r/>
      <w:bookmarkEnd w:id="103"/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REF _Ref219063293 \h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 xml:space="preserve">Таблиц</w:t>
      </w:r>
      <w:r>
        <w:rPr>
          <w:rFonts w:ascii="Times New Roman" w:hAnsi="Times New Roman" w:cs="Times New Roman"/>
          <w:sz w:val="24"/>
          <w:szCs w:val="24"/>
        </w:rPr>
        <w:t xml:space="preserve">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2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)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978"/>
        <w:keepNext w:val="true"/>
        <w:pBdr/>
        <w:spacing/>
        <w:ind/>
        <w:rPr>
          <w:rFonts w:ascii="Times New Roman" w:hAnsi="Times New Roman" w:cs="Times New Roman"/>
          <w:sz w:val="24"/>
          <w:szCs w:val="24"/>
        </w:rPr>
      </w:pPr>
      <w:r/>
      <w:bookmarkStart w:id="104" w:name="_Ref219063293"/>
      <w:r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2</w: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. Показатели рынка ЦФА</w:t>
      </w:r>
      <w:bookmarkEnd w:id="104"/>
      <w:r/>
      <w:r>
        <w:rPr>
          <w:rFonts w:ascii="Times New Roman" w:hAnsi="Times New Roman" w:cs="Times New Roman"/>
          <w:sz w:val="24"/>
          <w:szCs w:val="24"/>
        </w:rPr>
      </w:r>
    </w:p>
    <w:tbl>
      <w:tblPr>
        <w:tblW w:w="9584" w:type="dxa"/>
        <w:tblBorders/>
        <w:tblLook w:val="04A0" w:firstRow="1" w:lastRow="0" w:firstColumn="1" w:lastColumn="0" w:noHBand="0" w:noVBand="1"/>
      </w:tblPr>
      <w:tblGrid>
        <w:gridCol w:w="3263"/>
        <w:gridCol w:w="1292"/>
        <w:gridCol w:w="1296"/>
        <w:gridCol w:w="1296"/>
        <w:gridCol w:w="1296"/>
        <w:gridCol w:w="1141"/>
      </w:tblGrid>
      <w:tr>
        <w:trPr>
          <w:trHeight w:val="945"/>
        </w:trPr>
        <w:tc>
          <w:tcPr>
            <w:shd w:val="clear" w:color="000000" w:fill="bdd7e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63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  <w:t xml:space="preserve">Наименование показателя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r>
          </w:p>
        </w:tc>
        <w:tc>
          <w:tcPr>
            <w:shd w:val="clear" w:color="000000" w:fill="bdd7ee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92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  <w:t xml:space="preserve">Единица измерения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r>
          </w:p>
        </w:tc>
        <w:tc>
          <w:tcPr>
            <w:shd w:val="clear" w:color="000000" w:fill="bdd7ee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  <w:t xml:space="preserve">31.03.2025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r>
          </w:p>
        </w:tc>
        <w:tc>
          <w:tcPr>
            <w:shd w:val="clear" w:color="000000" w:fill="bdd7ee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  <w:t xml:space="preserve">30.06.2025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r>
          </w:p>
        </w:tc>
        <w:tc>
          <w:tcPr>
            <w:shd w:val="clear" w:color="000000" w:fill="bdd7ee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96" w:type="dxa"/>
            <w:vAlign w:val="center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30.09.2025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000000" w:fill="bdd7ee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41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Средние значения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630"/>
        </w:trPr>
        <w:tc>
          <w:tcPr>
            <w:shd w:val="clear" w:color="000000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63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 xml:space="preserve">Количество действующих выпусков (ЦФА и цифровых прав) на конец квартала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r>
          </w:p>
        </w:tc>
        <w:tc>
          <w:tcPr>
            <w:shd w:val="clear" w:color="000000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92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 xml:space="preserve">шт.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r>
          </w:p>
        </w:tc>
        <w:tc>
          <w:tcPr>
            <w:shd w:val="clear" w:color="000000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 xml:space="preserve">1011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r>
          </w:p>
        </w:tc>
        <w:tc>
          <w:tcPr>
            <w:shd w:val="clear" w:color="000000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 xml:space="preserve">1123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96" w:type="dxa"/>
            <w:vAlign w:val="center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 xml:space="preserve">1285</w:t>
            </w:r>
            <w:r>
              <w:rPr>
                <w:rFonts w:ascii="Times New Roman" w:hAnsi="Times New Roman" w:eastAsia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41" w:type="dxa"/>
            <w:vAlign w:val="center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630"/>
        </w:trPr>
        <w:tc>
          <w:tcPr>
            <w:shd w:val="clear" w:color="000000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63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 xml:space="preserve">Стоимость действующих выпусков на конец квартала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r>
          </w:p>
        </w:tc>
        <w:tc>
          <w:tcPr>
            <w:shd w:val="clear" w:color="000000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92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 xml:space="preserve">млн руб.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r>
          </w:p>
        </w:tc>
        <w:tc>
          <w:tcPr>
            <w:shd w:val="clear" w:color="000000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 xml:space="preserve">303434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r>
          </w:p>
        </w:tc>
        <w:tc>
          <w:tcPr>
            <w:shd w:val="clear" w:color="000000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 xml:space="preserve">514134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96" w:type="dxa"/>
            <w:vAlign w:val="center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 xml:space="preserve">623336</w:t>
            </w:r>
            <w:r>
              <w:rPr>
                <w:rFonts w:ascii="Times New Roman" w:hAnsi="Times New Roman" w:eastAsia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41" w:type="dxa"/>
            <w:vAlign w:val="center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000000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63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 xml:space="preserve">Стоимость договоров за квартал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r>
          </w:p>
        </w:tc>
        <w:tc>
          <w:tcPr>
            <w:shd w:val="clear" w:color="000000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92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 xml:space="preserve">млн руб.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r>
          </w:p>
        </w:tc>
        <w:tc>
          <w:tcPr>
            <w:shd w:val="clear" w:color="000000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 xml:space="preserve">173483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r>
          </w:p>
        </w:tc>
        <w:tc>
          <w:tcPr>
            <w:shd w:val="clear" w:color="000000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 xml:space="preserve">401702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96" w:type="dxa"/>
            <w:vAlign w:val="center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 xml:space="preserve">556834</w:t>
            </w:r>
            <w:r>
              <w:rPr>
                <w:rFonts w:ascii="Times New Roman" w:hAnsi="Times New Roman" w:eastAsia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41" w:type="dxa"/>
            <w:vAlign w:val="center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000000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63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  <w:t xml:space="preserve">в т.ч. первичное размещение при эмиссии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r>
          </w:p>
        </w:tc>
        <w:tc>
          <w:tcPr>
            <w:shd w:val="clear" w:color="000000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92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  <w:t xml:space="preserve">млн руб.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r>
          </w:p>
        </w:tc>
        <w:tc>
          <w:tcPr>
            <w:shd w:val="clear" w:color="000000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  <w:t xml:space="preserve">142725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r>
          </w:p>
        </w:tc>
        <w:tc>
          <w:tcPr>
            <w:shd w:val="clear" w:color="000000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  <w:t xml:space="preserve">344575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96" w:type="dxa"/>
            <w:vAlign w:val="center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lang w:eastAsia="ru-RU"/>
              </w:rPr>
              <w:t xml:space="preserve">484059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41" w:type="dxa"/>
            <w:vAlign w:val="center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000000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63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  <w:t xml:space="preserve">в т.ч. продажа актива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r>
          </w:p>
        </w:tc>
        <w:tc>
          <w:tcPr>
            <w:shd w:val="clear" w:color="000000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92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  <w:t xml:space="preserve">млн руб.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r>
          </w:p>
        </w:tc>
        <w:tc>
          <w:tcPr>
            <w:shd w:val="clear" w:color="000000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  <w:t xml:space="preserve">30758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r>
          </w:p>
        </w:tc>
        <w:tc>
          <w:tcPr>
            <w:shd w:val="clear" w:color="000000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  <w:t xml:space="preserve">57127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96" w:type="dxa"/>
            <w:vAlign w:val="center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lang w:eastAsia="ru-RU"/>
              </w:rPr>
              <w:t xml:space="preserve">72770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41" w:type="dxa"/>
            <w:vAlign w:val="center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492"/>
        </w:trPr>
        <w:tc>
          <w:tcPr>
            <w:shd w:val="clear" w:color="000000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63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 xml:space="preserve">Зарегистрированные пользователи на конец квартала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r>
          </w:p>
        </w:tc>
        <w:tc>
          <w:tcPr>
            <w:shd w:val="clear" w:color="000000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92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 xml:space="preserve">лиц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r>
          </w:p>
        </w:tc>
        <w:tc>
          <w:tcPr>
            <w:shd w:val="clear" w:color="000000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 xml:space="preserve">334701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r>
          </w:p>
        </w:tc>
        <w:tc>
          <w:tcPr>
            <w:shd w:val="clear" w:color="000000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 xml:space="preserve">417095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96" w:type="dxa"/>
            <w:vAlign w:val="center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 xml:space="preserve">546118</w:t>
            </w:r>
            <w:r>
              <w:rPr>
                <w:rFonts w:ascii="Times New Roman" w:hAnsi="Times New Roman" w:eastAsia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41" w:type="dxa"/>
            <w:vAlign w:val="center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000000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63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  <w:t xml:space="preserve">из них физлица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r>
          </w:p>
        </w:tc>
        <w:tc>
          <w:tcPr>
            <w:shd w:val="clear" w:color="000000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92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  <w:t xml:space="preserve">лиц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r>
          </w:p>
        </w:tc>
        <w:tc>
          <w:tcPr>
            <w:shd w:val="clear" w:color="000000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  <w:t xml:space="preserve">333943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r>
          </w:p>
        </w:tc>
        <w:tc>
          <w:tcPr>
            <w:shd w:val="clear" w:color="000000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  <w:t xml:space="preserve">416192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96" w:type="dxa"/>
            <w:vAlign w:val="center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lang w:eastAsia="ru-RU"/>
              </w:rPr>
              <w:t xml:space="preserve">1129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41" w:type="dxa"/>
            <w:vAlign w:val="center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000000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63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  <w:t xml:space="preserve">из них юрлица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r>
          </w:p>
        </w:tc>
        <w:tc>
          <w:tcPr>
            <w:shd w:val="clear" w:color="000000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92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  <w:t xml:space="preserve">лиц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r>
          </w:p>
        </w:tc>
        <w:tc>
          <w:tcPr>
            <w:shd w:val="clear" w:color="000000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  <w:t xml:space="preserve">758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r>
          </w:p>
        </w:tc>
        <w:tc>
          <w:tcPr>
            <w:shd w:val="clear" w:color="000000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  <w:t xml:space="preserve">903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96" w:type="dxa"/>
            <w:vAlign w:val="center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lang w:eastAsia="ru-RU"/>
              </w:rPr>
              <w:t xml:space="preserve">544989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41" w:type="dxa"/>
            <w:vAlign w:val="center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000000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63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 xml:space="preserve">Активные пользователи на конец квартала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r>
          </w:p>
        </w:tc>
        <w:tc>
          <w:tcPr>
            <w:shd w:val="clear" w:color="000000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92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 xml:space="preserve">лиц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r>
          </w:p>
        </w:tc>
        <w:tc>
          <w:tcPr>
            <w:shd w:val="clear" w:color="000000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 xml:space="preserve">56459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r>
          </w:p>
        </w:tc>
        <w:tc>
          <w:tcPr>
            <w:shd w:val="clear" w:color="000000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 xml:space="preserve">97096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96" w:type="dxa"/>
            <w:vAlign w:val="center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 xml:space="preserve">62093</w:t>
            </w:r>
            <w:r>
              <w:rPr>
                <w:rFonts w:ascii="Times New Roman" w:hAnsi="Times New Roman" w:eastAsia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41" w:type="dxa"/>
            <w:vAlign w:val="center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71883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000000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63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  <w:t xml:space="preserve">из них физлица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r>
          </w:p>
        </w:tc>
        <w:tc>
          <w:tcPr>
            <w:shd w:val="clear" w:color="000000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92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  <w:t xml:space="preserve">лиц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r>
          </w:p>
        </w:tc>
        <w:tc>
          <w:tcPr>
            <w:shd w:val="clear" w:color="000000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  <w:t xml:space="preserve">56348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r>
          </w:p>
        </w:tc>
        <w:tc>
          <w:tcPr>
            <w:shd w:val="clear" w:color="000000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  <w:t xml:space="preserve">96943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96" w:type="dxa"/>
            <w:vAlign w:val="center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lang w:eastAsia="ru-RU"/>
              </w:rPr>
              <w:t xml:space="preserve">61918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41" w:type="dxa"/>
            <w:vAlign w:val="center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71736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000000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63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  <w:t xml:space="preserve">из них юрлица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r>
          </w:p>
        </w:tc>
        <w:tc>
          <w:tcPr>
            <w:shd w:val="clear" w:color="000000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92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  <w:t xml:space="preserve">лиц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r>
          </w:p>
        </w:tc>
        <w:tc>
          <w:tcPr>
            <w:shd w:val="clear" w:color="000000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  <w:t xml:space="preserve">111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r>
          </w:p>
        </w:tc>
        <w:tc>
          <w:tcPr>
            <w:shd w:val="clear" w:color="000000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  <w:t xml:space="preserve">153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96" w:type="dxa"/>
            <w:vAlign w:val="center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175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41" w:type="dxa"/>
            <w:vAlign w:val="center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146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630"/>
        </w:trPr>
        <w:tc>
          <w:tcPr>
            <w:shd w:val="clear" w:color="000000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63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 xml:space="preserve">Обладатели ЦФА и цифровых прав на конец квартала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r>
          </w:p>
        </w:tc>
        <w:tc>
          <w:tcPr>
            <w:shd w:val="clear" w:color="000000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92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 xml:space="preserve">лиц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r>
          </w:p>
        </w:tc>
        <w:tc>
          <w:tcPr>
            <w:shd w:val="clear" w:color="000000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 xml:space="preserve">114545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r>
          </w:p>
        </w:tc>
        <w:tc>
          <w:tcPr>
            <w:shd w:val="clear" w:color="000000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 xml:space="preserve">137360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96" w:type="dxa"/>
            <w:vAlign w:val="center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 xml:space="preserve">158135</w:t>
            </w:r>
            <w:r>
              <w:rPr>
                <w:rFonts w:ascii="Times New Roman" w:hAnsi="Times New Roman" w:eastAsia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41" w:type="dxa"/>
            <w:vAlign w:val="center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136680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000000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63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  <w:t xml:space="preserve">из них физлица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r>
          </w:p>
        </w:tc>
        <w:tc>
          <w:tcPr>
            <w:shd w:val="clear" w:color="000000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92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  <w:t xml:space="preserve">лиц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r>
          </w:p>
        </w:tc>
        <w:tc>
          <w:tcPr>
            <w:shd w:val="clear" w:color="000000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  <w:t xml:space="preserve">114365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r>
          </w:p>
        </w:tc>
        <w:tc>
          <w:tcPr>
            <w:shd w:val="clear" w:color="000000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  <w:t xml:space="preserve">137146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96" w:type="dxa"/>
            <w:vAlign w:val="center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lang w:eastAsia="ru-RU"/>
              </w:rPr>
              <w:t xml:space="preserve">252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41" w:type="dxa"/>
            <w:vAlign w:val="center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83921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000000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63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  <w:t xml:space="preserve">из них юрлица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r>
          </w:p>
        </w:tc>
        <w:tc>
          <w:tcPr>
            <w:shd w:val="clear" w:color="000000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92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  <w:t xml:space="preserve">лиц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r>
          </w:p>
        </w:tc>
        <w:tc>
          <w:tcPr>
            <w:shd w:val="clear" w:color="000000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  <w:t xml:space="preserve">180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r>
          </w:p>
        </w:tc>
        <w:tc>
          <w:tcPr>
            <w:shd w:val="clear" w:color="000000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96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  <w:t xml:space="preserve">214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96" w:type="dxa"/>
            <w:vAlign w:val="center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lang w:eastAsia="ru-RU"/>
              </w:rPr>
              <w:t xml:space="preserve">157883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41" w:type="dxa"/>
            <w:vAlign w:val="center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52759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</w:tbl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88"/>
        <w:numPr>
          <w:ilvl w:val="1"/>
          <w:numId w:val="4"/>
        </w:numPr>
        <w:pBdr/>
        <w:spacing w:after="0"/>
        <w:ind/>
        <w:rPr>
          <w:sz w:val="24"/>
          <w:szCs w:val="24"/>
        </w:rPr>
      </w:pPr>
      <w:r>
        <w:rPr>
          <w:sz w:val="24"/>
          <w:szCs w:val="24"/>
        </w:rPr>
        <w:t xml:space="preserve">Прогноз объема рынка</w:t>
      </w:r>
      <w:r>
        <w:rPr>
          <w:sz w:val="24"/>
          <w:szCs w:val="24"/>
        </w:rPr>
      </w:r>
    </w:p>
    <w:p>
      <w:pPr>
        <w:pStyle w:val="988"/>
        <w:numPr>
          <w:ilvl w:val="0"/>
          <w:numId w:val="0"/>
        </w:numPr>
        <w:pBdr/>
        <w:spacing w:after="0"/>
        <w:ind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ab/>
        <w:t xml:space="preserve">Для прогноза объема рынка цифровых финансовых активов была выбрана модель </w:t>
      </w:r>
      <w:r>
        <w:rPr>
          <w:b w:val="0"/>
          <w:bCs w:val="0"/>
          <w:sz w:val="24"/>
          <w:szCs w:val="24"/>
          <w:lang w:val="en-US"/>
        </w:rPr>
        <w:t xml:space="preserve">SAM</w:t>
      </w:r>
      <w:r>
        <w:rPr>
          <w:b w:val="0"/>
          <w:bCs w:val="0"/>
          <w:sz w:val="24"/>
          <w:szCs w:val="24"/>
        </w:rPr>
        <w:t xml:space="preserve">. Это оптимальная метрика для ваш</w:t>
      </w:r>
      <w:r>
        <w:rPr>
          <w:b w:val="0"/>
          <w:bCs w:val="0"/>
          <w:sz w:val="24"/>
          <w:szCs w:val="24"/>
        </w:rPr>
        <w:t xml:space="preserve">его сервиса, поскольку она фокусируется на реалистичном, а не теоретическом потенциале. Она учитывает конкретные ограничения решения, позволяет строить реалистичные бизнес-планы и позволяет отслеживать прогресс. Данный показатель был рассчитан по формуле: </w:t>
      </w:r>
      <w:r>
        <w:rPr>
          <w:b w:val="0"/>
          <w:bCs w:val="0"/>
          <w:sz w:val="24"/>
          <w:szCs w:val="24"/>
          <w:lang w:val="en-US"/>
        </w:rPr>
        <w:t xml:space="preserve">TAM</w:t>
      </w:r>
      <w:r>
        <w:rPr>
          <w:b w:val="0"/>
          <w:bCs w:val="0"/>
          <w:sz w:val="24"/>
          <w:szCs w:val="24"/>
        </w:rPr>
        <w:t xml:space="preserve"> * доля подходящего сегмента рынка </w:t>
      </w:r>
      <w:r>
        <w:rPr>
          <w:b w:val="0"/>
          <w:bCs w:val="0"/>
          <w:color w:val="000000" w:themeColor="text1"/>
          <w:sz w:val="24"/>
          <w:szCs w:val="24"/>
        </w:rPr>
        <w:t xml:space="preserve">/ количество участников рынка (предлагаемый сервис + конкуренты). </w:t>
      </w:r>
      <w:r>
        <w:rPr>
          <w:b w:val="0"/>
          <w:bCs w:val="0"/>
          <w:sz w:val="24"/>
          <w:szCs w:val="24"/>
        </w:rPr>
        <w:t xml:space="preserve">По </w:t>
      </w:r>
      <w:r>
        <w:rPr>
          <w:b w:val="0"/>
          <w:bCs w:val="0"/>
          <w:sz w:val="24"/>
          <w:szCs w:val="24"/>
        </w:rPr>
        <w:t xml:space="preserve">данным Сбербанка, совокупный объем рынка ЦФА составил 718 млрд по итогам восьми месяцев 2025 года [</w:t>
      </w:r>
      <w:r>
        <w:rPr>
          <w:sz w:val="24"/>
          <w:szCs w:val="24"/>
        </w:rPr>
        <w:fldChar w:fldCharType="begin"/>
      </w:r>
      <w:r>
        <w:rPr>
          <w:b w:val="0"/>
          <w:bCs w:val="0"/>
          <w:sz w:val="24"/>
          <w:szCs w:val="24"/>
        </w:rPr>
        <w:instrText xml:space="preserve"> REF _Ref216038465 \n \h </w:instrText>
      </w:r>
      <w:r>
        <w:rPr>
          <w:sz w:val="24"/>
          <w:szCs w:val="24"/>
        </w:rPr>
        <w:instrText xml:space="preserve"> \* MERGEFORMAT </w:instrText>
      </w:r>
      <w:r>
        <w:rPr>
          <w:sz w:val="24"/>
          <w:szCs w:val="24"/>
        </w:rPr>
        <w:fldChar w:fldCharType="separate"/>
      </w:r>
      <w:r>
        <w:rPr>
          <w:b w:val="0"/>
          <w:bCs w:val="0"/>
          <w:sz w:val="24"/>
          <w:szCs w:val="24"/>
        </w:rPr>
        <w:t xml:space="preserve">6</w:t>
      </w:r>
      <w:r>
        <w:rPr>
          <w:sz w:val="24"/>
          <w:szCs w:val="24"/>
        </w:rPr>
        <w:fldChar w:fldCharType="end"/>
      </w:r>
      <w:r>
        <w:rPr>
          <w:b w:val="0"/>
          <w:bCs w:val="0"/>
          <w:sz w:val="24"/>
          <w:szCs w:val="24"/>
        </w:rPr>
        <w:t xml:space="preserve">]. Исходя из данных, представленных Банком России, [</w:t>
      </w:r>
      <w:r>
        <w:rPr>
          <w:sz w:val="24"/>
          <w:szCs w:val="24"/>
        </w:rPr>
        <w:fldChar w:fldCharType="begin"/>
      </w:r>
      <w:r>
        <w:rPr>
          <w:b w:val="0"/>
          <w:bCs w:val="0"/>
          <w:sz w:val="24"/>
          <w:szCs w:val="24"/>
        </w:rPr>
        <w:instrText xml:space="preserve"> REF _Ref216038494 \n \h </w:instrText>
      </w:r>
      <w:r>
        <w:rPr>
          <w:sz w:val="24"/>
          <w:szCs w:val="24"/>
        </w:rPr>
        <w:instrText xml:space="preserve"> \* MERGEFORMAT </w:instrText>
      </w:r>
      <w:r>
        <w:rPr>
          <w:sz w:val="24"/>
          <w:szCs w:val="24"/>
        </w:rPr>
        <w:fldChar w:fldCharType="separate"/>
      </w:r>
      <w:r>
        <w:rPr>
          <w:b w:val="0"/>
          <w:bCs w:val="0"/>
          <w:sz w:val="24"/>
          <w:szCs w:val="24"/>
        </w:rPr>
        <w:t xml:space="preserve">7</w:t>
      </w:r>
      <w:r>
        <w:rPr>
          <w:sz w:val="24"/>
          <w:szCs w:val="24"/>
        </w:rPr>
        <w:fldChar w:fldCharType="end"/>
      </w:r>
      <w:r>
        <w:rPr>
          <w:b w:val="0"/>
          <w:bCs w:val="0"/>
          <w:sz w:val="24"/>
          <w:szCs w:val="24"/>
        </w:rPr>
        <w:t xml:space="preserve">] можно сделать вывод, что целевой аудиторией являются активные инвесторы в ЦФА. По данным, предоставленным за период с 31.03.2025 по 30.06.2025, можно найти усредненное количество активных инвесторов: 71 883 (16,6%). Тогда: </w:t>
      </w:r>
      <w:r>
        <w:rPr>
          <w:b w:val="0"/>
          <w:bCs w:val="0"/>
          <w:sz w:val="24"/>
          <w:szCs w:val="24"/>
          <w:lang w:val="en-US"/>
        </w:rPr>
        <w:t xml:space="preserve">SAM</w:t>
      </w:r>
      <w:r>
        <w:rPr>
          <w:b w:val="0"/>
          <w:bCs w:val="0"/>
          <w:sz w:val="24"/>
          <w:szCs w:val="24"/>
        </w:rPr>
        <w:t xml:space="preserve"> = 718 млрд * 0,</w:t>
      </w:r>
      <w:r>
        <w:rPr>
          <w:b w:val="0"/>
          <w:bCs w:val="0"/>
          <w:sz w:val="24"/>
          <w:szCs w:val="24"/>
          <w:lang w:val="en-US"/>
        </w:rPr>
        <w:t xml:space="preserve">166</w:t>
      </w:r>
      <w:r>
        <w:rPr>
          <w:b w:val="0"/>
          <w:bCs w:val="0"/>
          <w:sz w:val="24"/>
          <w:szCs w:val="24"/>
        </w:rPr>
        <w:t xml:space="preserve">/ 2 = </w:t>
      </w:r>
      <w:r>
        <w:rPr>
          <w:b w:val="0"/>
          <w:bCs w:val="0"/>
          <w:sz w:val="24"/>
          <w:szCs w:val="24"/>
          <w:lang w:val="en-US"/>
        </w:rPr>
        <w:t xml:space="preserve">59,6</w:t>
      </w:r>
      <w:r>
        <w:rPr>
          <w:b w:val="0"/>
          <w:bCs w:val="0"/>
          <w:sz w:val="24"/>
          <w:szCs w:val="24"/>
        </w:rPr>
        <w:t xml:space="preserve"> млрд. руб.</w:t>
      </w:r>
      <w:r>
        <w:rPr>
          <w:b w:val="0"/>
          <w:bCs w:val="0"/>
          <w:sz w:val="24"/>
          <w:szCs w:val="24"/>
        </w:rPr>
      </w:r>
    </w:p>
    <w:p>
      <w:pPr>
        <w:pStyle w:val="988"/>
        <w:numPr>
          <w:ilvl w:val="0"/>
          <w:numId w:val="0"/>
        </w:numPr>
        <w:pBdr/>
        <w:spacing w:after="0"/>
        <w:ind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Style w:val="988"/>
        <w:numPr>
          <w:ilvl w:val="1"/>
          <w:numId w:val="4"/>
        </w:numPr>
        <w:pBdr/>
        <w:spacing w:after="0"/>
        <w:ind/>
        <w:rPr>
          <w:sz w:val="24"/>
          <w:szCs w:val="24"/>
        </w:rPr>
      </w:pPr>
      <w:r>
        <w:rPr>
          <w:sz w:val="24"/>
          <w:szCs w:val="24"/>
        </w:rPr>
        <w:t xml:space="preserve">Ситуационный анализ</w:t>
      </w:r>
      <w:r>
        <w:rPr>
          <w:sz w:val="24"/>
          <w:szCs w:val="24"/>
        </w:rPr>
      </w:r>
    </w:p>
    <w:p>
      <w:pPr>
        <w:pStyle w:val="960"/>
        <w:numPr>
          <w:ilvl w:val="0"/>
          <w:numId w:val="14"/>
        </w:num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/>
        <w:jc w:val="both"/>
        <w:rPr>
          <w:rFonts w:ascii="Times New Roman" w:hAnsi="Times New Roman" w:cs="Times New Roman"/>
          <w:b/>
          <w:bCs/>
          <w:vanish/>
          <w:sz w:val="24"/>
          <w:szCs w:val="24"/>
        </w:rPr>
      </w:pPr>
      <w:r>
        <w:rPr>
          <w:rFonts w:ascii="Times New Roman" w:hAnsi="Times New Roman" w:cs="Times New Roman"/>
          <w:b/>
          <w:bCs/>
          <w:vanish/>
          <w:sz w:val="24"/>
          <w:szCs w:val="24"/>
        </w:rPr>
      </w:r>
      <w:r>
        <w:rPr>
          <w:rFonts w:ascii="Times New Roman" w:hAnsi="Times New Roman" w:cs="Times New Roman"/>
          <w:b/>
          <w:bCs/>
          <w:vanish/>
          <w:sz w:val="24"/>
          <w:szCs w:val="24"/>
        </w:rPr>
      </w:r>
    </w:p>
    <w:p>
      <w:pPr>
        <w:pStyle w:val="960"/>
        <w:numPr>
          <w:ilvl w:val="1"/>
          <w:numId w:val="14"/>
        </w:num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firstLine="567" w:left="709"/>
        <w:jc w:val="both"/>
        <w:rPr>
          <w:rFonts w:ascii="Times New Roman" w:hAnsi="Times New Roman" w:cs="Times New Roman"/>
          <w:b/>
          <w:bCs/>
          <w:vanish/>
          <w:sz w:val="24"/>
          <w:szCs w:val="24"/>
        </w:rPr>
      </w:pPr>
      <w:r>
        <w:rPr>
          <w:rFonts w:ascii="Times New Roman" w:hAnsi="Times New Roman" w:cs="Times New Roman"/>
          <w:b/>
          <w:bCs/>
          <w:vanish/>
          <w:sz w:val="24"/>
          <w:szCs w:val="24"/>
        </w:rPr>
      </w:r>
      <w:r>
        <w:rPr>
          <w:rFonts w:ascii="Times New Roman" w:hAnsi="Times New Roman" w:cs="Times New Roman"/>
          <w:b/>
          <w:bCs/>
          <w:vanish/>
          <w:sz w:val="24"/>
          <w:szCs w:val="24"/>
        </w:rPr>
      </w:r>
    </w:p>
    <w:p>
      <w:pPr>
        <w:pStyle w:val="960"/>
        <w:numPr>
          <w:ilvl w:val="1"/>
          <w:numId w:val="14"/>
        </w:num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 w:firstLine="567" w:left="709"/>
        <w:jc w:val="both"/>
        <w:rPr>
          <w:rFonts w:ascii="Times New Roman" w:hAnsi="Times New Roman" w:cs="Times New Roman"/>
          <w:b/>
          <w:bCs/>
          <w:vanish/>
          <w:sz w:val="24"/>
          <w:szCs w:val="24"/>
        </w:rPr>
      </w:pPr>
      <w:r>
        <w:rPr>
          <w:rFonts w:ascii="Times New Roman" w:hAnsi="Times New Roman" w:cs="Times New Roman"/>
          <w:b/>
          <w:bCs/>
          <w:vanish/>
          <w:sz w:val="24"/>
          <w:szCs w:val="24"/>
        </w:rPr>
      </w:r>
      <w:r>
        <w:rPr>
          <w:rFonts w:ascii="Times New Roman" w:hAnsi="Times New Roman" w:cs="Times New Roman"/>
          <w:b/>
          <w:bCs/>
          <w:vanish/>
          <w:sz w:val="24"/>
          <w:szCs w:val="24"/>
        </w:rPr>
      </w:r>
    </w:p>
    <w:p>
      <w:pPr>
        <w:pStyle w:val="989"/>
        <w:pBdr/>
        <w:spacing w:after="0"/>
        <w:ind w:left="709"/>
        <w:rPr/>
      </w:pPr>
      <w:r>
        <w:t xml:space="preserve">Потенциал продаж</w:t>
      </w:r>
      <w:r/>
    </w:p>
    <w:p>
      <w:pPr>
        <w:pStyle w:val="988"/>
        <w:numPr>
          <w:ilvl w:val="0"/>
          <w:numId w:val="0"/>
        </w:numPr>
        <w:pBdr/>
        <w:spacing w:after="0"/>
        <w:ind/>
        <w:rPr>
          <w:b w:val="0"/>
          <w:bCs w:val="0"/>
          <w:color w:val="000000" w:themeColor="text1"/>
          <w:sz w:val="24"/>
          <w:szCs w:val="24"/>
        </w:rPr>
      </w:pPr>
      <w:r>
        <w:rPr>
          <w:b w:val="0"/>
          <w:bCs w:val="0"/>
          <w:color w:val="000000" w:themeColor="text1"/>
          <w:sz w:val="24"/>
          <w:szCs w:val="24"/>
        </w:rPr>
        <w:t xml:space="preserve">Емкость сегмента: 417095 чел.</w:t>
      </w:r>
      <w:r>
        <w:rPr>
          <w:b w:val="0"/>
          <w:bCs w:val="0"/>
          <w:color w:val="000000" w:themeColor="text1"/>
          <w:sz w:val="24"/>
          <w:szCs w:val="24"/>
        </w:rPr>
      </w:r>
    </w:p>
    <w:p>
      <w:pPr>
        <w:pStyle w:val="988"/>
        <w:numPr>
          <w:ilvl w:val="0"/>
          <w:numId w:val="0"/>
        </w:numPr>
        <w:pBdr/>
        <w:spacing w:after="0"/>
        <w:ind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Темп роста сегмента: (</w:t>
      </w:r>
      <w:r>
        <w:rPr>
          <w:b w:val="0"/>
          <w:bCs w:val="0"/>
          <w:sz w:val="24"/>
          <w:szCs w:val="24"/>
          <w:lang w:val="en-US"/>
        </w:rPr>
        <w:t xml:space="preserve">V</w:t>
      </w:r>
      <w:r>
        <w:rPr>
          <w:b w:val="0"/>
          <w:bCs w:val="0"/>
          <w:sz w:val="24"/>
          <w:szCs w:val="24"/>
        </w:rPr>
        <w:t xml:space="preserve"> рынка за 2025 – </w:t>
      </w:r>
      <w:r>
        <w:rPr>
          <w:b w:val="0"/>
          <w:bCs w:val="0"/>
          <w:sz w:val="24"/>
          <w:szCs w:val="24"/>
          <w:lang w:val="en-US"/>
        </w:rPr>
        <w:t xml:space="preserve">V</w:t>
      </w:r>
      <w:r>
        <w:rPr>
          <w:b w:val="0"/>
          <w:bCs w:val="0"/>
          <w:sz w:val="24"/>
          <w:szCs w:val="24"/>
        </w:rPr>
        <w:t xml:space="preserve"> рынка за 2024)  * 100% / </w:t>
      </w:r>
      <w:r>
        <w:rPr>
          <w:b w:val="0"/>
          <w:bCs w:val="0"/>
          <w:sz w:val="24"/>
          <w:szCs w:val="24"/>
          <w:lang w:val="en-US"/>
        </w:rPr>
        <w:t xml:space="preserve">V</w:t>
      </w:r>
      <w:r>
        <w:rPr>
          <w:b w:val="0"/>
          <w:bCs w:val="0"/>
          <w:sz w:val="24"/>
          <w:szCs w:val="24"/>
        </w:rPr>
        <w:t xml:space="preserve"> рынка за 2024 = (718 млрд – 550 млрд) * 100% / 550 млрд = 30%</w:t>
      </w:r>
      <w:r>
        <w:rPr>
          <w:b w:val="0"/>
          <w:bCs w:val="0"/>
          <w:sz w:val="24"/>
          <w:szCs w:val="24"/>
        </w:rPr>
      </w:r>
    </w:p>
    <w:p>
      <w:pPr>
        <w:pStyle w:val="988"/>
        <w:numPr>
          <w:ilvl w:val="0"/>
          <w:numId w:val="0"/>
        </w:numPr>
        <w:pBdr/>
        <w:spacing w:after="0"/>
        <w:ind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Доходность:</w:t>
      </w:r>
      <w:r>
        <w:rPr>
          <w:b w:val="0"/>
          <w:bCs w:val="0"/>
          <w:sz w:val="24"/>
          <w:szCs w:val="24"/>
        </w:rPr>
      </w:r>
    </w:p>
    <w:tbl>
      <w:tblPr>
        <w:tblStyle w:val="965"/>
        <w:tblW w:w="0" w:type="auto"/>
        <w:tblBorders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>
        <w:trPr/>
        <w:tc>
          <w:tcPr>
            <w:tcBorders/>
            <w:tcW w:w="3114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Style w:val="962"/>
                <w:rFonts w:ascii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  <w:t xml:space="preserve">Источник дохода</w:t>
            </w:r>
            <w:r>
              <w:rPr>
                <w:rStyle w:val="962"/>
                <w:rFonts w:ascii="Times New Roman" w:hAnsi="Times New Roman" w:cs="Times New Roman"/>
                <w:color w:val="0f1115"/>
                <w:sz w:val="24"/>
                <w:szCs w:val="24"/>
              </w:rPr>
            </w:r>
          </w:p>
        </w:tc>
        <w:tc>
          <w:tcPr>
            <w:tcBorders/>
            <w:tcW w:w="3115" w:type="dxa"/>
            <w:textDirection w:val="lrTb"/>
            <w:noWrap w:val="false"/>
          </w:tcPr>
          <w:p>
            <w:pPr>
              <w:pStyle w:val="988"/>
              <w:numPr>
                <w:ilvl w:val="0"/>
                <w:numId w:val="0"/>
              </w:numPr>
              <w:pBdr/>
              <w:spacing w:after="0"/>
              <w:ind/>
              <w:rPr>
                <w:color w:val="0f1115"/>
                <w:sz w:val="24"/>
                <w:szCs w:val="24"/>
                <w:shd w:val="clear" w:color="auto" w:fill="ffffff"/>
              </w:rPr>
            </w:pPr>
            <w:r>
              <w:rPr>
                <w:color w:val="0f1115"/>
                <w:sz w:val="24"/>
                <w:szCs w:val="24"/>
                <w:shd w:val="clear" w:color="auto" w:fill="ffffff"/>
              </w:rPr>
              <w:t xml:space="preserve">Расчёт</w:t>
            </w:r>
            <w:r>
              <w:rPr>
                <w:color w:val="0f1115"/>
                <w:sz w:val="24"/>
                <w:szCs w:val="24"/>
                <w:shd w:val="clear" w:color="auto" w:fill="ffffff"/>
              </w:rPr>
            </w:r>
          </w:p>
        </w:tc>
        <w:tc>
          <w:tcPr>
            <w:tcBorders/>
            <w:tcW w:w="3115" w:type="dxa"/>
            <w:textDirection w:val="lrTb"/>
            <w:noWrap w:val="false"/>
          </w:tcPr>
          <w:p>
            <w:pPr>
              <w:pStyle w:val="988"/>
              <w:numPr>
                <w:ilvl w:val="0"/>
                <w:numId w:val="0"/>
              </w:numPr>
              <w:pBdr/>
              <w:spacing w:after="0"/>
              <w:ind/>
              <w:rPr>
                <w:color w:val="0f1115"/>
                <w:sz w:val="24"/>
                <w:szCs w:val="24"/>
                <w:shd w:val="clear" w:color="auto" w:fill="ffffff"/>
              </w:rPr>
            </w:pPr>
            <w:r>
              <w:rPr>
                <w:color w:val="0f1115"/>
                <w:sz w:val="24"/>
                <w:szCs w:val="24"/>
                <w:shd w:val="clear" w:color="auto" w:fill="ffffff"/>
              </w:rPr>
              <w:t xml:space="preserve">Сумма, млн руб./год</w:t>
            </w:r>
            <w:r>
              <w:rPr>
                <w:color w:val="0f1115"/>
                <w:sz w:val="24"/>
                <w:szCs w:val="24"/>
                <w:shd w:val="clear" w:color="auto" w:fill="ffffff"/>
              </w:rPr>
            </w:r>
          </w:p>
        </w:tc>
      </w:tr>
      <w:tr>
        <w:trPr/>
        <w:tc>
          <w:tcPr>
            <w:tcBorders/>
            <w:tcW w:w="3114" w:type="dxa"/>
            <w:textDirection w:val="lrTb"/>
            <w:noWrap w:val="false"/>
          </w:tcPr>
          <w:p>
            <w:pPr>
              <w:pStyle w:val="988"/>
              <w:numPr>
                <w:ilvl w:val="0"/>
                <w:numId w:val="0"/>
              </w:numPr>
              <w:pBdr/>
              <w:spacing w:after="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rStyle w:val="962"/>
                <w:color w:val="0f1115"/>
                <w:sz w:val="24"/>
                <w:szCs w:val="24"/>
                <w:shd w:val="clear" w:color="auto" w:fill="ffffff"/>
              </w:rPr>
              <w:t xml:space="preserve">Транзакционная комиссия (физлица)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115" w:type="dxa"/>
            <w:textDirection w:val="lrTb"/>
            <w:noWrap w:val="false"/>
          </w:tcPr>
          <w:p>
            <w:pPr>
              <w:pStyle w:val="988"/>
              <w:numPr>
                <w:ilvl w:val="0"/>
                <w:numId w:val="0"/>
              </w:numPr>
              <w:pBdr/>
              <w:spacing w:after="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color w:val="0f1115"/>
                <w:sz w:val="24"/>
                <w:szCs w:val="24"/>
                <w:shd w:val="clear" w:color="auto" w:fill="ffffff"/>
              </w:rPr>
              <w:t xml:space="preserve">7 767 инвесторов × 864 000 руб./год × 0.5%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115" w:type="dxa"/>
            <w:textDirection w:val="lrTb"/>
            <w:noWrap w:val="false"/>
          </w:tcPr>
          <w:p>
            <w:pPr>
              <w:pStyle w:val="988"/>
              <w:numPr>
                <w:ilvl w:val="0"/>
                <w:numId w:val="0"/>
              </w:numPr>
              <w:pBdr/>
              <w:spacing w:after="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color w:val="0f1115"/>
                <w:sz w:val="24"/>
                <w:szCs w:val="24"/>
                <w:shd w:val="clear" w:color="auto" w:fill="ffffff"/>
              </w:rPr>
              <w:t xml:space="preserve">33.55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4" w:type="dxa"/>
            <w:textDirection w:val="lrTb"/>
            <w:noWrap w:val="false"/>
          </w:tcPr>
          <w:p>
            <w:pPr>
              <w:pStyle w:val="988"/>
              <w:numPr>
                <w:ilvl w:val="0"/>
                <w:numId w:val="0"/>
              </w:numPr>
              <w:pBdr/>
              <w:spacing w:after="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rStyle w:val="962"/>
                <w:color w:val="0f1115"/>
                <w:sz w:val="24"/>
                <w:szCs w:val="24"/>
                <w:shd w:val="clear" w:color="auto" w:fill="ffffff"/>
              </w:rPr>
              <w:t xml:space="preserve">Подписка физлиц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115" w:type="dxa"/>
            <w:textDirection w:val="lrTb"/>
            <w:noWrap w:val="false"/>
          </w:tcPr>
          <w:p>
            <w:pPr>
              <w:pStyle w:val="988"/>
              <w:numPr>
                <w:ilvl w:val="0"/>
                <w:numId w:val="0"/>
              </w:numPr>
              <w:pBdr/>
              <w:spacing w:after="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color w:val="0f1115"/>
                <w:sz w:val="24"/>
                <w:szCs w:val="24"/>
                <w:shd w:val="clear" w:color="auto" w:fill="ffffff"/>
              </w:rPr>
              <w:t xml:space="preserve">1 748 подписчиков × 19 900 руб./год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115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34.79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4" w:type="dxa"/>
            <w:textDirection w:val="lrTb"/>
            <w:noWrap w:val="false"/>
          </w:tcPr>
          <w:p>
            <w:pPr>
              <w:pStyle w:val="988"/>
              <w:numPr>
                <w:ilvl w:val="0"/>
                <w:numId w:val="0"/>
              </w:numPr>
              <w:pBdr/>
              <w:spacing w:after="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rStyle w:val="962"/>
                <w:color w:val="0f1115"/>
                <w:sz w:val="24"/>
                <w:szCs w:val="24"/>
                <w:shd w:val="clear" w:color="auto" w:fill="ffffff"/>
              </w:rPr>
              <w:t xml:space="preserve">Подписка юрлиц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115" w:type="dxa"/>
            <w:textDirection w:val="lrTb"/>
            <w:noWrap w:val="false"/>
          </w:tcPr>
          <w:p>
            <w:pPr>
              <w:pStyle w:val="988"/>
              <w:numPr>
                <w:ilvl w:val="0"/>
                <w:numId w:val="0"/>
              </w:numPr>
              <w:pBdr/>
              <w:spacing w:after="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color w:val="0f1115"/>
                <w:sz w:val="24"/>
                <w:szCs w:val="24"/>
                <w:shd w:val="clear" w:color="auto" w:fill="ffffff"/>
              </w:rPr>
              <w:t xml:space="preserve">194 подписчика × 90 000 руб./год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115" w:type="dxa"/>
            <w:textDirection w:val="lrTb"/>
            <w:noWrap w:val="false"/>
          </w:tcPr>
          <w:p>
            <w:pPr>
              <w:pStyle w:val="988"/>
              <w:numPr>
                <w:ilvl w:val="0"/>
                <w:numId w:val="0"/>
              </w:numPr>
              <w:pBdr/>
              <w:spacing w:after="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color w:val="0f1115"/>
                <w:sz w:val="24"/>
                <w:szCs w:val="24"/>
                <w:shd w:val="clear" w:color="auto" w:fill="ffffff"/>
              </w:rPr>
              <w:t xml:space="preserve">17.46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4" w:type="dxa"/>
            <w:textDirection w:val="lrTb"/>
            <w:noWrap w:val="false"/>
          </w:tcPr>
          <w:p>
            <w:pPr>
              <w:pStyle w:val="988"/>
              <w:numPr>
                <w:ilvl w:val="0"/>
                <w:numId w:val="0"/>
              </w:numPr>
              <w:pBdr/>
              <w:spacing w:after="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rStyle w:val="962"/>
                <w:color w:val="0f1115"/>
                <w:sz w:val="24"/>
                <w:szCs w:val="24"/>
                <w:shd w:val="clear" w:color="auto" w:fill="ffffff"/>
              </w:rPr>
              <w:t xml:space="preserve">Комиссия юрлиц (0.2%)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115" w:type="dxa"/>
            <w:textDirection w:val="lrTb"/>
            <w:noWrap w:val="false"/>
          </w:tcPr>
          <w:p>
            <w:pPr>
              <w:pStyle w:val="988"/>
              <w:numPr>
                <w:ilvl w:val="0"/>
                <w:numId w:val="0"/>
              </w:numPr>
              <w:pBdr/>
              <w:spacing w:after="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color w:val="0f1115"/>
                <w:sz w:val="24"/>
                <w:szCs w:val="24"/>
                <w:shd w:val="clear" w:color="auto" w:fill="ffffff"/>
              </w:rPr>
              <w:t xml:space="preserve">671 млн руб. объём × 0.2%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115" w:type="dxa"/>
            <w:textDirection w:val="lrTb"/>
            <w:noWrap w:val="false"/>
          </w:tcPr>
          <w:p>
            <w:pPr>
              <w:pStyle w:val="988"/>
              <w:numPr>
                <w:ilvl w:val="0"/>
                <w:numId w:val="0"/>
              </w:numPr>
              <w:pBdr/>
              <w:spacing w:after="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color w:val="0f1115"/>
                <w:sz w:val="24"/>
                <w:szCs w:val="24"/>
                <w:shd w:val="clear" w:color="auto" w:fill="ffffff"/>
              </w:rPr>
              <w:t xml:space="preserve">1.34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4" w:type="dxa"/>
            <w:textDirection w:val="lrTb"/>
            <w:noWrap w:val="false"/>
          </w:tcPr>
          <w:p>
            <w:pPr>
              <w:pStyle w:val="988"/>
              <w:numPr>
                <w:ilvl w:val="0"/>
                <w:numId w:val="0"/>
              </w:numPr>
              <w:pBdr/>
              <w:spacing w:after="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rStyle w:val="962"/>
                <w:color w:val="0f1115"/>
                <w:sz w:val="24"/>
                <w:szCs w:val="24"/>
                <w:shd w:val="clear" w:color="auto" w:fill="ffffff"/>
              </w:rPr>
              <w:t xml:space="preserve">Подписка эмитентов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115" w:type="dxa"/>
            <w:textDirection w:val="lrTb"/>
            <w:noWrap w:val="false"/>
          </w:tcPr>
          <w:p>
            <w:pPr>
              <w:pStyle w:val="988"/>
              <w:numPr>
                <w:ilvl w:val="0"/>
                <w:numId w:val="0"/>
              </w:numPr>
              <w:pBdr/>
              <w:spacing w:after="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color w:val="0f1115"/>
                <w:sz w:val="24"/>
                <w:szCs w:val="24"/>
                <w:shd w:val="clear" w:color="auto" w:fill="ffffff"/>
              </w:rPr>
              <w:t xml:space="preserve">50 эмитентов × 30 000 руб./год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115" w:type="dxa"/>
            <w:textDirection w:val="lrTb"/>
            <w:noWrap w:val="false"/>
          </w:tcPr>
          <w:p>
            <w:pPr>
              <w:pStyle w:val="988"/>
              <w:numPr>
                <w:ilvl w:val="0"/>
                <w:numId w:val="0"/>
              </w:numPr>
              <w:pBdr/>
              <w:spacing w:after="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color w:val="0f1115"/>
                <w:sz w:val="24"/>
                <w:szCs w:val="24"/>
                <w:shd w:val="clear" w:color="auto" w:fill="ffffff"/>
              </w:rPr>
              <w:t xml:space="preserve">1.50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4" w:type="dxa"/>
            <w:textDirection w:val="lrTb"/>
            <w:noWrap w:val="false"/>
          </w:tcPr>
          <w:p>
            <w:pPr>
              <w:pStyle w:val="988"/>
              <w:numPr>
                <w:ilvl w:val="0"/>
                <w:numId w:val="0"/>
              </w:numPr>
              <w:pBdr/>
              <w:spacing w:after="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rStyle w:val="962"/>
                <w:color w:val="0f1115"/>
                <w:sz w:val="24"/>
                <w:szCs w:val="24"/>
                <w:shd w:val="clear" w:color="auto" w:fill="ffffff"/>
              </w:rPr>
              <w:t xml:space="preserve">API для ОИС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115" w:type="dxa"/>
            <w:textDirection w:val="lrTb"/>
            <w:noWrap w:val="false"/>
          </w:tcPr>
          <w:p>
            <w:pPr>
              <w:pStyle w:val="988"/>
              <w:numPr>
                <w:ilvl w:val="0"/>
                <w:numId w:val="0"/>
              </w:numPr>
              <w:pBdr/>
              <w:spacing w:after="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color w:val="0f1115"/>
                <w:sz w:val="24"/>
                <w:szCs w:val="24"/>
                <w:shd w:val="clear" w:color="auto" w:fill="ffffff"/>
              </w:rPr>
              <w:t xml:space="preserve">8 ОИС × (24 млн запросов/год / 1 млн) × 250 000 руб.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115" w:type="dxa"/>
            <w:textDirection w:val="lrTb"/>
            <w:noWrap w:val="false"/>
          </w:tcPr>
          <w:p>
            <w:pPr>
              <w:pStyle w:val="988"/>
              <w:numPr>
                <w:ilvl w:val="0"/>
                <w:numId w:val="0"/>
              </w:numPr>
              <w:pBdr/>
              <w:spacing w:after="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color w:val="0f1115"/>
                <w:sz w:val="24"/>
                <w:szCs w:val="24"/>
                <w:shd w:val="clear" w:color="auto" w:fill="ffffff"/>
              </w:rPr>
              <w:t xml:space="preserve">48.00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>
          <w:trHeight w:val="170"/>
        </w:trPr>
        <w:tc>
          <w:tcPr>
            <w:tcBorders/>
            <w:tcW w:w="3114" w:type="dxa"/>
            <w:textDirection w:val="lrTb"/>
            <w:noWrap w:val="false"/>
          </w:tcPr>
          <w:p>
            <w:pPr>
              <w:pStyle w:val="988"/>
              <w:numPr>
                <w:ilvl w:val="0"/>
                <w:numId w:val="0"/>
              </w:numPr>
              <w:pBdr/>
              <w:spacing w:after="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rStyle w:val="962"/>
                <w:color w:val="0f1115"/>
                <w:sz w:val="24"/>
                <w:szCs w:val="24"/>
                <w:shd w:val="clear" w:color="auto" w:fill="ffffff"/>
              </w:rPr>
              <w:t xml:space="preserve">Итого: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gridSpan w:val="2"/>
            <w:tcBorders/>
            <w:tcW w:w="6230" w:type="dxa"/>
            <w:textDirection w:val="lrTb"/>
            <w:noWrap w:val="false"/>
          </w:tcPr>
          <w:p>
            <w:pPr>
              <w:pStyle w:val="988"/>
              <w:numPr>
                <w:ilvl w:val="0"/>
                <w:numId w:val="0"/>
              </w:numPr>
              <w:pBdr/>
              <w:spacing w:after="0"/>
              <w:ind/>
              <w:jc w:val="righ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136.64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</w:tbl>
    <w:p>
      <w:pPr>
        <w:pStyle w:val="989"/>
        <w:numPr>
          <w:ilvl w:val="0"/>
          <w:numId w:val="0"/>
        </w:numPr>
        <w:pBdr/>
        <w:spacing w:after="0"/>
        <w:ind w:left="709"/>
        <w:rPr/>
      </w:pPr>
      <w:r/>
      <w:r/>
    </w:p>
    <w:p>
      <w:pPr>
        <w:pStyle w:val="989"/>
        <w:pBdr/>
        <w:spacing w:after="0"/>
        <w:ind w:left="709"/>
        <w:rPr/>
      </w:pPr>
      <w:r>
        <w:t xml:space="preserve">Потенциал спроса:</w:t>
      </w:r>
      <w:r/>
    </w:p>
    <w:p>
      <w:pPr>
        <w:pStyle w:val="988"/>
        <w:numPr>
          <w:ilvl w:val="0"/>
          <w:numId w:val="0"/>
        </w:numPr>
        <w:pBdr/>
        <w:spacing w:after="0"/>
        <w:ind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ab/>
        <w:t xml:space="preserve">Размер целевой аудитории: 76 777 чел. </w:t>
      </w:r>
      <w:r>
        <w:rPr>
          <w:b w:val="0"/>
          <w:bCs w:val="0"/>
          <w:sz w:val="24"/>
          <w:szCs w:val="24"/>
        </w:rPr>
      </w:r>
    </w:p>
    <w:p>
      <w:pPr>
        <w:pStyle w:val="988"/>
        <w:numPr>
          <w:ilvl w:val="0"/>
          <w:numId w:val="0"/>
        </w:numPr>
        <w:pBdr/>
        <w:spacing w:after="0"/>
        <w:ind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ab/>
        <w:t xml:space="preserve">Процент проникновения товара: количество клиентов * 100% / размер целевой аудитории = 9981 * 100% / 76 777 = 13%. (Допустим, предлагаемый сервис смог привлечь 13% от общего объема целевой аудитории = 9981 чел.)</w:t>
      </w:r>
      <w:r>
        <w:rPr>
          <w:b w:val="0"/>
          <w:bCs w:val="0"/>
          <w:sz w:val="24"/>
          <w:szCs w:val="24"/>
        </w:rPr>
      </w:r>
    </w:p>
    <w:p>
      <w:pPr>
        <w:pStyle w:val="988"/>
        <w:numPr>
          <w:ilvl w:val="0"/>
          <w:numId w:val="0"/>
        </w:numPr>
        <w:pBdr/>
        <w:spacing w:after="0"/>
        <w:ind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ab/>
        <w:t xml:space="preserve">Частота использования: для оценки частоты использования взят прирост инвесторов с 31.03.2025 по 30.06.2025 (в строке «Количество обладателе</w:t>
      </w:r>
      <w:r>
        <w:rPr>
          <w:b w:val="0"/>
          <w:bCs w:val="0"/>
          <w:sz w:val="24"/>
          <w:szCs w:val="24"/>
        </w:rPr>
        <w:t xml:space="preserve">й ЦФА и иных цифровых прав по состоянию на конец отчетного квартала»: значение ячейки столбца 30.06.2025 – значение ячейки предыдущего столбца 31.03.2025) и найдено их среднее арифметическое, умноженное на среднее количество типов ЦФА на одного инвестора. </w:t>
      </w:r>
      <w:r>
        <w:rPr>
          <w:b w:val="0"/>
          <w:bCs w:val="0"/>
          <w:sz w:val="24"/>
          <w:szCs w:val="24"/>
        </w:rPr>
      </w:r>
    </w:p>
    <w:p>
      <w:pPr>
        <w:pStyle w:val="988"/>
        <w:numPr>
          <w:ilvl w:val="0"/>
          <w:numId w:val="0"/>
        </w:numPr>
        <w:pBdr/>
        <w:spacing w:after="0"/>
        <w:ind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(137 360 – 114 545) * 3 = 22815*3 = 68 445 сделок в месяц.</w:t>
      </w:r>
      <w:r>
        <w:rPr>
          <w:b w:val="0"/>
          <w:bCs w:val="0"/>
          <w:sz w:val="24"/>
          <w:szCs w:val="24"/>
        </w:rPr>
      </w:r>
    </w:p>
    <w:p>
      <w:pPr>
        <w:pStyle w:val="989"/>
        <w:pBdr/>
        <w:spacing w:after="0"/>
        <w:ind w:hanging="709" w:left="709"/>
        <w:rPr/>
      </w:pPr>
      <w:r>
        <w:t xml:space="preserve">Анализ конкурентов:</w:t>
      </w:r>
      <w:r/>
    </w:p>
    <w:p>
      <w:pPr>
        <w:pStyle w:val="988"/>
        <w:numPr>
          <w:ilvl w:val="0"/>
          <w:numId w:val="0"/>
        </w:numPr>
        <w:pBdr/>
        <w:spacing w:after="0"/>
        <w:ind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Главный конкурент предлагаемого решения - Московская биржа, являющаяся одним из крупнейших участников рынка активов. На долю Московской биржи приходится 32% совокупного объема всех выпущенных в этом году ЦФА [</w:t>
      </w:r>
      <w:r>
        <w:rPr>
          <w:b w:val="0"/>
          <w:bCs w:val="0"/>
          <w:sz w:val="24"/>
          <w:szCs w:val="24"/>
        </w:rPr>
        <w:fldChar w:fldCharType="begin"/>
      </w:r>
      <w:r>
        <w:rPr>
          <w:b w:val="0"/>
          <w:bCs w:val="0"/>
          <w:sz w:val="24"/>
          <w:szCs w:val="24"/>
        </w:rPr>
        <w:instrText xml:space="preserve"> REF _Ref214186246 \n \h </w:instrText>
      </w:r>
      <w:r>
        <w:rPr>
          <w:b w:val="0"/>
          <w:bCs w:val="0"/>
          <w:sz w:val="24"/>
          <w:szCs w:val="24"/>
        </w:rPr>
        <w:instrText xml:space="preserve"> \* MERGEFORMAT </w:instrText>
      </w:r>
      <w:r>
        <w:rPr>
          <w:b w:val="0"/>
          <w:bCs w:val="0"/>
          <w:sz w:val="24"/>
          <w:szCs w:val="24"/>
        </w:rPr>
        <w:fldChar w:fldCharType="separate"/>
      </w:r>
      <w:r>
        <w:rPr>
          <w:b w:val="0"/>
          <w:bCs w:val="0"/>
          <w:sz w:val="24"/>
          <w:szCs w:val="24"/>
        </w:rPr>
        <w:t xml:space="preserve">8</w:t>
      </w:r>
      <w:r>
        <w:rPr>
          <w:b w:val="0"/>
          <w:bCs w:val="0"/>
          <w:sz w:val="24"/>
          <w:szCs w:val="24"/>
        </w:rPr>
        <w:fldChar w:fldCharType="end"/>
      </w:r>
      <w:r>
        <w:rPr>
          <w:b w:val="0"/>
          <w:bCs w:val="0"/>
          <w:sz w:val="24"/>
          <w:szCs w:val="24"/>
        </w:rPr>
        <w:t xml:space="preserve">]. Мосбиржа, аналогично оператору цифровых прав, объединяет игроков рынка и позволяет осуществлять кроссплатформенные сделки с ЦФА. Помимо этого, она владеет Национальным </w:t>
      </w:r>
      <w:r>
        <w:rPr>
          <w:b w:val="0"/>
          <w:bCs w:val="0"/>
          <w:sz w:val="24"/>
          <w:szCs w:val="24"/>
        </w:rPr>
        <w:t xml:space="preserve">расчетным деп</w:t>
      </w:r>
      <w:r>
        <w:rPr>
          <w:b w:val="0"/>
          <w:bCs w:val="0"/>
          <w:sz w:val="24"/>
          <w:szCs w:val="24"/>
        </w:rPr>
        <w:t xml:space="preserve">озитарием, с помощью которого также можно (теоретически) реализовать функцию перевода активов между разными операторами. Однако ключевое различие между Московской биржей и ОЦА заключается в алгоритме процесса перевода, что определяет преимущество предлагае</w:t>
      </w:r>
      <w:r>
        <w:rPr>
          <w:b w:val="0"/>
          <w:bCs w:val="0"/>
          <w:sz w:val="24"/>
          <w:szCs w:val="24"/>
        </w:rPr>
        <w:t xml:space="preserve">мого решения. Перевод ЦФА между разными ОИС через платформу Мосбиржи потребует обязательного участия третьей стороны-НРД. Процесс будет включать в себя списание ЦФА с инвесторского счета в ОИС А, передачу обязательств по этим активам депозитарию, зачислени</w:t>
      </w:r>
      <w:r>
        <w:rPr>
          <w:b w:val="0"/>
          <w:bCs w:val="0"/>
          <w:sz w:val="24"/>
          <w:szCs w:val="24"/>
        </w:rPr>
        <w:t xml:space="preserve">е активов на счет депо инвестора в депозитарии, запрос к ОИС Б на принятие ЦФА и только потом зачисление на счет инвестора в ОИС Б. Оператор цифровых активов организует прямое взаимодействие между операторами информационных систем по упрощенной схеме, тем </w:t>
      </w:r>
      <w:r>
        <w:rPr>
          <w:b w:val="0"/>
          <w:bCs w:val="0"/>
          <w:sz w:val="24"/>
          <w:szCs w:val="24"/>
        </w:rPr>
        <w:t xml:space="preserve">самым повышая прозрачность сервиса, простоту и удобство работы с ним. В процессе обмена не участвует третья сторона - весь учет прав собственности ведут только операторы информационных систем. Благодаря такому подходу предлагаемое решение является не прямы</w:t>
      </w:r>
      <w:r>
        <w:rPr>
          <w:b w:val="0"/>
          <w:bCs w:val="0"/>
          <w:sz w:val="24"/>
          <w:szCs w:val="24"/>
        </w:rPr>
        <w:t xml:space="preserve">м посредником, а гарантом корректного, своевременного совершения сделки. Еще одно преимущество оператора цифровых прав заключается в охватываемой аудитории инвесторов. В настоящее время к сделкам с ЦФА на Московской бирже допущены только юридические лица [</w:t>
      </w:r>
      <w:r>
        <w:rPr>
          <w:b w:val="0"/>
          <w:bCs w:val="0"/>
          <w:sz w:val="24"/>
          <w:szCs w:val="24"/>
        </w:rPr>
        <w:fldChar w:fldCharType="begin"/>
      </w:r>
      <w:r>
        <w:rPr>
          <w:b w:val="0"/>
          <w:bCs w:val="0"/>
          <w:sz w:val="24"/>
          <w:szCs w:val="24"/>
        </w:rPr>
        <w:instrText xml:space="preserve"> REF _Ref214186255 \n \h </w:instrText>
      </w:r>
      <w:r>
        <w:rPr>
          <w:b w:val="0"/>
          <w:bCs w:val="0"/>
          <w:sz w:val="24"/>
          <w:szCs w:val="24"/>
        </w:rPr>
        <w:instrText xml:space="preserve"> \* MERGEFORMAT </w:instrText>
      </w:r>
      <w:r>
        <w:rPr>
          <w:b w:val="0"/>
          <w:bCs w:val="0"/>
          <w:sz w:val="24"/>
          <w:szCs w:val="24"/>
        </w:rPr>
        <w:fldChar w:fldCharType="separate"/>
      </w:r>
      <w:r>
        <w:rPr>
          <w:b w:val="0"/>
          <w:bCs w:val="0"/>
          <w:sz w:val="24"/>
          <w:szCs w:val="24"/>
        </w:rPr>
        <w:t xml:space="preserve">9</w:t>
      </w:r>
      <w:r>
        <w:rPr>
          <w:b w:val="0"/>
          <w:bCs w:val="0"/>
          <w:sz w:val="24"/>
          <w:szCs w:val="24"/>
        </w:rPr>
        <w:fldChar w:fldCharType="end"/>
      </w:r>
      <w:r>
        <w:rPr>
          <w:b w:val="0"/>
          <w:bCs w:val="0"/>
          <w:sz w:val="24"/>
          <w:szCs w:val="24"/>
        </w:rPr>
        <w:t xml:space="preserve">]. ОЦА в свою очередь предоставляет доступ к рынку как юридическим лицам, так и физическим. Сравнительный анализ конкурентов представлен ниже (</w:t>
      </w:r>
      <w:r>
        <w:rPr>
          <w:b w:val="0"/>
          <w:bCs w:val="0"/>
          <w:sz w:val="24"/>
          <w:szCs w:val="24"/>
        </w:rPr>
        <w:fldChar w:fldCharType="begin"/>
      </w:r>
      <w:r>
        <w:rPr>
          <w:b w:val="0"/>
          <w:bCs w:val="0"/>
          <w:sz w:val="24"/>
          <w:szCs w:val="24"/>
        </w:rPr>
        <w:instrText xml:space="preserve"> REF _Ref216020625 \h  \* MERGEFORMAT </w:instrText>
      </w:r>
      <w:r>
        <w:rPr>
          <w:b w:val="0"/>
          <w:bCs w:val="0"/>
          <w:sz w:val="24"/>
          <w:szCs w:val="24"/>
        </w:rPr>
        <w:fldChar w:fldCharType="separate"/>
      </w:r>
      <w:r>
        <w:rPr>
          <w:b w:val="0"/>
          <w:bCs w:val="0"/>
          <w:sz w:val="24"/>
          <w:szCs w:val="24"/>
        </w:rPr>
        <w:t xml:space="preserve">Таблица 2. Сравнение конкурентов</w:t>
      </w:r>
      <w:r>
        <w:rPr>
          <w:b w:val="0"/>
          <w:bCs w:val="0"/>
          <w:sz w:val="24"/>
          <w:szCs w:val="24"/>
        </w:rPr>
        <w:fldChar w:fldCharType="end"/>
      </w:r>
      <w:r>
        <w:rPr>
          <w:b w:val="0"/>
          <w:bCs w:val="0"/>
          <w:sz w:val="24"/>
          <w:szCs w:val="24"/>
        </w:rPr>
        <w:t xml:space="preserve">)</w:t>
      </w:r>
      <w:r>
        <w:rPr>
          <w:b w:val="0"/>
          <w:bCs w:val="0"/>
          <w:sz w:val="24"/>
          <w:szCs w:val="24"/>
        </w:rPr>
      </w:r>
    </w:p>
    <w:p>
      <w:pPr>
        <w:pStyle w:val="978"/>
        <w:keepNext w:val="true"/>
        <w:pBdr/>
        <w:spacing w:after="0" w:line="276" w:lineRule="auto"/>
        <w:ind/>
        <w:jc w:val="both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/>
      <w:bookmarkStart w:id="105" w:name="_Ref216020625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3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Сравнение конкурентов</w:t>
      </w:r>
      <w:bookmarkEnd w:id="105"/>
      <w:r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r>
    </w:p>
    <w:tbl>
      <w:tblPr>
        <w:tblStyle w:val="965"/>
        <w:tblpPr w:horzAnchor="page" w:tblpX="1805" w:vertAnchor="text" w:tblpY="15" w:leftFromText="180" w:topFromText="0" w:rightFromText="180" w:bottomFromText="0"/>
        <w:tblW w:w="0" w:type="auto"/>
        <w:tblBorders/>
        <w:tblLook w:val="04A0" w:firstRow="1" w:lastRow="0" w:firstColumn="1" w:lastColumn="0" w:noHBand="0" w:noVBand="1"/>
      </w:tblPr>
      <w:tblGrid>
        <w:gridCol w:w="4957"/>
        <w:gridCol w:w="2835"/>
        <w:gridCol w:w="1417"/>
      </w:tblGrid>
      <w:tr>
        <w:trPr/>
        <w:tc>
          <w:tcPr>
            <w:tcBorders/>
            <w:tcW w:w="4957" w:type="dxa"/>
            <w:textDirection w:val="lrTb"/>
            <w:noWrap w:val="false"/>
          </w:tcPr>
          <w:p>
            <w:pPr>
              <w:pStyle w:val="988"/>
              <w:numPr>
                <w:ilvl w:val="0"/>
                <w:numId w:val="0"/>
              </w:numPr>
              <w:pBdr/>
              <w:spacing w:after="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Свойства 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pStyle w:val="988"/>
              <w:numPr>
                <w:ilvl w:val="0"/>
                <w:numId w:val="0"/>
              </w:numPr>
              <w:pBdr/>
              <w:spacing w:after="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Оператор цифровых активов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Style w:val="988"/>
              <w:numPr>
                <w:ilvl w:val="0"/>
                <w:numId w:val="0"/>
              </w:numPr>
              <w:pBdr/>
              <w:spacing w:after="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Мосбиржа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4957" w:type="dxa"/>
            <w:textDirection w:val="lrTb"/>
            <w:noWrap w:val="false"/>
          </w:tcPr>
          <w:p>
            <w:pPr>
              <w:pStyle w:val="988"/>
              <w:numPr>
                <w:ilvl w:val="0"/>
                <w:numId w:val="0"/>
              </w:numPr>
              <w:pBdr/>
              <w:spacing w:after="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Агрегация всех операторов информационных систем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pStyle w:val="988"/>
              <w:numPr>
                <w:ilvl w:val="0"/>
                <w:numId w:val="0"/>
              </w:numPr>
              <w:pBdr/>
              <w:spacing w:after="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+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Style w:val="988"/>
              <w:numPr>
                <w:ilvl w:val="0"/>
                <w:numId w:val="0"/>
              </w:numPr>
              <w:pBdr/>
              <w:spacing w:after="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+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4957" w:type="dxa"/>
            <w:textDirection w:val="lrTb"/>
            <w:noWrap w:val="false"/>
          </w:tcPr>
          <w:p>
            <w:pPr>
              <w:pStyle w:val="988"/>
              <w:numPr>
                <w:ilvl w:val="0"/>
                <w:numId w:val="0"/>
              </w:numPr>
              <w:pBdr/>
              <w:spacing w:after="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Возможность покупки, продажи, обмен активами в экосистеме одного ОИС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pStyle w:val="988"/>
              <w:numPr>
                <w:ilvl w:val="0"/>
                <w:numId w:val="0"/>
              </w:numPr>
              <w:pBdr/>
              <w:spacing w:after="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+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Style w:val="988"/>
              <w:numPr>
                <w:ilvl w:val="0"/>
                <w:numId w:val="0"/>
              </w:numPr>
              <w:pBdr/>
              <w:spacing w:after="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+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4957" w:type="dxa"/>
            <w:textDirection w:val="lrTb"/>
            <w:noWrap w:val="false"/>
          </w:tcPr>
          <w:p>
            <w:pPr>
              <w:pStyle w:val="988"/>
              <w:numPr>
                <w:ilvl w:val="0"/>
                <w:numId w:val="0"/>
              </w:numPr>
              <w:pBdr/>
              <w:spacing w:after="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Межплатформенные операции с ЦФА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pStyle w:val="988"/>
              <w:numPr>
                <w:ilvl w:val="0"/>
                <w:numId w:val="0"/>
              </w:numPr>
              <w:pBdr/>
              <w:spacing w:after="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+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Style w:val="988"/>
              <w:numPr>
                <w:ilvl w:val="0"/>
                <w:numId w:val="0"/>
              </w:numPr>
              <w:pBdr/>
              <w:spacing w:after="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-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4957" w:type="dxa"/>
            <w:textDirection w:val="lrTb"/>
            <w:noWrap w:val="false"/>
          </w:tcPr>
          <w:p>
            <w:pPr>
              <w:pStyle w:val="988"/>
              <w:numPr>
                <w:ilvl w:val="0"/>
                <w:numId w:val="0"/>
              </w:numPr>
              <w:pBdr/>
              <w:spacing w:after="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Сотрудничество и с физическими, и юридическими лицами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pStyle w:val="988"/>
              <w:numPr>
                <w:ilvl w:val="0"/>
                <w:numId w:val="0"/>
              </w:numPr>
              <w:pBdr/>
              <w:spacing w:after="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+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Style w:val="988"/>
              <w:numPr>
                <w:ilvl w:val="0"/>
                <w:numId w:val="0"/>
              </w:numPr>
              <w:pBdr/>
              <w:spacing w:after="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-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4957" w:type="dxa"/>
            <w:textDirection w:val="lrTb"/>
            <w:noWrap w:val="false"/>
          </w:tcPr>
          <w:p>
            <w:pPr>
              <w:pStyle w:val="988"/>
              <w:numPr>
                <w:ilvl w:val="0"/>
                <w:numId w:val="0"/>
              </w:numPr>
              <w:pBdr/>
              <w:spacing w:after="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Отсутствие конкуренции с другими участниками рынка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pStyle w:val="988"/>
              <w:numPr>
                <w:ilvl w:val="0"/>
                <w:numId w:val="0"/>
              </w:numPr>
              <w:pBdr/>
              <w:spacing w:after="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+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Style w:val="988"/>
              <w:numPr>
                <w:ilvl w:val="0"/>
                <w:numId w:val="0"/>
              </w:numPr>
              <w:pBdr/>
              <w:spacing w:after="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-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4957" w:type="dxa"/>
            <w:textDirection w:val="lrTb"/>
            <w:noWrap w:val="false"/>
          </w:tcPr>
          <w:p>
            <w:pPr>
              <w:pStyle w:val="988"/>
              <w:numPr>
                <w:ilvl w:val="0"/>
                <w:numId w:val="0"/>
              </w:numPr>
              <w:pBdr/>
              <w:spacing w:after="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Объединение всех участников рынка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pStyle w:val="988"/>
              <w:numPr>
                <w:ilvl w:val="0"/>
                <w:numId w:val="0"/>
              </w:numPr>
              <w:pBdr/>
              <w:spacing w:after="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+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Style w:val="988"/>
              <w:numPr>
                <w:ilvl w:val="0"/>
                <w:numId w:val="0"/>
              </w:numPr>
              <w:pBdr/>
              <w:spacing w:after="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-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4957" w:type="dxa"/>
            <w:textDirection w:val="lrTb"/>
            <w:noWrap w:val="false"/>
          </w:tcPr>
          <w:p>
            <w:pPr>
              <w:pStyle w:val="988"/>
              <w:numPr>
                <w:ilvl w:val="0"/>
                <w:numId w:val="0"/>
              </w:numPr>
              <w:pBdr/>
              <w:spacing w:after="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Витрина ЦФА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pStyle w:val="988"/>
              <w:numPr>
                <w:ilvl w:val="0"/>
                <w:numId w:val="0"/>
              </w:numPr>
              <w:pBdr/>
              <w:spacing w:after="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+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Style w:val="988"/>
              <w:numPr>
                <w:ilvl w:val="0"/>
                <w:numId w:val="0"/>
              </w:numPr>
              <w:pBdr/>
              <w:spacing w:after="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+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</w:tbl>
    <w:p>
      <w:pPr>
        <w:pStyle w:val="988"/>
        <w:numPr>
          <w:ilvl w:val="0"/>
          <w:numId w:val="0"/>
        </w:numPr>
        <w:pBdr/>
        <w:spacing w:after="0"/>
        <w:ind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b/>
          <w:bCs/>
          <w:sz w:val="24"/>
          <w:szCs w:val="24"/>
        </w:rPr>
        <w:br w:type="page" w:clear="all"/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90"/>
        <w:pBdr/>
        <w:spacing w:after="440" w:afterAutospacing="0" w:beforeAutospacing="0" w:line="276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2.2.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Анализ потребителей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/>
      <w:bookmarkStart w:id="106" w:name="_Toc216035914"/>
      <w:r/>
      <w:bookmarkStart w:id="107" w:name="_Toc216035970"/>
      <w:r>
        <w:rPr>
          <w:rFonts w:ascii="Times New Roman" w:hAnsi="Times New Roman" w:cs="Times New Roman"/>
          <w:sz w:val="24"/>
          <w:szCs w:val="24"/>
        </w:rPr>
        <w:t xml:space="preserve">Анализ категорий конечных потребителей, в данном случае, инвесторов (физических и юридических лиц) представлены в виде таблицы (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REF _Ref216020727 \h </w:instrText>
      </w:r>
      <w:r>
        <w:rPr>
          <w:rFonts w:ascii="Times New Roman" w:hAnsi="Times New Roman" w:cs="Times New Roman"/>
          <w:sz w:val="24"/>
          <w:szCs w:val="24"/>
        </w:rPr>
        <w:instrText xml:space="preserve"> \* MERGEFORMAT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Таб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л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ица 3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).</w:t>
      </w:r>
      <w:bookmarkEnd w:id="106"/>
      <w:r/>
      <w:bookmarkEnd w:id="107"/>
      <w:r/>
      <w:r>
        <w:rPr>
          <w:rFonts w:ascii="Times New Roman" w:hAnsi="Times New Roman" w:cs="Times New Roman"/>
          <w:sz w:val="24"/>
          <w:szCs w:val="24"/>
        </w:rPr>
      </w:r>
    </w:p>
    <w:p>
      <w:pPr>
        <w:pStyle w:val="978"/>
        <w:keepNext w:val="true"/>
        <w:pBdr/>
        <w:spacing w:after="0" w:line="276" w:lineRule="auto"/>
        <w:ind/>
        <w:jc w:val="both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/>
      <w:bookmarkStart w:id="108" w:name="_Ref216020727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3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Портрет потребителя</w:t>
      </w:r>
      <w:bookmarkEnd w:id="108"/>
      <w:r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r>
    </w:p>
    <w:tbl>
      <w:tblPr>
        <w:tblStyle w:val="965"/>
        <w:tblW w:w="0" w:type="auto"/>
        <w:tblBorders/>
        <w:tblLook w:val="04A0" w:firstRow="1" w:lastRow="0" w:firstColumn="1" w:lastColumn="0" w:noHBand="0" w:noVBand="1"/>
      </w:tblPr>
      <w:tblGrid>
        <w:gridCol w:w="4672"/>
        <w:gridCol w:w="4672"/>
      </w:tblGrid>
      <w:tr>
        <w:trPr/>
        <w:tc>
          <w:tcPr>
            <w:tcBorders/>
            <w:tcW w:w="4672" w:type="dxa"/>
            <w:textDirection w:val="lrTb"/>
            <w:noWrap w:val="false"/>
          </w:tcPr>
          <w:p>
            <w:pPr>
              <w:pStyle w:val="986"/>
              <w:pBdr/>
              <w:spacing/>
              <w:ind/>
              <w:rPr/>
            </w:pPr>
            <w:r/>
            <w:bookmarkStart w:id="109" w:name="_Toc216035971"/>
            <w:r>
              <w:t xml:space="preserve">Критерий</w:t>
            </w:r>
            <w:bookmarkEnd w:id="109"/>
            <w:r/>
            <w:r/>
          </w:p>
        </w:tc>
        <w:tc>
          <w:tcPr>
            <w:tcBorders/>
            <w:tcW w:w="4672" w:type="dxa"/>
            <w:textDirection w:val="lrTb"/>
            <w:noWrap w:val="false"/>
          </w:tcPr>
          <w:p>
            <w:pPr>
              <w:pStyle w:val="986"/>
              <w:pBdr/>
              <w:spacing/>
              <w:ind/>
              <w:rPr/>
            </w:pPr>
            <w:r/>
            <w:bookmarkStart w:id="110" w:name="_Toc216035972"/>
            <w:r>
              <w:t xml:space="preserve">Характеристики</w:t>
            </w:r>
            <w:bookmarkEnd w:id="110"/>
            <w:r/>
            <w:r/>
          </w:p>
        </w:tc>
      </w:tr>
      <w:tr>
        <w:trPr/>
        <w:tc>
          <w:tcPr>
            <w:gridSpan w:val="2"/>
            <w:tcBorders/>
            <w:tcW w:w="9344" w:type="dxa"/>
            <w:textDirection w:val="lrTb"/>
            <w:noWrap w:val="false"/>
          </w:tcPr>
          <w:p>
            <w:pPr>
              <w:pStyle w:val="986"/>
              <w:pBdr/>
              <w:spacing/>
              <w:ind/>
              <w:rPr>
                <w:b/>
                <w:bCs/>
              </w:rPr>
            </w:pPr>
            <w:r/>
            <w:bookmarkStart w:id="111" w:name="_Toc216035973"/>
            <w:r>
              <w:rPr>
                <w:b/>
                <w:bCs/>
              </w:rPr>
              <w:t xml:space="preserve">А) Физическое лицо</w:t>
            </w:r>
            <w:bookmarkEnd w:id="111"/>
            <w:r/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4672" w:type="dxa"/>
            <w:textDirection w:val="lrTb"/>
            <w:noWrap w:val="false"/>
          </w:tcPr>
          <w:p>
            <w:pPr>
              <w:pStyle w:val="986"/>
              <w:pBdr/>
              <w:spacing/>
              <w:ind/>
              <w:rPr/>
            </w:pPr>
            <w:r/>
            <w:bookmarkStart w:id="112" w:name="_Toc216035974"/>
            <w:r>
              <w:t xml:space="preserve">Демографический</w:t>
            </w:r>
            <w:bookmarkEnd w:id="112"/>
            <w:r/>
            <w:r/>
          </w:p>
        </w:tc>
        <w:tc>
          <w:tcPr>
            <w:tcBorders/>
            <w:tcW w:w="4672" w:type="dxa"/>
            <w:textDirection w:val="lrTb"/>
            <w:noWrap w:val="false"/>
          </w:tcPr>
          <w:p>
            <w:pPr>
              <w:pStyle w:val="986"/>
              <w:pBdr/>
              <w:spacing/>
              <w:ind/>
              <w:rPr/>
            </w:pPr>
            <w:r/>
            <w:bookmarkStart w:id="113" w:name="_Toc216035975"/>
            <w:r>
              <w:t xml:space="preserve">Женщины и мужчины (45% и 55% соответственно [</w:t>
            </w:r>
            <w:r>
              <w:fldChar w:fldCharType="begin"/>
            </w:r>
            <w:r>
              <w:instrText xml:space="preserve"> REF _Ref216038685 \n \h </w:instrText>
            </w:r>
            <w:r>
              <w:instrText xml:space="preserve"> \* MERGEFORMAT </w:instrText>
            </w:r>
            <w:r>
              <w:fldChar w:fldCharType="separate"/>
            </w:r>
            <w:r>
              <w:t xml:space="preserve">10</w:t>
            </w:r>
            <w:r>
              <w:fldChar w:fldCharType="end"/>
            </w:r>
            <w:r>
              <w:t xml:space="preserve">]) возрастом от 20 до 45 лет [</w:t>
            </w:r>
            <w:r>
              <w:fldChar w:fldCharType="begin"/>
            </w:r>
            <w:r>
              <w:instrText xml:space="preserve"> REF _Ref216038692 \n \h </w:instrText>
            </w:r>
            <w:r>
              <w:instrText xml:space="preserve"> \* MERGEFORMAT </w:instrText>
            </w:r>
            <w:r>
              <w:fldChar w:fldCharType="separate"/>
            </w:r>
            <w:r>
              <w:t xml:space="preserve">11</w:t>
            </w:r>
            <w:r>
              <w:fldChar w:fldCharType="end"/>
            </w:r>
            <w:r>
              <w:t xml:space="preserve">]</w:t>
            </w:r>
            <w:bookmarkEnd w:id="113"/>
            <w:r/>
            <w:r/>
          </w:p>
        </w:tc>
      </w:tr>
      <w:tr>
        <w:trPr/>
        <w:tc>
          <w:tcPr>
            <w:tcBorders/>
            <w:tcW w:w="4672" w:type="dxa"/>
            <w:textDirection w:val="lrTb"/>
            <w:noWrap w:val="false"/>
          </w:tcPr>
          <w:p>
            <w:pPr>
              <w:pStyle w:val="986"/>
              <w:pBdr/>
              <w:spacing/>
              <w:ind/>
              <w:rPr/>
            </w:pPr>
            <w:r/>
            <w:bookmarkStart w:id="114" w:name="_Toc216035976"/>
            <w:r>
              <w:t xml:space="preserve">Географический</w:t>
            </w:r>
            <w:bookmarkEnd w:id="114"/>
            <w:r/>
            <w:r/>
          </w:p>
        </w:tc>
        <w:tc>
          <w:tcPr>
            <w:tcBorders/>
            <w:tcW w:w="4672" w:type="dxa"/>
            <w:textDirection w:val="lrTb"/>
            <w:noWrap w:val="false"/>
          </w:tcPr>
          <w:p>
            <w:pPr>
              <w:pStyle w:val="986"/>
              <w:pBdr/>
              <w:spacing/>
              <w:ind/>
              <w:rPr/>
            </w:pPr>
            <w:r/>
            <w:bookmarkStart w:id="115" w:name="_Toc216035977"/>
            <w:r>
              <w:t xml:space="preserve">Инвесторы являются резидентами России, так как рынок ЦФА регулируется российским законодательством</w:t>
            </w:r>
            <w:bookmarkEnd w:id="115"/>
            <w:r/>
            <w:r/>
          </w:p>
        </w:tc>
      </w:tr>
      <w:tr>
        <w:trPr/>
        <w:tc>
          <w:tcPr>
            <w:tcBorders/>
            <w:tcW w:w="4672" w:type="dxa"/>
            <w:textDirection w:val="lrTb"/>
            <w:noWrap w:val="false"/>
          </w:tcPr>
          <w:p>
            <w:pPr>
              <w:pStyle w:val="986"/>
              <w:pBdr/>
              <w:spacing/>
              <w:ind/>
              <w:rPr/>
            </w:pPr>
            <w:r/>
            <w:bookmarkStart w:id="116" w:name="_Toc216035978"/>
            <w:r>
              <w:t xml:space="preserve">Экономический</w:t>
            </w:r>
            <w:bookmarkEnd w:id="116"/>
            <w:r/>
            <w:r/>
          </w:p>
        </w:tc>
        <w:tc>
          <w:tcPr>
            <w:tcBorders/>
            <w:tcW w:w="4672" w:type="dxa"/>
            <w:textDirection w:val="lrTb"/>
            <w:noWrap w:val="false"/>
          </w:tcPr>
          <w:p>
            <w:pPr>
              <w:pStyle w:val="986"/>
              <w:pBdr/>
              <w:spacing/>
              <w:ind/>
              <w:rPr/>
            </w:pPr>
            <w:r/>
            <w:bookmarkStart w:id="117" w:name="_Toc216035979"/>
            <w:r>
              <w:t xml:space="preserve">Доля физлиц без статуса квалифицированного инвестора среди обладателей ЦФА по-прежнему остается преобладающей, но постепенно снижается: если в первом квартале 2025 года на них приходилось 92%, то во втором уже 91% [</w:t>
            </w:r>
            <w:r>
              <w:fldChar w:fldCharType="begin"/>
            </w:r>
            <w:r>
              <w:instrText xml:space="preserve"> REF _Ref216038704 \n \h </w:instrText>
            </w:r>
            <w:r>
              <w:instrText xml:space="preserve"> \* MERGEFORMAT </w:instrText>
            </w:r>
            <w:r>
              <w:fldChar w:fldCharType="separate"/>
            </w:r>
            <w:r>
              <w:t xml:space="preserve">12</w:t>
            </w:r>
            <w:r>
              <w:fldChar w:fldCharType="end"/>
            </w:r>
            <w:r>
              <w:t xml:space="preserve">], доход выше среднего, в основном имеют квалификацию</w:t>
            </w:r>
            <w:bookmarkEnd w:id="117"/>
            <w:r/>
            <w:r/>
          </w:p>
        </w:tc>
      </w:tr>
      <w:tr>
        <w:trPr/>
        <w:tc>
          <w:tcPr>
            <w:tcBorders/>
            <w:tcW w:w="4672" w:type="dxa"/>
            <w:textDirection w:val="lrTb"/>
            <w:noWrap w:val="false"/>
          </w:tcPr>
          <w:p>
            <w:pPr>
              <w:pStyle w:val="986"/>
              <w:pBdr/>
              <w:spacing/>
              <w:ind/>
              <w:rPr/>
            </w:pPr>
            <w:r/>
            <w:bookmarkStart w:id="118" w:name="_Toc216035980"/>
            <w:r>
              <w:t xml:space="preserve">Поведенческий</w:t>
            </w:r>
            <w:bookmarkEnd w:id="118"/>
            <w:r/>
            <w:r/>
          </w:p>
        </w:tc>
        <w:tc>
          <w:tcPr>
            <w:tcBorders/>
            <w:tcW w:w="4672" w:type="dxa"/>
            <w:textDirection w:val="lrTb"/>
            <w:noWrap w:val="false"/>
          </w:tcPr>
          <w:p>
            <w:pPr>
              <w:pStyle w:val="986"/>
              <w:pBdr/>
              <w:spacing/>
              <w:ind/>
              <w:rPr/>
            </w:pPr>
            <w:r/>
            <w:bookmarkStart w:id="119" w:name="_Toc216035981"/>
            <w:r>
              <w:t xml:space="preserve">Приобретают ЦФА как средство диверсификации и получения дохода, инвестируют в основном в долгосрочные активы (источник на телефоне, файл – </w:t>
            </w:r>
            <w:r>
              <w:rPr>
                <w:lang w:val="en-US"/>
              </w:rPr>
              <w:t xml:space="preserve">ORFR</w:t>
            </w:r>
            <w:r>
              <w:t xml:space="preserve">_2025-7), </w:t>
            </w:r>
            <w:r>
              <w:rPr>
                <w:lang w:val="en-US"/>
              </w:rPr>
              <w:t xml:space="preserve">b</w:t>
            </w:r>
            <w:r>
              <w:t xml:space="preserve">2</w:t>
            </w:r>
            <w:r>
              <w:rPr>
                <w:lang w:val="en-US"/>
              </w:rPr>
              <w:t xml:space="preserve">b</w:t>
            </w:r>
            <w:r>
              <w:t xml:space="preserve"> финансирование, ЦФА со структурным доходом [</w:t>
            </w:r>
            <w:r>
              <w:fldChar w:fldCharType="begin"/>
            </w:r>
            <w:r>
              <w:instrText xml:space="preserve"> REF _Ref216038711 \n \h </w:instrText>
            </w:r>
            <w:r>
              <w:instrText xml:space="preserve"> \* MERGEFORMAT </w:instrText>
            </w:r>
            <w:r>
              <w:fldChar w:fldCharType="separate"/>
            </w:r>
            <w:r>
              <w:t xml:space="preserve">13</w:t>
            </w:r>
            <w:r>
              <w:fldChar w:fldCharType="end"/>
            </w:r>
            <w:r>
              <w:t xml:space="preserve">]</w:t>
            </w:r>
            <w:bookmarkEnd w:id="119"/>
            <w:r/>
            <w:r/>
          </w:p>
        </w:tc>
      </w:tr>
      <w:tr>
        <w:trPr/>
        <w:tc>
          <w:tcPr>
            <w:gridSpan w:val="2"/>
            <w:tcBorders/>
            <w:tcW w:w="9344" w:type="dxa"/>
            <w:textDirection w:val="lrTb"/>
            <w:noWrap w:val="false"/>
          </w:tcPr>
          <w:p>
            <w:pPr>
              <w:pStyle w:val="986"/>
              <w:pBdr/>
              <w:spacing/>
              <w:ind/>
              <w:rPr>
                <w:b/>
                <w:bCs/>
              </w:rPr>
            </w:pPr>
            <w:r/>
            <w:bookmarkStart w:id="120" w:name="_Toc216035982"/>
            <w:r>
              <w:rPr>
                <w:b/>
                <w:bCs/>
              </w:rPr>
              <w:t xml:space="preserve">Б) Юридическое лицо</w:t>
            </w:r>
            <w:bookmarkEnd w:id="120"/>
            <w:r/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4672" w:type="dxa"/>
            <w:textDirection w:val="lrTb"/>
            <w:noWrap w:val="false"/>
          </w:tcPr>
          <w:p>
            <w:pPr>
              <w:pStyle w:val="986"/>
              <w:pBdr/>
              <w:spacing/>
              <w:ind/>
              <w:rPr/>
            </w:pPr>
            <w:r/>
            <w:bookmarkStart w:id="121" w:name="_Toc216035983"/>
            <w:r>
              <w:t xml:space="preserve">Экономический</w:t>
            </w:r>
            <w:bookmarkEnd w:id="121"/>
            <w:r/>
            <w:r/>
          </w:p>
        </w:tc>
        <w:tc>
          <w:tcPr>
            <w:tcBorders/>
            <w:tcW w:w="4672" w:type="dxa"/>
            <w:textDirection w:val="lrTb"/>
            <w:noWrap w:val="false"/>
          </w:tcPr>
          <w:p>
            <w:pPr>
              <w:pStyle w:val="986"/>
              <w:pBdr/>
              <w:spacing/>
              <w:ind/>
              <w:rPr/>
            </w:pPr>
            <w:r/>
            <w:bookmarkStart w:id="122" w:name="_Toc216035984"/>
            <w:r>
              <w:t xml:space="preserve">Представители малого и среднего бизнеса, использующие ЦФА как </w:t>
            </w:r>
            <w:r>
              <w:rPr>
                <w:spacing w:val="1"/>
              </w:rPr>
              <w:t xml:space="preserve">инструмент привлечения финансирования и диверсификации капитала</w:t>
            </w:r>
            <w:r>
              <w:t xml:space="preserve">, в основном не обладающие квалификацией (источник на телефоне, файл – </w:t>
            </w:r>
            <w:r>
              <w:rPr>
                <w:lang w:val="en-US"/>
              </w:rPr>
              <w:t xml:space="preserve">ORFR</w:t>
            </w:r>
            <w:r>
              <w:t xml:space="preserve">_2025-7), средний объем инвестиций – от 60 до 150 млн.</w:t>
            </w:r>
            <w:bookmarkEnd w:id="122"/>
            <w:r/>
            <w:r/>
          </w:p>
        </w:tc>
      </w:tr>
      <w:tr>
        <w:trPr/>
        <w:tc>
          <w:tcPr>
            <w:tcBorders/>
            <w:tcW w:w="4672" w:type="dxa"/>
            <w:textDirection w:val="lrTb"/>
            <w:noWrap w:val="false"/>
          </w:tcPr>
          <w:p>
            <w:pPr>
              <w:pStyle w:val="986"/>
              <w:pBdr/>
              <w:spacing/>
              <w:ind/>
              <w:rPr/>
            </w:pPr>
            <w:r/>
            <w:bookmarkStart w:id="123" w:name="_Toc216035985"/>
            <w:r>
              <w:t xml:space="preserve">Географический</w:t>
            </w:r>
            <w:bookmarkEnd w:id="123"/>
            <w:r/>
            <w:r/>
          </w:p>
        </w:tc>
        <w:tc>
          <w:tcPr>
            <w:tcBorders/>
            <w:tcW w:w="4672" w:type="dxa"/>
            <w:textDirection w:val="lrTb"/>
            <w:noWrap w:val="false"/>
          </w:tcPr>
          <w:p>
            <w:pPr>
              <w:pStyle w:val="986"/>
              <w:pBdr/>
              <w:spacing/>
              <w:ind/>
              <w:rPr/>
            </w:pPr>
            <w:r/>
            <w:bookmarkStart w:id="124" w:name="_Toc216035986"/>
            <w:r>
              <w:t xml:space="preserve">Инвесторы являются резидентами России, так как рынок ЦФА регулируется российским законодательством</w:t>
            </w:r>
            <w:bookmarkEnd w:id="124"/>
            <w:r/>
            <w:r/>
          </w:p>
        </w:tc>
      </w:tr>
    </w:tbl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/>
      <w:bookmarkStart w:id="125" w:name="_Toc216035915"/>
      <w:r/>
      <w:bookmarkStart w:id="126" w:name="_Toc216035987"/>
      <w:r/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790"/>
        <w:pBdr/>
        <w:spacing w:after="440" w:afterAutospacing="0" w:before="10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2.3.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Customer Development</w:t>
      </w:r>
      <w:bookmarkEnd w:id="125"/>
      <w:r/>
      <w:bookmarkEnd w:id="126"/>
      <w:r/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/>
      <w:bookmarkStart w:id="127" w:name="_Toc216035916"/>
      <w:r/>
      <w:bookmarkStart w:id="128" w:name="_Toc216035988"/>
      <w:r>
        <w:rPr>
          <w:rFonts w:ascii="Times New Roman" w:hAnsi="Times New Roman" w:cs="Times New Roman"/>
          <w:sz w:val="24"/>
          <w:szCs w:val="24"/>
        </w:rPr>
        <w:t xml:space="preserve">В ходе исследования рынка ЦФА был</w:t>
      </w:r>
      <w:r>
        <w:rPr>
          <w:rFonts w:ascii="Times New Roman" w:hAnsi="Times New Roman" w:cs="Times New Roman"/>
          <w:sz w:val="24"/>
          <w:szCs w:val="24"/>
        </w:rPr>
        <w:t xml:space="preserve">и выявлены ключевые проблемы, с которыми сталкиваются инвесторы. Для их подтверждения был проведен опрос среди действующих инвесторов (физических лиц). В таблице ниже представлены сформулированные гипотезы, методы их проверки, полученные метрики и выводы (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REF _Ref216021065 \h </w:instrText>
      </w:r>
      <w:r>
        <w:rPr>
          <w:rFonts w:ascii="Times New Roman" w:hAnsi="Times New Roman" w:cs="Times New Roman"/>
          <w:sz w:val="24"/>
          <w:szCs w:val="24"/>
        </w:rPr>
        <w:instrText xml:space="preserve"> \* MERGEFORMAT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Таблица 4. Проверка гипотез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).</w:t>
      </w:r>
      <w:bookmarkEnd w:id="127"/>
      <w:r/>
      <w:bookmarkEnd w:id="128"/>
      <w:r/>
      <w:r>
        <w:rPr>
          <w:rFonts w:ascii="Times New Roman" w:hAnsi="Times New Roman" w:cs="Times New Roman"/>
          <w:sz w:val="24"/>
          <w:szCs w:val="24"/>
        </w:rPr>
      </w:r>
    </w:p>
    <w:p>
      <w:pPr>
        <w:pStyle w:val="978"/>
        <w:keepNext w:val="true"/>
        <w:pBdr/>
        <w:spacing w:after="0" w:line="276" w:lineRule="auto"/>
        <w:ind/>
        <w:jc w:val="both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/>
      <w:bookmarkStart w:id="129" w:name="_Ref216021065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4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Проверка гипотез</w:t>
      </w:r>
      <w:bookmarkEnd w:id="129"/>
      <w:r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r>
    </w:p>
    <w:tbl>
      <w:tblPr>
        <w:tblStyle w:val="965"/>
        <w:tblW w:w="9200" w:type="dxa"/>
        <w:tblInd w:w="-5" w:type="dxa"/>
        <w:tblBorders/>
        <w:tblLook w:val="04A0" w:firstRow="1" w:lastRow="0" w:firstColumn="1" w:lastColumn="0" w:noHBand="0" w:noVBand="1"/>
      </w:tblPr>
      <w:tblGrid>
        <w:gridCol w:w="2279"/>
        <w:gridCol w:w="2259"/>
        <w:gridCol w:w="2370"/>
        <w:gridCol w:w="2292"/>
      </w:tblGrid>
      <w:tr>
        <w:trPr>
          <w:trHeight w:val="647"/>
        </w:trPr>
        <w:tc>
          <w:tcPr>
            <w:tcBorders/>
            <w:tcW w:w="1956" w:type="dxa"/>
            <w:textDirection w:val="lrTb"/>
            <w:noWrap w:val="false"/>
          </w:tcPr>
          <w:p>
            <w:pPr>
              <w:pStyle w:val="975"/>
              <w:numPr>
                <w:ilvl w:val="0"/>
                <w:numId w:val="0"/>
              </w:numPr>
              <w:pBdr/>
              <w:spacing w:after="0"/>
              <w:ind/>
              <w:jc w:val="both"/>
              <w:rPr>
                <w:b w:val="0"/>
                <w:bCs w:val="0"/>
                <w:sz w:val="24"/>
                <w:szCs w:val="24"/>
              </w:rPr>
            </w:pPr>
            <w:r/>
            <w:bookmarkStart w:id="130" w:name="_Toc216035989"/>
            <w:r>
              <w:rPr>
                <w:b w:val="0"/>
                <w:bCs w:val="0"/>
                <w:sz w:val="24"/>
                <w:szCs w:val="24"/>
              </w:rPr>
              <w:t xml:space="preserve">Гипотеза</w:t>
            </w:r>
            <w:bookmarkEnd w:id="130"/>
            <w:r/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510" w:type="dxa"/>
            <w:textDirection w:val="lrTb"/>
            <w:noWrap w:val="false"/>
          </w:tcPr>
          <w:p>
            <w:pPr>
              <w:pStyle w:val="975"/>
              <w:numPr>
                <w:ilvl w:val="0"/>
                <w:numId w:val="0"/>
              </w:numPr>
              <w:pBdr/>
              <w:spacing w:after="0"/>
              <w:ind/>
              <w:jc w:val="both"/>
              <w:rPr>
                <w:b w:val="0"/>
                <w:bCs w:val="0"/>
                <w:sz w:val="24"/>
                <w:szCs w:val="24"/>
              </w:rPr>
            </w:pPr>
            <w:r/>
            <w:bookmarkStart w:id="131" w:name="_Toc216035990"/>
            <w:r>
              <w:rPr>
                <w:b w:val="0"/>
                <w:bCs w:val="0"/>
                <w:sz w:val="24"/>
                <w:szCs w:val="24"/>
              </w:rPr>
              <w:t xml:space="preserve">Действие для проверки</w:t>
            </w:r>
            <w:bookmarkEnd w:id="131"/>
            <w:r/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442" w:type="dxa"/>
            <w:textDirection w:val="lrTb"/>
            <w:noWrap w:val="false"/>
          </w:tcPr>
          <w:p>
            <w:pPr>
              <w:pStyle w:val="975"/>
              <w:numPr>
                <w:ilvl w:val="0"/>
                <w:numId w:val="0"/>
              </w:numPr>
              <w:pBdr/>
              <w:spacing w:after="0"/>
              <w:ind/>
              <w:jc w:val="both"/>
              <w:rPr>
                <w:b w:val="0"/>
                <w:bCs w:val="0"/>
                <w:sz w:val="24"/>
                <w:szCs w:val="24"/>
              </w:rPr>
            </w:pPr>
            <w:r/>
            <w:bookmarkStart w:id="132" w:name="_Toc216035991"/>
            <w:r>
              <w:rPr>
                <w:b w:val="0"/>
                <w:bCs w:val="0"/>
                <w:sz w:val="24"/>
                <w:szCs w:val="24"/>
              </w:rPr>
              <w:t xml:space="preserve">Метрика результата</w:t>
            </w:r>
            <w:bookmarkEnd w:id="132"/>
            <w:r/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292" w:type="dxa"/>
            <w:textDirection w:val="lrTb"/>
            <w:noWrap w:val="false"/>
          </w:tcPr>
          <w:p>
            <w:pPr>
              <w:pStyle w:val="975"/>
              <w:numPr>
                <w:ilvl w:val="0"/>
                <w:numId w:val="0"/>
              </w:numPr>
              <w:pBdr/>
              <w:spacing w:after="0"/>
              <w:ind/>
              <w:jc w:val="both"/>
              <w:rPr>
                <w:b w:val="0"/>
                <w:bCs w:val="0"/>
                <w:sz w:val="24"/>
                <w:szCs w:val="24"/>
              </w:rPr>
            </w:pPr>
            <w:r/>
            <w:bookmarkStart w:id="133" w:name="_Toc216035992"/>
            <w:r>
              <w:rPr>
                <w:b w:val="0"/>
                <w:bCs w:val="0"/>
                <w:sz w:val="24"/>
                <w:szCs w:val="24"/>
              </w:rPr>
              <w:t xml:space="preserve">Вывод</w:t>
            </w:r>
            <w:bookmarkEnd w:id="133"/>
            <w:r/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>
          <w:trHeight w:val="3200"/>
        </w:trPr>
        <w:tc>
          <w:tcPr>
            <w:tcBorders/>
            <w:tcW w:w="1956" w:type="dxa"/>
            <w:textDirection w:val="lrTb"/>
            <w:noWrap w:val="false"/>
          </w:tcPr>
          <w:p>
            <w:pPr>
              <w:pStyle w:val="975"/>
              <w:numPr>
                <w:ilvl w:val="0"/>
                <w:numId w:val="0"/>
              </w:numPr>
              <w:pBdr/>
              <w:spacing w:after="0"/>
              <w:ind w:right="186"/>
              <w:jc w:val="both"/>
              <w:rPr>
                <w:b w:val="0"/>
                <w:bCs w:val="0"/>
                <w:sz w:val="24"/>
                <w:szCs w:val="24"/>
              </w:rPr>
            </w:pPr>
            <w:r/>
            <w:bookmarkStart w:id="134" w:name="_Toc216035993"/>
            <w:r>
              <w:rPr>
                <w:b w:val="0"/>
                <w:bCs w:val="0"/>
                <w:sz w:val="24"/>
                <w:szCs w:val="24"/>
              </w:rPr>
              <w:t xml:space="preserve">Неудобно управлять инвестиционным портфелем </w:t>
            </w:r>
            <w:r>
              <w:rPr>
                <w:b w:val="0"/>
                <w:bCs w:val="0"/>
                <w:sz w:val="24"/>
                <w:szCs w:val="24"/>
              </w:rPr>
            </w:r>
          </w:p>
          <w:p>
            <w:pPr>
              <w:pStyle w:val="975"/>
              <w:numPr>
                <w:ilvl w:val="0"/>
                <w:numId w:val="0"/>
              </w:numPr>
              <w:pBdr/>
              <w:spacing w:after="0"/>
              <w:ind w:right="186"/>
              <w:jc w:val="both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через несколько личных кабинетов</w:t>
            </w:r>
            <w:bookmarkEnd w:id="134"/>
            <w:r/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510" w:type="dxa"/>
            <w:textDirection w:val="lrTb"/>
            <w:noWrap w:val="false"/>
          </w:tcPr>
          <w:p>
            <w:pPr>
              <w:pStyle w:val="975"/>
              <w:numPr>
                <w:ilvl w:val="0"/>
                <w:numId w:val="0"/>
              </w:numPr>
              <w:pBdr/>
              <w:spacing w:after="0"/>
              <w:ind/>
              <w:jc w:val="both"/>
              <w:rPr>
                <w:b w:val="0"/>
                <w:bCs w:val="0"/>
                <w:sz w:val="24"/>
                <w:szCs w:val="24"/>
              </w:rPr>
            </w:pPr>
            <w:r/>
            <w:bookmarkStart w:id="135" w:name="_Toc216035994"/>
            <w:r>
              <w:rPr>
                <w:b w:val="0"/>
                <w:bCs w:val="0"/>
                <w:sz w:val="24"/>
                <w:szCs w:val="24"/>
              </w:rPr>
              <w:t xml:space="preserve">На скольких платформах Вы зарегистрированы? В какое количество компаний вы инвестируете?</w:t>
            </w:r>
            <w:bookmarkEnd w:id="135"/>
            <w:r>
              <w:rPr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442" w:type="dxa"/>
            <w:textDirection w:val="lrTb"/>
            <w:noWrap w:val="false"/>
          </w:tcPr>
          <w:p>
            <w:pPr>
              <w:pStyle w:val="975"/>
              <w:numPr>
                <w:ilvl w:val="0"/>
                <w:numId w:val="0"/>
              </w:numPr>
              <w:pBdr/>
              <w:spacing w:after="0"/>
              <w:ind/>
              <w:jc w:val="both"/>
              <w:rPr>
                <w:b w:val="0"/>
                <w:bCs w:val="0"/>
                <w:sz w:val="24"/>
                <w:szCs w:val="24"/>
              </w:rPr>
            </w:pPr>
            <w:r/>
            <w:bookmarkStart w:id="136" w:name="_Toc216035995"/>
            <w:r>
              <w:rPr>
                <w:b w:val="0"/>
                <w:bCs w:val="0"/>
                <w:sz w:val="24"/>
                <w:szCs w:val="24"/>
              </w:rPr>
              <w:t xml:space="preserve">80% опрошенных зарегистрированы на 4-5 платформах, 64% испытывают неудобства из-за отсутствия общей картины по </w:t>
            </w:r>
            <w:r>
              <w:rPr>
                <w:b w:val="0"/>
                <w:bCs w:val="0"/>
                <w:sz w:val="24"/>
                <w:szCs w:val="24"/>
              </w:rPr>
              <w:t xml:space="preserve">портфе-лю</w:t>
            </w:r>
            <w:r>
              <w:rPr>
                <w:b w:val="0"/>
                <w:bCs w:val="0"/>
                <w:sz w:val="24"/>
                <w:szCs w:val="24"/>
              </w:rPr>
              <w:t xml:space="preserve">, поскольку </w:t>
            </w:r>
            <w:r>
              <w:rPr>
                <w:b w:val="0"/>
                <w:bCs w:val="0"/>
                <w:sz w:val="24"/>
                <w:szCs w:val="24"/>
              </w:rPr>
              <w:t xml:space="preserve">ин-</w:t>
            </w:r>
            <w:r>
              <w:rPr>
                <w:b w:val="0"/>
                <w:bCs w:val="0"/>
                <w:sz w:val="24"/>
                <w:szCs w:val="24"/>
              </w:rPr>
              <w:t xml:space="preserve">вестируют</w:t>
            </w:r>
            <w:r>
              <w:rPr>
                <w:b w:val="0"/>
                <w:bCs w:val="0"/>
                <w:sz w:val="24"/>
                <w:szCs w:val="24"/>
              </w:rPr>
              <w:t xml:space="preserve"> в среднем в 3-4 компании</w:t>
            </w:r>
            <w:bookmarkEnd w:id="136"/>
            <w:r>
              <w:rPr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292" w:type="dxa"/>
            <w:textDirection w:val="lrTb"/>
            <w:noWrap w:val="false"/>
          </w:tcPr>
          <w:p>
            <w:pPr>
              <w:pStyle w:val="975"/>
              <w:numPr>
                <w:ilvl w:val="0"/>
                <w:numId w:val="0"/>
              </w:numPr>
              <w:pBdr/>
              <w:spacing w:after="0"/>
              <w:ind/>
              <w:jc w:val="both"/>
              <w:rPr>
                <w:b w:val="0"/>
                <w:bCs w:val="0"/>
                <w:sz w:val="24"/>
                <w:szCs w:val="24"/>
              </w:rPr>
            </w:pPr>
            <w:r/>
            <w:bookmarkStart w:id="137" w:name="_Toc216035996"/>
            <w:r>
              <w:rPr>
                <w:b w:val="0"/>
                <w:bCs w:val="0"/>
                <w:sz w:val="24"/>
                <w:szCs w:val="24"/>
              </w:rPr>
              <w:t xml:space="preserve">Требуется платформа, агрегирующая предложения с разных площадок цифровых активов для формирования единого рынка ЦФА</w:t>
            </w:r>
            <w:bookmarkEnd w:id="137"/>
            <w:r/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956" w:type="dxa"/>
            <w:textDirection w:val="lrTb"/>
            <w:noWrap w:val="false"/>
          </w:tcPr>
          <w:p>
            <w:pPr>
              <w:pStyle w:val="975"/>
              <w:numPr>
                <w:ilvl w:val="0"/>
                <w:numId w:val="0"/>
              </w:numPr>
              <w:pBdr/>
              <w:spacing w:after="0"/>
              <w:ind/>
              <w:jc w:val="both"/>
              <w:rPr>
                <w:b w:val="0"/>
                <w:bCs w:val="0"/>
                <w:sz w:val="24"/>
                <w:szCs w:val="24"/>
              </w:rPr>
            </w:pPr>
            <w:r/>
            <w:bookmarkStart w:id="138" w:name="_Toc216035997"/>
            <w:r>
              <w:rPr>
                <w:b w:val="0"/>
                <w:bCs w:val="0"/>
                <w:sz w:val="24"/>
                <w:szCs w:val="24"/>
              </w:rPr>
              <w:t xml:space="preserve">Существует недовольство ограничениями операций на вторичном рынке</w:t>
            </w:r>
            <w:bookmarkEnd w:id="138"/>
            <w:r/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510" w:type="dxa"/>
            <w:textDirection w:val="lrTb"/>
            <w:noWrap w:val="false"/>
          </w:tcPr>
          <w:p>
            <w:pPr>
              <w:pStyle w:val="975"/>
              <w:numPr>
                <w:ilvl w:val="0"/>
                <w:numId w:val="0"/>
              </w:numPr>
              <w:pBdr/>
              <w:spacing w:after="0"/>
              <w:ind/>
              <w:jc w:val="both"/>
              <w:rPr>
                <w:b w:val="0"/>
                <w:bCs w:val="0"/>
                <w:sz w:val="24"/>
                <w:szCs w:val="24"/>
              </w:rPr>
            </w:pPr>
            <w:r/>
            <w:bookmarkStart w:id="139" w:name="_Toc216035998"/>
            <w:r>
              <w:rPr>
                <w:b w:val="0"/>
                <w:bCs w:val="0"/>
                <w:sz w:val="24"/>
                <w:szCs w:val="24"/>
              </w:rPr>
              <w:t xml:space="preserve">Как часто Вы пользуетесь инструментами вторичного рынка и почему? Совершали бы вы сделки на вторичном рынке, если бы его функционал был шире?</w:t>
            </w:r>
            <w:bookmarkEnd w:id="139"/>
            <w:r/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442" w:type="dxa"/>
            <w:textDirection w:val="lrTb"/>
            <w:noWrap w:val="false"/>
          </w:tcPr>
          <w:p>
            <w:pPr>
              <w:pStyle w:val="975"/>
              <w:numPr>
                <w:ilvl w:val="0"/>
                <w:numId w:val="0"/>
              </w:numPr>
              <w:pBdr/>
              <w:spacing w:after="0"/>
              <w:ind/>
              <w:jc w:val="both"/>
              <w:rPr>
                <w:b w:val="0"/>
                <w:bCs w:val="0"/>
                <w:sz w:val="24"/>
                <w:szCs w:val="24"/>
              </w:rPr>
            </w:pPr>
            <w:r/>
            <w:bookmarkStart w:id="140" w:name="_Toc216035999"/>
            <w:r>
              <w:rPr>
                <w:b w:val="0"/>
                <w:bCs w:val="0"/>
                <w:sz w:val="24"/>
                <w:szCs w:val="24"/>
              </w:rPr>
              <w:t xml:space="preserve">73% респондентов указывают на низкую частоту использования </w:t>
            </w:r>
            <w:r>
              <w:rPr>
                <w:b w:val="0"/>
                <w:bCs w:val="0"/>
                <w:sz w:val="24"/>
                <w:szCs w:val="24"/>
              </w:rPr>
              <w:t xml:space="preserve">вто-ричного</w:t>
            </w:r>
            <w:r>
              <w:rPr>
                <w:b w:val="0"/>
                <w:bCs w:val="0"/>
                <w:sz w:val="24"/>
                <w:szCs w:val="24"/>
              </w:rPr>
              <w:t xml:space="preserve"> рынка и связывают это с его ограниченностью. 60% имеют </w:t>
            </w:r>
            <w:r>
              <w:rPr>
                <w:b w:val="0"/>
                <w:bCs w:val="0"/>
                <w:sz w:val="24"/>
                <w:szCs w:val="24"/>
              </w:rPr>
              <w:t xml:space="preserve">потен-</w:t>
            </w:r>
            <w:r>
              <w:rPr>
                <w:b w:val="0"/>
                <w:bCs w:val="0"/>
                <w:sz w:val="24"/>
                <w:szCs w:val="24"/>
              </w:rPr>
              <w:t xml:space="preserve">циальный</w:t>
            </w:r>
            <w:r>
              <w:rPr>
                <w:b w:val="0"/>
                <w:bCs w:val="0"/>
                <w:sz w:val="24"/>
                <w:szCs w:val="24"/>
              </w:rPr>
              <w:t xml:space="preserve"> интерес к совершению вторичных сделок</w:t>
            </w:r>
            <w:bookmarkEnd w:id="140"/>
            <w:r/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292" w:type="dxa"/>
            <w:textDirection w:val="lrTb"/>
            <w:noWrap w:val="false"/>
          </w:tcPr>
          <w:p>
            <w:pPr>
              <w:pStyle w:val="975"/>
              <w:numPr>
                <w:ilvl w:val="0"/>
                <w:numId w:val="0"/>
              </w:numPr>
              <w:pBdr/>
              <w:spacing w:after="0"/>
              <w:ind/>
              <w:jc w:val="both"/>
              <w:rPr>
                <w:b w:val="0"/>
                <w:bCs w:val="0"/>
                <w:sz w:val="24"/>
                <w:szCs w:val="24"/>
              </w:rPr>
            </w:pPr>
            <w:r/>
            <w:bookmarkStart w:id="141" w:name="_Toc216036000"/>
            <w:r>
              <w:rPr>
                <w:b w:val="0"/>
                <w:bCs w:val="0"/>
                <w:sz w:val="24"/>
                <w:szCs w:val="24"/>
              </w:rPr>
              <w:t xml:space="preserve">Необходимо </w:t>
            </w:r>
            <w:r>
              <w:rPr>
                <w:b w:val="0"/>
                <w:bCs w:val="0"/>
                <w:sz w:val="24"/>
                <w:szCs w:val="24"/>
              </w:rPr>
              <w:t xml:space="preserve">соз</w:t>
            </w:r>
            <w:r>
              <w:rPr>
                <w:b w:val="0"/>
                <w:bCs w:val="0"/>
                <w:sz w:val="24"/>
                <w:szCs w:val="24"/>
              </w:rPr>
              <w:t xml:space="preserve">-дать</w:t>
            </w:r>
            <w:r>
              <w:rPr>
                <w:b w:val="0"/>
                <w:bCs w:val="0"/>
                <w:sz w:val="24"/>
                <w:szCs w:val="24"/>
              </w:rPr>
              <w:t xml:space="preserve"> сервис, представляющий вторичный рынок и расширяющий виды операций, доступных на нём</w:t>
            </w:r>
            <w:bookmarkEnd w:id="141"/>
            <w:r>
              <w:rPr>
                <w:b w:val="0"/>
                <w:bCs w:val="0"/>
                <w:sz w:val="24"/>
                <w:szCs w:val="24"/>
              </w:rPr>
              <w:t xml:space="preserve">   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956" w:type="dxa"/>
            <w:textDirection w:val="lrTb"/>
            <w:noWrap w:val="false"/>
          </w:tcPr>
          <w:p>
            <w:pPr>
              <w:pStyle w:val="975"/>
              <w:numPr>
                <w:ilvl w:val="0"/>
                <w:numId w:val="0"/>
              </w:numPr>
              <w:pBdr/>
              <w:spacing w:after="0"/>
              <w:ind/>
              <w:jc w:val="both"/>
              <w:rPr>
                <w:b w:val="0"/>
                <w:bCs w:val="0"/>
                <w:sz w:val="24"/>
                <w:szCs w:val="24"/>
              </w:rPr>
            </w:pPr>
            <w:r/>
            <w:bookmarkStart w:id="142" w:name="_Toc216036001"/>
            <w:r>
              <w:rPr>
                <w:b w:val="0"/>
                <w:bCs w:val="0"/>
                <w:sz w:val="24"/>
                <w:szCs w:val="24"/>
              </w:rPr>
              <w:t xml:space="preserve">Инвесторы хотят осуществлять межплатформенные сделки</w:t>
            </w:r>
            <w:bookmarkEnd w:id="142"/>
            <w:r/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510" w:type="dxa"/>
            <w:textDirection w:val="lrTb"/>
            <w:noWrap w:val="false"/>
          </w:tcPr>
          <w:p>
            <w:pPr>
              <w:pStyle w:val="975"/>
              <w:numPr>
                <w:ilvl w:val="0"/>
                <w:numId w:val="0"/>
              </w:numPr>
              <w:pBdr/>
              <w:spacing w:after="0"/>
              <w:ind/>
              <w:jc w:val="both"/>
              <w:rPr>
                <w:b w:val="0"/>
                <w:bCs w:val="0"/>
                <w:sz w:val="24"/>
                <w:szCs w:val="24"/>
              </w:rPr>
            </w:pPr>
            <w:r/>
            <w:bookmarkStart w:id="143" w:name="_Toc216036002"/>
            <w:r>
              <w:rPr>
                <w:b w:val="0"/>
                <w:bCs w:val="0"/>
                <w:sz w:val="24"/>
                <w:szCs w:val="24"/>
              </w:rPr>
              <w:t xml:space="preserve">Осуществляли бы вы </w:t>
            </w:r>
            <w:r>
              <w:rPr>
                <w:b w:val="0"/>
                <w:bCs w:val="0"/>
                <w:sz w:val="24"/>
                <w:szCs w:val="24"/>
              </w:rPr>
              <w:t xml:space="preserve">межплатфор-менные</w:t>
            </w:r>
            <w:r>
              <w:rPr>
                <w:b w:val="0"/>
                <w:bCs w:val="0"/>
                <w:sz w:val="24"/>
                <w:szCs w:val="24"/>
              </w:rPr>
              <w:t xml:space="preserve"> сделки, если была бы такая возможность? </w:t>
            </w:r>
            <w:r>
              <w:rPr>
                <w:b w:val="0"/>
                <w:bCs w:val="0"/>
                <w:sz w:val="24"/>
                <w:szCs w:val="24"/>
              </w:rPr>
              <w:t xml:space="preserve">Нас-</w:t>
            </w:r>
            <w:r>
              <w:rPr>
                <w:b w:val="0"/>
                <w:bCs w:val="0"/>
                <w:sz w:val="24"/>
                <w:szCs w:val="24"/>
              </w:rPr>
              <w:t xml:space="preserve">колько</w:t>
            </w:r>
            <w:r>
              <w:rPr>
                <w:b w:val="0"/>
                <w:bCs w:val="0"/>
                <w:sz w:val="24"/>
                <w:szCs w:val="24"/>
              </w:rPr>
              <w:t xml:space="preserve"> часто вы бы пользовались </w:t>
            </w:r>
            <w:r>
              <w:rPr>
                <w:b w:val="0"/>
                <w:bCs w:val="0"/>
                <w:sz w:val="24"/>
                <w:szCs w:val="24"/>
              </w:rPr>
              <w:t xml:space="preserve">функ-цией</w:t>
            </w:r>
            <w:r>
              <w:rPr>
                <w:b w:val="0"/>
                <w:bCs w:val="0"/>
                <w:sz w:val="24"/>
                <w:szCs w:val="24"/>
              </w:rPr>
              <w:t xml:space="preserve"> перевода ЦФА между разными площадками</w:t>
            </w:r>
            <w:bookmarkEnd w:id="143"/>
            <w:r>
              <w:rPr>
                <w:b w:val="0"/>
                <w:bCs w:val="0"/>
                <w:sz w:val="24"/>
                <w:szCs w:val="24"/>
              </w:rPr>
              <w:t xml:space="preserve">?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442" w:type="dxa"/>
            <w:textDirection w:val="lrTb"/>
            <w:noWrap w:val="false"/>
          </w:tcPr>
          <w:p>
            <w:pPr>
              <w:pStyle w:val="975"/>
              <w:numPr>
                <w:ilvl w:val="0"/>
                <w:numId w:val="0"/>
              </w:numPr>
              <w:pBdr/>
              <w:spacing w:after="0"/>
              <w:ind/>
              <w:jc w:val="both"/>
              <w:rPr>
                <w:b w:val="0"/>
                <w:bCs w:val="0"/>
                <w:sz w:val="24"/>
                <w:szCs w:val="24"/>
              </w:rPr>
            </w:pPr>
            <w:r/>
            <w:bookmarkStart w:id="144" w:name="_Toc216036003"/>
            <w:r>
              <w:rPr>
                <w:b w:val="0"/>
                <w:bCs w:val="0"/>
                <w:sz w:val="24"/>
                <w:szCs w:val="24"/>
              </w:rPr>
              <w:t xml:space="preserve">У 66% опрошенных выявлено положительное отношение к возможности подобных сделок и высокая готовность к использованию функции межплатформенного перевода</w:t>
            </w:r>
            <w:bookmarkEnd w:id="144"/>
            <w:r/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292" w:type="dxa"/>
            <w:textDirection w:val="lrTb"/>
            <w:noWrap w:val="false"/>
          </w:tcPr>
          <w:p>
            <w:pPr>
              <w:pStyle w:val="975"/>
              <w:numPr>
                <w:ilvl w:val="0"/>
                <w:numId w:val="0"/>
              </w:numPr>
              <w:pBdr/>
              <w:spacing w:after="0"/>
              <w:ind/>
              <w:jc w:val="both"/>
              <w:rPr>
                <w:b w:val="0"/>
                <w:bCs w:val="0"/>
                <w:sz w:val="24"/>
                <w:szCs w:val="24"/>
              </w:rPr>
            </w:pPr>
            <w:r/>
            <w:bookmarkStart w:id="145" w:name="_Toc216036004"/>
            <w:r>
              <w:rPr>
                <w:b w:val="0"/>
                <w:bCs w:val="0"/>
                <w:sz w:val="24"/>
                <w:szCs w:val="24"/>
              </w:rPr>
              <w:t xml:space="preserve">Нужен сервис, обеспечивающий технологическое взаимодействие между разными площадками ЦФА, для </w:t>
            </w:r>
            <w:r>
              <w:rPr>
                <w:b w:val="0"/>
                <w:bCs w:val="0"/>
                <w:sz w:val="24"/>
                <w:szCs w:val="24"/>
              </w:rPr>
              <w:t xml:space="preserve">предоставления  возможности</w:t>
            </w:r>
            <w:r>
              <w:rPr>
                <w:b w:val="0"/>
                <w:bCs w:val="0"/>
                <w:sz w:val="24"/>
                <w:szCs w:val="24"/>
              </w:rPr>
              <w:t xml:space="preserve"> межплатформенных сделок</w:t>
            </w:r>
            <w:bookmarkEnd w:id="145"/>
            <w:r/>
            <w:r>
              <w:rPr>
                <w:b w:val="0"/>
                <w:bCs w:val="0"/>
                <w:sz w:val="24"/>
                <w:szCs w:val="24"/>
              </w:rPr>
            </w:r>
          </w:p>
        </w:tc>
      </w:tr>
    </w:tbl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/>
      <w:bookmarkStart w:id="146" w:name="_Toc216035917"/>
      <w:r/>
      <w:bookmarkStart w:id="147" w:name="_Toc216036005"/>
      <w:r/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90"/>
        <w:pBdr/>
        <w:spacing w:after="440" w:afterAutospacing="0" w:before="100" w:line="276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2.4.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Разработка продуктовой стратегии</w:t>
      </w:r>
      <w:bookmarkEnd w:id="146"/>
      <w:r/>
      <w:bookmarkEnd w:id="147"/>
      <w:r/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/>
      <w:bookmarkStart w:id="148" w:name="_Toc216035918"/>
      <w:r/>
      <w:bookmarkStart w:id="149" w:name="_Toc216036006"/>
      <w:r>
        <w:rPr>
          <w:rFonts w:ascii="Times New Roman" w:hAnsi="Times New Roman" w:cs="Times New Roman"/>
          <w:sz w:val="24"/>
          <w:szCs w:val="24"/>
        </w:rPr>
        <w:t xml:space="preserve">SWOT-анализ проекта выполнен в формате таблицы. В таблице структурированы внутренние факторы, связанные с уникальностью предложения и операционными рисками, а также внешние факторы, определяемые динамикой рынка и регуляторной средой (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REF _Ref216027965 \h </w:instrText>
      </w:r>
      <w:r>
        <w:rPr>
          <w:rFonts w:ascii="Times New Roman" w:hAnsi="Times New Roman" w:cs="Times New Roman"/>
          <w:sz w:val="24"/>
          <w:szCs w:val="24"/>
        </w:rPr>
        <w:instrText xml:space="preserve"> \* MERGEFORMAT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Таблица 5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).</w:t>
      </w:r>
      <w:bookmarkEnd w:id="148"/>
      <w:r/>
      <w:bookmarkEnd w:id="149"/>
      <w:r/>
      <w:r>
        <w:rPr>
          <w:rFonts w:ascii="Times New Roman" w:hAnsi="Times New Roman" w:cs="Times New Roman"/>
          <w:sz w:val="24"/>
          <w:szCs w:val="24"/>
        </w:rPr>
      </w:r>
    </w:p>
    <w:p>
      <w:pPr>
        <w:pStyle w:val="978"/>
        <w:keepNext w:val="true"/>
        <w:pBdr/>
        <w:spacing w:after="0" w:line="276" w:lineRule="auto"/>
        <w:ind/>
        <w:jc w:val="both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/>
      <w:bookmarkStart w:id="150" w:name="_Ref216027965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Таблица </w:t>
      </w:r>
      <w:bookmarkEnd w:id="150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5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SWOT-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анализ сервиса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r>
    </w:p>
    <w:tbl>
      <w:tblPr>
        <w:tblStyle w:val="965"/>
        <w:tblW w:w="0" w:type="auto"/>
        <w:tblBorders/>
        <w:tblLook w:val="04A0" w:firstRow="1" w:lastRow="0" w:firstColumn="1" w:lastColumn="0" w:noHBand="0" w:noVBand="1"/>
      </w:tblPr>
      <w:tblGrid>
        <w:gridCol w:w="4928"/>
        <w:gridCol w:w="4416"/>
      </w:tblGrid>
      <w:tr>
        <w:trPr/>
        <w:tc>
          <w:tcPr>
            <w:tcBorders/>
            <w:tcW w:w="4928" w:type="dxa"/>
            <w:textDirection w:val="lrTb"/>
            <w:noWrap w:val="false"/>
          </w:tcPr>
          <w:p>
            <w:pPr>
              <w:pStyle w:val="986"/>
              <w:pBdr/>
              <w:spacing/>
              <w:ind/>
              <w:rPr>
                <w:b/>
                <w:bCs/>
              </w:rPr>
            </w:pPr>
            <w:r/>
            <w:bookmarkStart w:id="151" w:name="_Toc216036007"/>
            <w:r>
              <w:rPr>
                <w:b/>
                <w:bCs/>
              </w:rPr>
              <w:t xml:space="preserve">Сильные стороны</w:t>
            </w:r>
            <w:bookmarkEnd w:id="151"/>
            <w:r/>
            <w:r>
              <w:rPr>
                <w:b/>
                <w:bCs/>
              </w:rPr>
            </w:r>
          </w:p>
        </w:tc>
        <w:tc>
          <w:tcPr>
            <w:tcBorders/>
            <w:tcW w:w="4416" w:type="dxa"/>
            <w:textDirection w:val="lrTb"/>
            <w:noWrap w:val="false"/>
          </w:tcPr>
          <w:p>
            <w:pPr>
              <w:pStyle w:val="986"/>
              <w:pBdr/>
              <w:spacing/>
              <w:ind/>
              <w:rPr>
                <w:b/>
                <w:bCs/>
              </w:rPr>
            </w:pPr>
            <w:r/>
            <w:bookmarkStart w:id="152" w:name="_Toc216036008"/>
            <w:r>
              <w:rPr>
                <w:b/>
                <w:bCs/>
              </w:rPr>
              <w:t xml:space="preserve">Слабые стороны</w:t>
            </w:r>
            <w:bookmarkEnd w:id="152"/>
            <w:r/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4928" w:type="dxa"/>
            <w:textDirection w:val="lrTb"/>
            <w:noWrap w:val="false"/>
          </w:tcPr>
          <w:p>
            <w:pPr>
              <w:pStyle w:val="986"/>
              <w:pBdr/>
              <w:spacing/>
              <w:ind w:firstLine="709"/>
              <w:rPr/>
            </w:pPr>
            <w:r/>
            <w:bookmarkStart w:id="153" w:name="_Toc216035919"/>
            <w:r/>
            <w:bookmarkStart w:id="154" w:name="_Toc216036009"/>
            <w:r>
              <w:t xml:space="preserve">Роль единственного на рынке сервиса, представляющего вторичный рынок ЦФА и предлагающего прямое межплатформенное взаимодействие между разными операторами</w:t>
            </w:r>
            <w:bookmarkEnd w:id="153"/>
            <w:r/>
            <w:bookmarkEnd w:id="154"/>
            <w:r>
              <w:t xml:space="preserve"> </w:t>
            </w:r>
            <w:r/>
          </w:p>
          <w:p>
            <w:pPr>
              <w:pStyle w:val="986"/>
              <w:pBdr/>
              <w:spacing/>
              <w:ind w:firstLine="709"/>
              <w:rPr/>
            </w:pPr>
            <w:r/>
            <w:bookmarkStart w:id="155" w:name="_Toc216035920"/>
            <w:r/>
            <w:bookmarkStart w:id="156" w:name="_Toc216036010"/>
            <w:r>
              <w:t xml:space="preserve">Снижение входных барьеров для инвесторов</w:t>
            </w:r>
            <w:bookmarkEnd w:id="155"/>
            <w:r/>
            <w:bookmarkEnd w:id="156"/>
            <w:r/>
            <w:r/>
          </w:p>
          <w:p>
            <w:pPr>
              <w:pStyle w:val="986"/>
              <w:pBdr/>
              <w:spacing/>
              <w:ind w:firstLine="709"/>
              <w:rPr/>
            </w:pPr>
            <w:r/>
            <w:bookmarkStart w:id="157" w:name="_Toc216035921"/>
            <w:r/>
            <w:bookmarkStart w:id="158" w:name="_Toc216036011"/>
            <w:r>
              <w:t xml:space="preserve">Упрощение клиентского пути и управления портфелем </w:t>
            </w:r>
            <w:r>
              <w:t xml:space="preserve">засчет</w:t>
            </w:r>
            <w:r>
              <w:t xml:space="preserve"> единого профиля</w:t>
            </w:r>
            <w:bookmarkEnd w:id="157"/>
            <w:r/>
            <w:bookmarkEnd w:id="158"/>
            <w:r/>
            <w:r/>
          </w:p>
          <w:p>
            <w:pPr>
              <w:pStyle w:val="986"/>
              <w:pBdr/>
              <w:spacing/>
              <w:ind w:firstLine="709"/>
              <w:rPr/>
            </w:pPr>
            <w:r/>
            <w:bookmarkStart w:id="159" w:name="_Toc216035922"/>
            <w:r/>
            <w:bookmarkStart w:id="160" w:name="_Toc216036012"/>
            <w:r>
              <w:t xml:space="preserve">Сетевой эффект: привлечение каждого нового инвестора увеличивает ценность сервиса для эмитентов, и наоборот</w:t>
            </w:r>
            <w:bookmarkEnd w:id="159"/>
            <w:r/>
            <w:bookmarkEnd w:id="160"/>
            <w:r/>
            <w:r/>
          </w:p>
          <w:p>
            <w:pPr>
              <w:pStyle w:val="986"/>
              <w:pBdr/>
              <w:spacing/>
              <w:ind w:firstLine="709"/>
              <w:rPr/>
            </w:pPr>
            <w:r/>
            <w:r/>
          </w:p>
          <w:p>
            <w:pPr>
              <w:pStyle w:val="986"/>
              <w:pBdr/>
              <w:spacing/>
              <w:ind w:firstLine="709"/>
              <w:rPr/>
            </w:pPr>
            <w:r/>
            <w:r/>
          </w:p>
        </w:tc>
        <w:tc>
          <w:tcPr>
            <w:tcBorders/>
            <w:tcW w:w="4416" w:type="dxa"/>
            <w:textDirection w:val="lrTb"/>
            <w:noWrap w:val="false"/>
          </w:tcPr>
          <w:p>
            <w:pPr>
              <w:pStyle w:val="986"/>
              <w:pBdr/>
              <w:spacing/>
              <w:ind w:firstLine="709"/>
              <w:rPr/>
            </w:pPr>
            <w:r/>
            <w:bookmarkStart w:id="161" w:name="_Toc216035923"/>
            <w:r/>
            <w:bookmarkStart w:id="162" w:name="_Toc216036013"/>
            <w:r>
              <w:t xml:space="preserve">Зависимость от регулятора и ОИС - бизнес-модель напрямую зависит от законодательства о ЦФА и готовности ОИС к интеграции</w:t>
            </w:r>
            <w:bookmarkEnd w:id="161"/>
            <w:r/>
            <w:bookmarkEnd w:id="162"/>
            <w:r/>
            <w:r/>
          </w:p>
          <w:p>
            <w:pPr>
              <w:pStyle w:val="986"/>
              <w:pBdr/>
              <w:spacing/>
              <w:ind w:firstLine="709"/>
              <w:rPr/>
            </w:pPr>
            <w:r/>
            <w:bookmarkStart w:id="163" w:name="_Toc216035924"/>
            <w:r/>
            <w:bookmarkStart w:id="164" w:name="_Toc216036014"/>
            <w:r>
              <w:t xml:space="preserve">Отсутствие бренда и репутации - как новый игрок, сервис не имеет известности и доверия на рынке. Кроме того, любой срыв в работе платформы подрывает доверие всех участников экосистемы</w:t>
            </w:r>
            <w:bookmarkEnd w:id="163"/>
            <w:r/>
            <w:bookmarkEnd w:id="164"/>
            <w:r/>
            <w:r/>
          </w:p>
          <w:p>
            <w:pPr>
              <w:pStyle w:val="986"/>
              <w:pBdr/>
              <w:spacing/>
              <w:ind w:firstLine="709"/>
              <w:rPr/>
            </w:pPr>
            <w:r/>
            <w:bookmarkStart w:id="165" w:name="_Toc216035925"/>
            <w:r/>
            <w:bookmarkStart w:id="166" w:name="_Toc216036015"/>
            <w:r>
              <w:t xml:space="preserve">Высокие первоначальные затраты: Необходимы значительные инвестиции в разработку надежной и безопасной платформы</w:t>
            </w:r>
            <w:bookmarkEnd w:id="165"/>
            <w:r/>
            <w:bookmarkEnd w:id="166"/>
            <w:r/>
            <w:r/>
          </w:p>
        </w:tc>
      </w:tr>
      <w:tr>
        <w:trPr/>
        <w:tc>
          <w:tcPr>
            <w:tcBorders/>
            <w:tcW w:w="4928" w:type="dxa"/>
            <w:textDirection w:val="lrTb"/>
            <w:noWrap w:val="false"/>
          </w:tcPr>
          <w:p>
            <w:pPr>
              <w:pStyle w:val="986"/>
              <w:pBdr/>
              <w:spacing/>
              <w:ind/>
              <w:rPr>
                <w:b/>
                <w:bCs/>
              </w:rPr>
            </w:pPr>
            <w:r/>
            <w:bookmarkStart w:id="167" w:name="_Toc216036016"/>
            <w:r>
              <w:rPr>
                <w:b/>
                <w:bCs/>
              </w:rPr>
              <w:t xml:space="preserve">Возможности</w:t>
            </w:r>
            <w:bookmarkEnd w:id="167"/>
            <w:r/>
            <w:r>
              <w:rPr>
                <w:b/>
                <w:bCs/>
              </w:rPr>
            </w:r>
          </w:p>
        </w:tc>
        <w:tc>
          <w:tcPr>
            <w:tcBorders/>
            <w:tcW w:w="4416" w:type="dxa"/>
            <w:textDirection w:val="lrTb"/>
            <w:noWrap w:val="false"/>
          </w:tcPr>
          <w:p>
            <w:pPr>
              <w:pStyle w:val="986"/>
              <w:pBdr/>
              <w:spacing/>
              <w:ind/>
              <w:rPr>
                <w:b/>
                <w:bCs/>
              </w:rPr>
            </w:pPr>
            <w:r/>
            <w:bookmarkStart w:id="168" w:name="_Toc216036017"/>
            <w:r>
              <w:rPr>
                <w:b/>
                <w:bCs/>
              </w:rPr>
              <w:t xml:space="preserve">Угрозы</w:t>
            </w:r>
            <w:bookmarkEnd w:id="168"/>
            <w:r/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4928" w:type="dxa"/>
            <w:textDirection w:val="lrTb"/>
            <w:noWrap w:val="false"/>
          </w:tcPr>
          <w:p>
            <w:pPr>
              <w:pStyle w:val="986"/>
              <w:pBdr/>
              <w:spacing/>
              <w:ind/>
              <w:rPr/>
            </w:pPr>
            <w:r/>
            <w:bookmarkStart w:id="169" w:name="_Toc216035926"/>
            <w:r/>
            <w:bookmarkStart w:id="170" w:name="_Toc216036018"/>
            <w:r>
              <w:t xml:space="preserve">Рост рынка ЦФА: российский рынок цифровых активов находится на ранней стадии и демонстрирует высокий потенциал роста</w:t>
            </w:r>
            <w:bookmarkEnd w:id="169"/>
            <w:r/>
            <w:bookmarkEnd w:id="170"/>
            <w:r/>
            <w:r/>
          </w:p>
          <w:p>
            <w:pPr>
              <w:pStyle w:val="986"/>
              <w:pBdr/>
              <w:spacing/>
              <w:ind/>
              <w:rPr/>
            </w:pPr>
            <w:r/>
            <w:r/>
          </w:p>
          <w:p>
            <w:pPr>
              <w:pStyle w:val="986"/>
              <w:pBdr/>
              <w:spacing/>
              <w:ind/>
              <w:rPr/>
            </w:pPr>
            <w:r/>
            <w:bookmarkStart w:id="171" w:name="_Toc216035927"/>
            <w:r/>
            <w:bookmarkStart w:id="172" w:name="_Toc216036019"/>
            <w:r>
              <w:t xml:space="preserve">Государственная поддержка: развитие цифровых финансовых инструментов является одним из приоритетов в стратегии развития финансового рынка</w:t>
            </w:r>
            <w:bookmarkEnd w:id="171"/>
            <w:r/>
            <w:bookmarkEnd w:id="172"/>
            <w:r/>
            <w:r/>
          </w:p>
          <w:p>
            <w:pPr>
              <w:pStyle w:val="986"/>
              <w:pBdr/>
              <w:spacing/>
              <w:ind/>
              <w:rPr/>
            </w:pPr>
            <w:r/>
            <w:r/>
          </w:p>
          <w:p>
            <w:pPr>
              <w:pStyle w:val="986"/>
              <w:pBdr/>
              <w:spacing/>
              <w:ind/>
              <w:rPr/>
            </w:pPr>
            <w:r/>
            <w:bookmarkStart w:id="173" w:name="_Toc216035928"/>
            <w:r/>
            <w:bookmarkStart w:id="174" w:name="_Toc216036020"/>
            <w:r>
              <w:t xml:space="preserve">Неудовлетворенный спрос - проведенный опрос подтвердил сильную неудовлетворенность инвесторов и эмитентов текущим состоянием рынка</w:t>
            </w:r>
            <w:bookmarkEnd w:id="173"/>
            <w:r/>
            <w:bookmarkEnd w:id="174"/>
            <w:r/>
            <w:r/>
          </w:p>
          <w:p>
            <w:pPr>
              <w:pStyle w:val="986"/>
              <w:pBdr/>
              <w:spacing/>
              <w:ind/>
              <w:rPr/>
            </w:pPr>
            <w:r/>
            <w:r/>
          </w:p>
          <w:p>
            <w:pPr>
              <w:pStyle w:val="986"/>
              <w:pBdr/>
              <w:spacing/>
              <w:ind/>
              <w:rPr/>
            </w:pPr>
            <w:r/>
            <w:bookmarkStart w:id="175" w:name="_Toc216035929"/>
            <w:r/>
            <w:bookmarkStart w:id="176" w:name="_Toc216036021"/>
            <w:r>
              <w:t xml:space="preserve">Расширение функционала - возможность добавления новых услуг (например, </w:t>
            </w:r>
            <w:r>
              <w:t xml:space="preserve">токенизация</w:t>
            </w:r>
            <w:r>
              <w:t xml:space="preserve"> новых классов активов, децентрализованное финансирование - </w:t>
            </w:r>
            <w:r>
              <w:t xml:space="preserve">DeFi</w:t>
            </w:r>
            <w:r>
              <w:t xml:space="preserve">)</w:t>
            </w:r>
            <w:bookmarkEnd w:id="175"/>
            <w:r/>
            <w:bookmarkEnd w:id="176"/>
            <w:r/>
            <w:r/>
          </w:p>
        </w:tc>
        <w:tc>
          <w:tcPr>
            <w:tcBorders/>
            <w:tcW w:w="4416" w:type="dxa"/>
            <w:textDirection w:val="lrTb"/>
            <w:noWrap w:val="false"/>
          </w:tcPr>
          <w:p>
            <w:pPr>
              <w:pStyle w:val="986"/>
              <w:pBdr/>
              <w:spacing/>
              <w:ind/>
              <w:rPr/>
            </w:pPr>
            <w:r/>
            <w:bookmarkStart w:id="177" w:name="_Toc216035930"/>
            <w:r/>
            <w:bookmarkStart w:id="178" w:name="_Toc216036022"/>
            <w:r>
              <w:t xml:space="preserve">Усиление конкуренции: биржи (Московская, СБП) могут разработать аналогичные решения</w:t>
            </w:r>
            <w:bookmarkEnd w:id="177"/>
            <w:r/>
            <w:bookmarkEnd w:id="178"/>
            <w:r/>
            <w:r/>
          </w:p>
          <w:p>
            <w:pPr>
              <w:pStyle w:val="986"/>
              <w:pBdr/>
              <w:spacing/>
              <w:ind/>
              <w:rPr/>
            </w:pPr>
            <w:r/>
            <w:r/>
          </w:p>
          <w:p>
            <w:pPr>
              <w:pStyle w:val="986"/>
              <w:pBdr/>
              <w:spacing/>
              <w:ind/>
              <w:rPr/>
            </w:pPr>
            <w:r/>
            <w:bookmarkStart w:id="179" w:name="_Toc216035931"/>
            <w:r/>
            <w:bookmarkStart w:id="180" w:name="_Toc216036023"/>
            <w:r>
              <w:t xml:space="preserve">Макроэкономическая нестабильность: снижение инвестиционной активности населения и бизнеса в период экономических кризисов</w:t>
            </w:r>
            <w:bookmarkEnd w:id="179"/>
            <w:r/>
            <w:bookmarkEnd w:id="180"/>
            <w:r/>
            <w:r/>
          </w:p>
          <w:p>
            <w:pPr>
              <w:pStyle w:val="986"/>
              <w:pBdr/>
              <w:spacing/>
              <w:ind/>
              <w:rPr/>
            </w:pPr>
            <w:r/>
            <w:r/>
          </w:p>
          <w:p>
            <w:pPr>
              <w:pStyle w:val="986"/>
              <w:pBdr/>
              <w:spacing/>
              <w:ind/>
              <w:rPr/>
            </w:pPr>
            <w:r/>
            <w:bookmarkStart w:id="181" w:name="_Toc216036024"/>
            <w:r>
              <w:t xml:space="preserve">Киберугрозы</w:t>
            </w:r>
            <w:r>
              <w:t xml:space="preserve"> и риски хакерских атак</w:t>
            </w:r>
            <w:bookmarkEnd w:id="181"/>
            <w:r>
              <w:t xml:space="preserve"> </w:t>
            </w:r>
            <w:r/>
          </w:p>
          <w:p>
            <w:pPr>
              <w:pStyle w:val="986"/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0"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Результаты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SWOT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-анализа подтверждают высокий потенциал сервиса, но также выявляют критические зависимости, требующие проработки на старте. Для более качественной оценки был проведен количественный анализ категорий конечных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потребителей (инвесторов) по ключевым стратегическим критериям. В таблице представлены три основных возрастных сегмента, оцененные по доле в общей аудитории (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REF _Ref216027697 \h  \* MERGEFORMAT </w:instrTex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 xml:space="preserve">7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978"/>
        <w:keepNext w:val="true"/>
        <w:pBdr/>
        <w:spacing w:after="0" w:line="276" w:lineRule="auto"/>
        <w:ind/>
        <w:jc w:val="both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/>
      <w:bookmarkStart w:id="182" w:name="_Ref216027697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4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Выводы по анализу потребителя</w:t>
      </w:r>
      <w:bookmarkEnd w:id="182"/>
      <w:r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r>
    </w:p>
    <w:tbl>
      <w:tblPr>
        <w:tblStyle w:val="965"/>
        <w:tblW w:w="0" w:type="auto"/>
        <w:tblBorders/>
        <w:tblLook w:val="04A0" w:firstRow="1" w:lastRow="0" w:firstColumn="1" w:lastColumn="0" w:noHBand="0" w:noVBand="1"/>
      </w:tblPr>
      <w:tblGrid>
        <w:gridCol w:w="1454"/>
        <w:gridCol w:w="1275"/>
        <w:gridCol w:w="1371"/>
        <w:gridCol w:w="1449"/>
        <w:gridCol w:w="1584"/>
        <w:gridCol w:w="2211"/>
      </w:tblGrid>
      <w:tr>
        <w:trPr/>
        <w:tc>
          <w:tcPr>
            <w:tcBorders/>
            <w:tcW w:w="1454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Сегмент ЦА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275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Размер, %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371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Сходство (от 1 до 10)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449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Затраты на завоевание (от -10 до -1)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584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Конкуренция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(от -10 до -1)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211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Привлекательность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(от -10 до 10)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454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Молодежь 18−20 лет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275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4%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371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449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-3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584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-2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211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0,04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454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Инвесторы в возрасте от 20 до 45 лет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275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70%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371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9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449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-6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584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-6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211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-2,1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454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Инвесторы в возрасте от 45 лет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275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30%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371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449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-6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584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-3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211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-0,3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</w:tbl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Bdr/>
        <w:spacing w:after="0"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Для понимания ценности предложения была проведена оценка ключевых критериев, на которые ориентируется целевая аудитория. В таблице представлены три основных критерия качества сервиса: уд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обство и экономия времени, свобода и контроль над активами, технологическая надежность и безопасность, а также их оценка по четырем параметрам: важность для клиента, отличительность для рынка, легкость донесения и защищенность от копирования конкурентами (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REF _Ref216027926 \h  \* MERGEFORMAT </w:instrTex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 xml:space="preserve">Таблица 7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978"/>
        <w:keepNext w:val="true"/>
        <w:pBdr/>
        <w:spacing w:after="0" w:line="276" w:lineRule="auto"/>
        <w:ind/>
        <w:jc w:val="both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/>
      <w:bookmarkStart w:id="183" w:name="_Ref216027926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5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Выводы по позиционированию сервиса</w:t>
      </w:r>
      <w:bookmarkEnd w:id="183"/>
      <w:r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r>
    </w:p>
    <w:tbl>
      <w:tblPr>
        <w:tblStyle w:val="965"/>
        <w:tblW w:w="0" w:type="auto"/>
        <w:tblBorders/>
        <w:tblLook w:val="04A0" w:firstRow="1" w:lastRow="0" w:firstColumn="1" w:lastColumn="0" w:noHBand="0" w:noVBand="1"/>
      </w:tblPr>
      <w:tblGrid>
        <w:gridCol w:w="2405"/>
        <w:gridCol w:w="2267"/>
        <w:gridCol w:w="2336"/>
        <w:gridCol w:w="2336"/>
      </w:tblGrid>
      <w:tr>
        <w:trPr/>
        <w:tc>
          <w:tcPr>
            <w:tcBorders/>
            <w:tcW w:w="2405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Критерий качества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267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Удобство и экономия времени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336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Свобода и контроль над активами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336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Технологическая надежность и безопасность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05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Важный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267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336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9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336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05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Отличительный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267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9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336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336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05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Легко сообщаемый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267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9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336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336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05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Трудно имитируемый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267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336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336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9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05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Средняя оценка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267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9,0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336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9,25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336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8,0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</w:tbl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/>
      <w:bookmarkStart w:id="184" w:name="_Toc216035932"/>
      <w:r/>
      <w:bookmarkStart w:id="185" w:name="_Toc216036025"/>
      <w:r>
        <w:rPr>
          <w:rFonts w:ascii="Times New Roman" w:hAnsi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90"/>
        <w:pBdr/>
        <w:spacing w:after="200" w:afterAutospacing="0" w:beforeAutospacing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2.5.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Формирование основы расчета</w:t>
      </w:r>
      <w:bookmarkEnd w:id="184"/>
      <w:r/>
      <w:bookmarkEnd w:id="185"/>
      <w:r/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960"/>
        <w:numPr>
          <w:ilvl w:val="0"/>
          <w:numId w:val="14"/>
        </w:num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/>
        <w:jc w:val="both"/>
        <w:rPr>
          <w:rFonts w:ascii="Times New Roman" w:hAnsi="Times New Roman" w:cs="Times New Roman"/>
          <w:b/>
          <w:bCs/>
          <w:vanish/>
          <w:sz w:val="24"/>
          <w:szCs w:val="24"/>
        </w:rPr>
      </w:pPr>
      <w:r>
        <w:rPr>
          <w:rFonts w:ascii="Times New Roman" w:hAnsi="Times New Roman" w:cs="Times New Roman"/>
          <w:b/>
          <w:bCs/>
          <w:vanish/>
          <w:sz w:val="24"/>
          <w:szCs w:val="24"/>
        </w:rPr>
      </w:r>
      <w:r>
        <w:rPr>
          <w:rFonts w:ascii="Times New Roman" w:hAnsi="Times New Roman" w:cs="Times New Roman"/>
          <w:b/>
          <w:bCs/>
          <w:vanish/>
          <w:sz w:val="24"/>
          <w:szCs w:val="24"/>
        </w:rPr>
      </w:r>
    </w:p>
    <w:p>
      <w:pPr>
        <w:pStyle w:val="960"/>
        <w:numPr>
          <w:ilvl w:val="0"/>
          <w:numId w:val="14"/>
        </w:num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/>
        <w:jc w:val="both"/>
        <w:rPr>
          <w:rFonts w:ascii="Times New Roman" w:hAnsi="Times New Roman" w:cs="Times New Roman"/>
          <w:b/>
          <w:bCs/>
          <w:vanish/>
          <w:sz w:val="24"/>
          <w:szCs w:val="24"/>
        </w:rPr>
      </w:pPr>
      <w:r>
        <w:rPr>
          <w:rFonts w:ascii="Times New Roman" w:hAnsi="Times New Roman" w:cs="Times New Roman"/>
          <w:b/>
          <w:bCs/>
          <w:vanish/>
          <w:sz w:val="24"/>
          <w:szCs w:val="24"/>
        </w:rPr>
      </w:r>
      <w:r>
        <w:rPr>
          <w:rFonts w:ascii="Times New Roman" w:hAnsi="Times New Roman" w:cs="Times New Roman"/>
          <w:b/>
          <w:bCs/>
          <w:vanish/>
          <w:sz w:val="24"/>
          <w:szCs w:val="24"/>
        </w:rPr>
      </w:r>
    </w:p>
    <w:p>
      <w:pPr>
        <w:pStyle w:val="960"/>
        <w:numPr>
          <w:ilvl w:val="0"/>
          <w:numId w:val="14"/>
        </w:numPr>
        <w:pBdr/>
        <w:tabs>
          <w:tab w:val="left" w:leader="none" w:pos="0"/>
          <w:tab w:val="left" w:leader="none" w:pos="709"/>
          <w:tab w:val="left" w:leader="none" w:pos="2674"/>
        </w:tabs>
        <w:spacing w:after="0" w:line="276" w:lineRule="auto"/>
        <w:ind/>
        <w:jc w:val="both"/>
        <w:rPr>
          <w:rFonts w:ascii="Times New Roman" w:hAnsi="Times New Roman" w:cs="Times New Roman"/>
          <w:b/>
          <w:bCs/>
          <w:vanish/>
          <w:sz w:val="24"/>
          <w:szCs w:val="24"/>
        </w:rPr>
      </w:pPr>
      <w:r>
        <w:rPr>
          <w:rFonts w:ascii="Times New Roman" w:hAnsi="Times New Roman" w:cs="Times New Roman"/>
          <w:b/>
          <w:bCs/>
          <w:vanish/>
          <w:sz w:val="24"/>
          <w:szCs w:val="24"/>
        </w:rPr>
      </w:r>
      <w:r>
        <w:rPr>
          <w:rFonts w:ascii="Times New Roman" w:hAnsi="Times New Roman" w:cs="Times New Roman"/>
          <w:b/>
          <w:bCs/>
          <w:vanish/>
          <w:sz w:val="24"/>
          <w:szCs w:val="24"/>
        </w:rPr>
      </w:r>
    </w:p>
    <w:p>
      <w:pPr>
        <w:pStyle w:val="791"/>
        <w:pBdr/>
        <w:spacing w:after="440" w:afterAutospacing="0" w:beforeAutospacing="0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2.5.1.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Маркетинг Микс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978"/>
        <w:keepNext w:val="true"/>
        <w:pBdr/>
        <w:spacing/>
        <w:ind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6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Маркетинг Микс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r>
    </w:p>
    <w:tbl>
      <w:tblPr>
        <w:tblStyle w:val="965"/>
        <w:tblW w:w="9351" w:type="dxa"/>
        <w:tblBorders/>
        <w:tblLook w:val="04A0" w:firstRow="1" w:lastRow="0" w:firstColumn="1" w:lastColumn="0" w:noHBand="0" w:noVBand="1"/>
      </w:tblPr>
      <w:tblGrid>
        <w:gridCol w:w="3256"/>
        <w:gridCol w:w="6095"/>
      </w:tblGrid>
      <w:tr>
        <w:trPr/>
        <w:tc>
          <w:tcPr>
            <w:gridSpan w:val="2"/>
            <w:tcBorders/>
            <w:tcW w:w="9351" w:type="dxa"/>
            <w:textDirection w:val="lrTb"/>
            <w:noWrap w:val="false"/>
          </w:tcPr>
          <w:p>
            <w:pPr>
              <w:pStyle w:val="986"/>
              <w:pBdr/>
              <w:spacing/>
              <w:ind/>
              <w:jc w:val="center"/>
              <w:rPr>
                <w:b/>
                <w:bCs/>
              </w:rPr>
            </w:pPr>
            <w:r/>
            <w:bookmarkStart w:id="186" w:name="_Toc216036026"/>
            <w:r>
              <w:rPr>
                <w:b/>
                <w:bCs/>
              </w:rPr>
              <w:t xml:space="preserve">Product</w:t>
            </w:r>
            <w:bookmarkEnd w:id="186"/>
            <w:r/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3256" w:type="dxa"/>
            <w:textDirection w:val="lrTb"/>
            <w:noWrap w:val="false"/>
          </w:tcPr>
          <w:p>
            <w:pPr>
              <w:pStyle w:val="986"/>
              <w:pBdr/>
              <w:spacing/>
              <w:ind/>
              <w:rPr/>
            </w:pPr>
            <w:r/>
            <w:bookmarkStart w:id="187" w:name="_Toc216036027"/>
            <w:r>
              <w:t xml:space="preserve">Ассортимент</w:t>
            </w:r>
            <w:bookmarkEnd w:id="187"/>
            <w:r/>
            <w:r/>
          </w:p>
        </w:tc>
        <w:tc>
          <w:tcPr>
            <w:tcBorders/>
            <w:tcW w:w="6095" w:type="dxa"/>
            <w:textDirection w:val="lrTb"/>
            <w:noWrap w:val="false"/>
          </w:tcPr>
          <w:p>
            <w:pPr>
              <w:pStyle w:val="986"/>
              <w:pBdr/>
              <w:spacing/>
              <w:ind/>
              <w:rPr/>
            </w:pPr>
            <w:r/>
            <w:bookmarkStart w:id="188" w:name="_Toc216036028"/>
            <w:r>
              <w:t xml:space="preserve">Стандартные инструменты рынка первичных размещений, функционал вторичного рынка</w:t>
            </w:r>
            <w:bookmarkEnd w:id="188"/>
            <w:r/>
            <w:r/>
          </w:p>
        </w:tc>
      </w:tr>
      <w:tr>
        <w:trPr/>
        <w:tc>
          <w:tcPr>
            <w:tcBorders/>
            <w:tcW w:w="3256" w:type="dxa"/>
            <w:textDirection w:val="lrTb"/>
            <w:noWrap w:val="false"/>
          </w:tcPr>
          <w:p>
            <w:pPr>
              <w:pStyle w:val="986"/>
              <w:pBdr/>
              <w:spacing/>
              <w:ind/>
              <w:rPr/>
            </w:pPr>
            <w:r/>
            <w:bookmarkStart w:id="189" w:name="_Toc216036029"/>
            <w:r>
              <w:t xml:space="preserve">Брендинг</w:t>
            </w:r>
            <w:bookmarkEnd w:id="189"/>
            <w:r/>
            <w:r/>
          </w:p>
        </w:tc>
        <w:tc>
          <w:tcPr>
            <w:tcBorders/>
            <w:tcW w:w="6095" w:type="dxa"/>
            <w:textDirection w:val="lrTb"/>
            <w:noWrap w:val="false"/>
          </w:tcPr>
          <w:p>
            <w:pPr>
              <w:pStyle w:val="986"/>
              <w:pBdr/>
              <w:spacing/>
              <w:ind/>
              <w:rPr/>
            </w:pPr>
            <w:r/>
            <w:bookmarkStart w:id="190" w:name="_Toc216036030"/>
            <w:r>
              <w:t xml:space="preserve">Позиционирование как технологичного, прозрачного и доступного агрегатора, ассоциирующегося с простотой, надежностью, стимулирующим развитие рынка ЦФА</w:t>
            </w:r>
            <w:bookmarkEnd w:id="190"/>
            <w:r/>
            <w:r/>
          </w:p>
        </w:tc>
      </w:tr>
      <w:tr>
        <w:trPr/>
        <w:tc>
          <w:tcPr>
            <w:tcBorders/>
            <w:tcW w:w="3256" w:type="dxa"/>
            <w:textDirection w:val="lrTb"/>
            <w:noWrap w:val="false"/>
          </w:tcPr>
          <w:p>
            <w:pPr>
              <w:pStyle w:val="986"/>
              <w:pBdr/>
              <w:spacing/>
              <w:ind/>
              <w:rPr/>
            </w:pPr>
            <w:r/>
            <w:bookmarkStart w:id="191" w:name="_Toc216036031"/>
            <w:r>
              <w:t xml:space="preserve">Качество</w:t>
            </w:r>
            <w:bookmarkEnd w:id="191"/>
            <w:r/>
            <w:r/>
          </w:p>
        </w:tc>
        <w:tc>
          <w:tcPr>
            <w:tcBorders/>
            <w:tcW w:w="6095" w:type="dxa"/>
            <w:textDirection w:val="lrTb"/>
            <w:noWrap w:val="false"/>
          </w:tcPr>
          <w:p>
            <w:pPr>
              <w:pStyle w:val="986"/>
              <w:pBdr/>
              <w:spacing/>
              <w:ind/>
              <w:rPr/>
            </w:pPr>
            <w:r/>
            <w:bookmarkStart w:id="192" w:name="_Toc216036032"/>
            <w:r>
              <w:t xml:space="preserve">Технологическое превосходство: сервис, обеспечивающий бесперебойную интеграцию со всеми участниками рынка;</w:t>
            </w:r>
            <w:bookmarkEnd w:id="192"/>
            <w:r/>
            <w:r/>
          </w:p>
          <w:p>
            <w:pPr>
              <w:pStyle w:val="986"/>
              <w:pBdr/>
              <w:spacing/>
              <w:ind/>
              <w:rPr/>
            </w:pPr>
            <w:r/>
            <w:r/>
          </w:p>
          <w:p>
            <w:pPr>
              <w:pStyle w:val="986"/>
              <w:pBdr/>
              <w:spacing/>
              <w:ind/>
              <w:rPr/>
            </w:pPr>
            <w:r/>
            <w:bookmarkStart w:id="193" w:name="_Toc216036033"/>
            <w:r>
              <w:t xml:space="preserve">Безопасность: соблюдение стандартов проведения </w:t>
            </w:r>
            <w:r>
              <w:rPr>
                <w:lang w:val="en-US"/>
              </w:rPr>
              <w:t xml:space="preserve">KYC</w:t>
            </w:r>
            <w:r>
              <w:t xml:space="preserve">-процедур, хранения данных и их обработки</w:t>
            </w:r>
            <w:bookmarkEnd w:id="193"/>
            <w:r/>
            <w:r/>
          </w:p>
          <w:p>
            <w:pPr>
              <w:pStyle w:val="986"/>
              <w:pBdr/>
              <w:spacing/>
              <w:ind/>
              <w:rPr/>
            </w:pPr>
            <w:r/>
            <w:r/>
          </w:p>
          <w:p>
            <w:pPr>
              <w:pStyle w:val="986"/>
              <w:pBdr/>
              <w:spacing/>
              <w:ind/>
              <w:rPr/>
            </w:pPr>
            <w:r/>
            <w:bookmarkStart w:id="194" w:name="_Toc216036034"/>
            <w:r>
              <w:t xml:space="preserve">Уникальный функционал: единственный на рынке сервис, агрегирующий вторичный рынок</w:t>
            </w:r>
            <w:bookmarkEnd w:id="194"/>
            <w:r/>
            <w:r/>
          </w:p>
        </w:tc>
      </w:tr>
      <w:tr>
        <w:trPr/>
        <w:tc>
          <w:tcPr>
            <w:tcBorders/>
            <w:tcW w:w="3256" w:type="dxa"/>
            <w:textDirection w:val="lrTb"/>
            <w:noWrap w:val="false"/>
          </w:tcPr>
          <w:p>
            <w:pPr>
              <w:pStyle w:val="986"/>
              <w:pBdr/>
              <w:spacing/>
              <w:ind/>
              <w:rPr/>
            </w:pPr>
            <w:r/>
            <w:bookmarkStart w:id="195" w:name="_Toc216036035"/>
            <w:r>
              <w:t xml:space="preserve">Политика гарантийного и </w:t>
            </w:r>
            <w:r>
              <w:t xml:space="preserve">постпродажного</w:t>
            </w:r>
            <w:r>
              <w:t xml:space="preserve"> обслуживания</w:t>
            </w:r>
            <w:bookmarkEnd w:id="195"/>
            <w:r/>
            <w:r/>
          </w:p>
        </w:tc>
        <w:tc>
          <w:tcPr>
            <w:tcBorders/>
            <w:tcW w:w="6095" w:type="dxa"/>
            <w:textDirection w:val="lrTb"/>
            <w:noWrap w:val="false"/>
          </w:tcPr>
          <w:p>
            <w:pPr>
              <w:pStyle w:val="986"/>
              <w:pBdr/>
              <w:spacing/>
              <w:ind/>
              <w:rPr/>
            </w:pPr>
            <w:r/>
            <w:bookmarkStart w:id="196" w:name="_Toc216036036"/>
            <w:r>
              <w:t xml:space="preserve">Круглосуточная техническая поддержка для инвесторов и эмитентов</w:t>
            </w:r>
            <w:bookmarkEnd w:id="196"/>
            <w:r>
              <w:t xml:space="preserve"> </w:t>
            </w:r>
            <w:r/>
          </w:p>
        </w:tc>
      </w:tr>
      <w:tr>
        <w:trPr/>
        <w:tc>
          <w:tcPr>
            <w:gridSpan w:val="2"/>
            <w:tcBorders/>
            <w:tcW w:w="9351" w:type="dxa"/>
            <w:textDirection w:val="lrTb"/>
            <w:noWrap w:val="false"/>
          </w:tcPr>
          <w:p>
            <w:pPr>
              <w:pStyle w:val="986"/>
              <w:pBdr/>
              <w:spacing/>
              <w:ind/>
              <w:jc w:val="center"/>
              <w:rPr>
                <w:b/>
                <w:bCs/>
              </w:rPr>
            </w:pPr>
            <w:r/>
            <w:bookmarkStart w:id="197" w:name="_Toc216036037"/>
            <w:r>
              <w:rPr>
                <w:b/>
                <w:bCs/>
              </w:rPr>
              <w:t xml:space="preserve">Price</w:t>
            </w:r>
            <w:bookmarkEnd w:id="197"/>
            <w:r/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3256" w:type="dxa"/>
            <w:textDirection w:val="lrTb"/>
            <w:noWrap w:val="false"/>
          </w:tcPr>
          <w:p>
            <w:pPr>
              <w:pStyle w:val="986"/>
              <w:pBdr/>
              <w:spacing/>
              <w:ind/>
              <w:rPr/>
            </w:pPr>
            <w:r/>
            <w:bookmarkStart w:id="198" w:name="_Toc216036038"/>
            <w:r>
              <w:t xml:space="preserve">Модель монетизации</w:t>
            </w:r>
            <w:bookmarkEnd w:id="198"/>
            <w:r/>
            <w:r/>
          </w:p>
        </w:tc>
        <w:tc>
          <w:tcPr>
            <w:tcBorders/>
            <w:tcW w:w="6095" w:type="dxa"/>
            <w:textDirection w:val="lrTb"/>
            <w:noWrap w:val="false"/>
          </w:tcPr>
          <w:p>
            <w:pPr>
              <w:pStyle w:val="986"/>
              <w:pBdr/>
              <w:spacing/>
              <w:ind/>
              <w:rPr/>
            </w:pPr>
            <w:r/>
            <w:bookmarkStart w:id="199" w:name="_Toc216036039"/>
            <w:r>
              <w:t xml:space="preserve">Для предлагаемого сервиса оптимальна комбинированная модель: транзакционная + подписка + </w:t>
            </w:r>
            <w:r>
              <w:rPr>
                <w:lang w:val="en-US"/>
              </w:rPr>
              <w:t xml:space="preserve">Freemium</w:t>
            </w:r>
            <w:r>
              <w:t xml:space="preserve">, поскольку Lock-</w:t>
            </w:r>
            <w:r>
              <w:t xml:space="preserve">in</w:t>
            </w:r>
            <w:r>
              <w:t xml:space="preserve"> противоречит роли открытого агрегатора и вызовет отторжение у ОИС и инвесторов, которые как раз хотят избежать привязки к одной платформе</w:t>
            </w:r>
            <w:bookmarkEnd w:id="199"/>
            <w:r/>
            <w:r/>
          </w:p>
        </w:tc>
      </w:tr>
      <w:tr>
        <w:trPr/>
        <w:tc>
          <w:tcPr>
            <w:tcBorders/>
            <w:tcW w:w="3256" w:type="dxa"/>
            <w:textDirection w:val="lrTb"/>
            <w:noWrap w:val="false"/>
          </w:tcPr>
          <w:p>
            <w:pPr>
              <w:pStyle w:val="986"/>
              <w:pBdr/>
              <w:spacing/>
              <w:ind/>
              <w:rPr/>
            </w:pPr>
            <w:r/>
            <w:bookmarkStart w:id="200" w:name="_Toc216036040"/>
            <w:r>
              <w:t xml:space="preserve">Расчет цены</w:t>
            </w:r>
            <w:bookmarkEnd w:id="200"/>
            <w:r/>
            <w:r/>
          </w:p>
        </w:tc>
        <w:tc>
          <w:tcPr>
            <w:tcBorders/>
            <w:tcW w:w="6095" w:type="dxa"/>
            <w:textDirection w:val="lrTb"/>
            <w:noWrap w:val="false"/>
          </w:tcPr>
          <w:p>
            <w:pPr>
              <w:pStyle w:val="986"/>
              <w:pBdr/>
              <w:spacing/>
              <w:ind/>
              <w:rPr/>
            </w:pPr>
            <w:r/>
            <w:bookmarkStart w:id="201" w:name="_Toc216036041"/>
            <w:r>
              <w:t xml:space="preserve">Стандартная транзакционная комиссия для инвестора – 0,5% от суммы сделки</w:t>
            </w:r>
            <w:bookmarkEnd w:id="201"/>
            <w:r/>
            <w:r/>
          </w:p>
          <w:p>
            <w:pPr>
              <w:pStyle w:val="986"/>
              <w:pBdr/>
              <w:spacing/>
              <w:ind/>
              <w:rPr/>
            </w:pPr>
            <w:r/>
            <w:r/>
          </w:p>
          <w:p>
            <w:pPr>
              <w:pStyle w:val="986"/>
              <w:pBdr/>
              <w:spacing/>
              <w:ind/>
              <w:rPr/>
            </w:pPr>
            <w:r/>
            <w:bookmarkStart w:id="202" w:name="_Toc216036042"/>
            <w:r>
              <w:t xml:space="preserve">Подписка для инвестора (физ. лица) – 19900 руб. / год и освобождение от транзакционной комиссии</w:t>
            </w:r>
            <w:bookmarkEnd w:id="202"/>
            <w:r>
              <w:t xml:space="preserve"> </w:t>
            </w:r>
            <w:r/>
          </w:p>
          <w:p>
            <w:pPr>
              <w:pStyle w:val="986"/>
              <w:pBdr/>
              <w:spacing/>
              <w:ind/>
              <w:rPr/>
            </w:pPr>
            <w:r/>
            <w:r/>
          </w:p>
          <w:p>
            <w:pPr>
              <w:pStyle w:val="986"/>
              <w:pBdr/>
              <w:spacing/>
              <w:ind/>
              <w:rPr/>
            </w:pPr>
            <w:r/>
            <w:bookmarkStart w:id="203" w:name="_Toc216036043"/>
            <w:r>
              <w:t xml:space="preserve">Подписка для инвестора (юр. лица) – 90000 руб. / год и снижение транзакционной комиссии до 0,2% от суммы сделки</w:t>
            </w:r>
            <w:bookmarkEnd w:id="203"/>
            <w:r/>
            <w:r/>
          </w:p>
          <w:p>
            <w:pPr>
              <w:pStyle w:val="986"/>
              <w:pBdr/>
              <w:spacing/>
              <w:ind/>
              <w:rPr/>
            </w:pPr>
            <w:r/>
            <w:r/>
          </w:p>
          <w:p>
            <w:pPr>
              <w:pStyle w:val="986"/>
              <w:pBdr/>
              <w:spacing/>
              <w:ind/>
              <w:rPr/>
            </w:pPr>
            <w:r/>
            <w:bookmarkStart w:id="204" w:name="_Toc216036044"/>
            <w:r>
              <w:t xml:space="preserve">Подписка для эмитента за пользование сервисом – 30 000 / год</w:t>
            </w:r>
            <w:bookmarkEnd w:id="204"/>
            <w:r/>
            <w:r/>
          </w:p>
          <w:p>
            <w:pPr>
              <w:pStyle w:val="986"/>
              <w:pBdr/>
              <w:spacing/>
              <w:ind/>
              <w:rPr/>
            </w:pPr>
            <w:r/>
            <w:r/>
          </w:p>
          <w:p>
            <w:pPr>
              <w:pStyle w:val="986"/>
              <w:pBdr/>
              <w:spacing/>
              <w:ind/>
              <w:rPr/>
            </w:pPr>
            <w:r/>
            <w:bookmarkStart w:id="205" w:name="_Toc216036045"/>
            <w:r>
              <w:t xml:space="preserve">Предоставление </w:t>
            </w:r>
            <w:r>
              <w:rPr>
                <w:lang w:val="en-US"/>
              </w:rPr>
              <w:t xml:space="preserve">API</w:t>
            </w:r>
            <w:r>
              <w:t xml:space="preserve"> операторам информационных систем – 250 000 руб. за 1 млн. запросов</w:t>
            </w:r>
            <w:bookmarkEnd w:id="205"/>
            <w:r/>
            <w:r/>
          </w:p>
        </w:tc>
      </w:tr>
      <w:tr>
        <w:trPr/>
        <w:tc>
          <w:tcPr>
            <w:gridSpan w:val="2"/>
            <w:tcBorders/>
            <w:tcW w:w="9351" w:type="dxa"/>
            <w:textDirection w:val="lrTb"/>
            <w:noWrap w:val="false"/>
          </w:tcPr>
          <w:p>
            <w:pPr>
              <w:pStyle w:val="986"/>
              <w:pBdr/>
              <w:spacing/>
              <w:ind/>
              <w:jc w:val="center"/>
              <w:rPr>
                <w:b/>
                <w:bCs/>
              </w:rPr>
            </w:pPr>
            <w:r/>
            <w:bookmarkStart w:id="206" w:name="_Toc216036046"/>
            <w:r>
              <w:rPr>
                <w:b/>
                <w:bCs/>
              </w:rPr>
              <w:t xml:space="preserve">Place</w:t>
            </w:r>
            <w:bookmarkEnd w:id="206"/>
            <w:r/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3256" w:type="dxa"/>
            <w:vMerge w:val="restart"/>
            <w:textDirection w:val="lrTb"/>
            <w:noWrap w:val="false"/>
          </w:tcPr>
          <w:p>
            <w:pPr>
              <w:pStyle w:val="986"/>
              <w:pBdr/>
              <w:spacing/>
              <w:ind/>
              <w:rPr/>
            </w:pPr>
            <w:r/>
            <w:bookmarkStart w:id="207" w:name="_Toc216036047"/>
            <w:r>
              <w:t xml:space="preserve">Основные каналы сбыта</w:t>
            </w:r>
            <w:bookmarkEnd w:id="207"/>
            <w:r/>
            <w:r/>
          </w:p>
        </w:tc>
        <w:tc>
          <w:tcPr>
            <w:tcBorders/>
            <w:tcW w:w="6095" w:type="dxa"/>
            <w:textDirection w:val="lrTb"/>
            <w:noWrap w:val="false"/>
          </w:tcPr>
          <w:p>
            <w:pPr>
              <w:pStyle w:val="986"/>
              <w:pBdr/>
              <w:spacing/>
              <w:ind/>
              <w:rPr/>
            </w:pPr>
            <w:r/>
            <w:bookmarkStart w:id="208" w:name="_Toc216036048"/>
            <w:r>
              <w:t xml:space="preserve">Веб- и мобильное приложение как ключевые точки входа для инвесторов - прямые регистрация и подписка</w:t>
            </w:r>
            <w:bookmarkEnd w:id="208"/>
            <w:r/>
            <w:r/>
          </w:p>
        </w:tc>
      </w:tr>
      <w:tr>
        <w:trPr/>
        <w:tc>
          <w:tcPr>
            <w:tcBorders/>
            <w:tcW w:w="3256" w:type="dxa"/>
            <w:vMerge w:val="continue"/>
            <w:textDirection w:val="lrTb"/>
            <w:noWrap w:val="false"/>
          </w:tcPr>
          <w:p>
            <w:pPr>
              <w:pStyle w:val="986"/>
              <w:pBdr/>
              <w:spacing/>
              <w:ind/>
              <w:rPr/>
            </w:pPr>
            <w:r/>
            <w:r/>
          </w:p>
        </w:tc>
        <w:tc>
          <w:tcPr>
            <w:tcBorders/>
            <w:tcW w:w="6095" w:type="dxa"/>
            <w:textDirection w:val="lrTb"/>
            <w:noWrap w:val="false"/>
          </w:tcPr>
          <w:p>
            <w:pPr>
              <w:pStyle w:val="986"/>
              <w:pBdr/>
              <w:spacing/>
              <w:ind/>
              <w:rPr/>
            </w:pPr>
            <w:r/>
            <w:bookmarkStart w:id="209" w:name="_Toc216036049"/>
            <w:r>
              <w:t xml:space="preserve">Партнерские программы (через ТСП): заключение договоров с финансовыми консультантами, инвестиционными блогами и другими участниками рынка для продвижения сервиса</w:t>
            </w:r>
            <w:bookmarkEnd w:id="209"/>
            <w:r/>
            <w:r/>
          </w:p>
        </w:tc>
      </w:tr>
      <w:tr>
        <w:trPr/>
        <w:tc>
          <w:tcPr>
            <w:gridSpan w:val="2"/>
            <w:tcBorders/>
            <w:tcW w:w="9351" w:type="dxa"/>
            <w:textDirection w:val="lrTb"/>
            <w:noWrap w:val="false"/>
          </w:tcPr>
          <w:p>
            <w:pPr>
              <w:pStyle w:val="986"/>
              <w:pBdr/>
              <w:spacing/>
              <w:ind/>
              <w:jc w:val="center"/>
              <w:rPr>
                <w:b/>
                <w:bCs/>
              </w:rPr>
            </w:pPr>
            <w:r/>
            <w:bookmarkStart w:id="210" w:name="_Toc216036050"/>
            <w:r>
              <w:rPr>
                <w:b/>
                <w:bCs/>
              </w:rPr>
              <w:t xml:space="preserve">Promotion</w:t>
            </w:r>
            <w:bookmarkEnd w:id="210"/>
            <w:r/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3256" w:type="dxa"/>
            <w:vMerge w:val="restart"/>
            <w:textDirection w:val="lrTb"/>
            <w:noWrap w:val="false"/>
          </w:tcPr>
          <w:p>
            <w:pPr>
              <w:pStyle w:val="986"/>
              <w:pBdr/>
              <w:spacing/>
              <w:ind/>
              <w:rPr/>
            </w:pPr>
            <w:r/>
            <w:bookmarkStart w:id="211" w:name="_Toc216036051"/>
            <w:r>
              <w:t xml:space="preserve">Целевые каналы продвижения</w:t>
            </w:r>
            <w:bookmarkEnd w:id="211"/>
            <w:r/>
            <w:r/>
          </w:p>
        </w:tc>
        <w:tc>
          <w:tcPr>
            <w:tcBorders/>
            <w:tcW w:w="6095" w:type="dxa"/>
            <w:textDirection w:val="lrTb"/>
            <w:noWrap w:val="false"/>
          </w:tcPr>
          <w:p>
            <w:pPr>
              <w:pStyle w:val="986"/>
              <w:pBdr/>
              <w:spacing/>
              <w:ind/>
              <w:rPr/>
            </w:pPr>
            <w:r/>
            <w:bookmarkStart w:id="212" w:name="_Toc216036052"/>
            <w:r>
              <w:t xml:space="preserve">Контент-маркетинг и соцсети: ведущие каналы для привлечения инвесторов (</w:t>
            </w:r>
            <w:r>
              <w:rPr>
                <w:lang w:val="en-US"/>
              </w:rPr>
              <w:t xml:space="preserve">Rutube</w:t>
            </w:r>
            <w:r>
              <w:t xml:space="preserve">, Telegram, VK) с экспертным контентом об инвестициях в ЦФА и обзорами функционала платформы</w:t>
            </w:r>
            <w:bookmarkEnd w:id="212"/>
            <w:r/>
            <w:r/>
          </w:p>
        </w:tc>
      </w:tr>
      <w:tr>
        <w:trPr/>
        <w:tc>
          <w:tcPr>
            <w:tcBorders/>
            <w:tcW w:w="3256" w:type="dxa"/>
            <w:vMerge w:val="continue"/>
            <w:textDirection w:val="lrTb"/>
            <w:noWrap w:val="false"/>
          </w:tcPr>
          <w:p>
            <w:pPr>
              <w:pStyle w:val="986"/>
              <w:pBdr/>
              <w:spacing/>
              <w:ind/>
              <w:rPr/>
            </w:pPr>
            <w:r/>
            <w:r/>
          </w:p>
        </w:tc>
        <w:tc>
          <w:tcPr>
            <w:tcBorders/>
            <w:tcW w:w="6095" w:type="dxa"/>
            <w:textDirection w:val="lrTb"/>
            <w:noWrap w:val="false"/>
          </w:tcPr>
          <w:p>
            <w:pPr>
              <w:pStyle w:val="986"/>
              <w:pBdr/>
              <w:spacing/>
              <w:ind/>
              <w:rPr/>
            </w:pPr>
            <w:r/>
            <w:bookmarkStart w:id="213" w:name="_Toc216036053"/>
            <w:r>
              <w:t xml:space="preserve">Оффлайн-мероприятия: участие и выступление на </w:t>
            </w:r>
            <w:r>
              <w:t xml:space="preserve">финтех</w:t>
            </w:r>
            <w:r>
              <w:t xml:space="preserve">-конференциях для повышения осведомленности среди профессиональной аудитории</w:t>
            </w:r>
            <w:bookmarkEnd w:id="213"/>
            <w:r/>
            <w:r/>
          </w:p>
        </w:tc>
      </w:tr>
      <w:tr>
        <w:trPr/>
        <w:tc>
          <w:tcPr>
            <w:tcBorders/>
            <w:tcW w:w="3256" w:type="dxa"/>
            <w:vMerge w:val="continue"/>
            <w:textDirection w:val="lrTb"/>
            <w:noWrap w:val="false"/>
          </w:tcPr>
          <w:p>
            <w:pPr>
              <w:pStyle w:val="986"/>
              <w:pBdr/>
              <w:spacing/>
              <w:ind/>
              <w:rPr/>
            </w:pPr>
            <w:r/>
            <w:r/>
          </w:p>
        </w:tc>
        <w:tc>
          <w:tcPr>
            <w:tcBorders/>
            <w:tcW w:w="6095" w:type="dxa"/>
            <w:textDirection w:val="lrTb"/>
            <w:noWrap w:val="false"/>
          </w:tcPr>
          <w:p>
            <w:pPr>
              <w:pStyle w:val="986"/>
              <w:pBdr/>
              <w:spacing/>
              <w:ind/>
              <w:rPr/>
            </w:pPr>
            <w:r/>
            <w:bookmarkStart w:id="214" w:name="_Toc216036054"/>
            <w:r>
              <w:t xml:space="preserve">Таргетированная реклама: в мобильных приложениях банков и брокеров, а также в соцсетях с таргетингом на пользователей с интересами «инвестиции», «трейдинг», «ЦФА»</w:t>
            </w:r>
            <w:bookmarkEnd w:id="214"/>
            <w:r/>
            <w:r/>
          </w:p>
        </w:tc>
      </w:tr>
      <w:tr>
        <w:trPr/>
        <w:tc>
          <w:tcPr>
            <w:tcBorders/>
            <w:tcW w:w="3256" w:type="dxa"/>
            <w:vMerge w:val="continue"/>
            <w:textDirection w:val="lrTb"/>
            <w:noWrap w:val="false"/>
          </w:tcPr>
          <w:p>
            <w:pPr>
              <w:pStyle w:val="986"/>
              <w:pBdr/>
              <w:spacing/>
              <w:ind/>
              <w:rPr/>
            </w:pPr>
            <w:r/>
            <w:r/>
          </w:p>
        </w:tc>
        <w:tc>
          <w:tcPr>
            <w:tcBorders/>
            <w:tcW w:w="6095" w:type="dxa"/>
            <w:textDirection w:val="lrTb"/>
            <w:noWrap w:val="false"/>
          </w:tcPr>
          <w:p>
            <w:pPr>
              <w:pStyle w:val="986"/>
              <w:pBdr/>
              <w:spacing/>
              <w:ind/>
              <w:rPr/>
            </w:pPr>
            <w:r/>
            <w:bookmarkStart w:id="215" w:name="_Toc216036055"/>
            <w:r>
              <w:t xml:space="preserve">Партнерский маркетинг и мессенджеры: рассылка коммерческих предложений через чат-боты и мессенджеры</w:t>
            </w:r>
            <w:bookmarkEnd w:id="215"/>
            <w:r/>
            <w:r/>
          </w:p>
        </w:tc>
      </w:tr>
    </w:tbl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 результатов данного анализа можно сказать, что Оператор Цифровых Активов является высокотехнологичным агрегатор, сочетающим в себе простоту, надежность и уникальный функционал. Он привлекателен для всех категорий пользователей, поскольку ег</w:t>
      </w:r>
      <w:r>
        <w:rPr>
          <w:rFonts w:ascii="Times New Roman" w:hAnsi="Times New Roman" w:cs="Times New Roman"/>
          <w:sz w:val="24"/>
          <w:szCs w:val="24"/>
        </w:rPr>
        <w:t xml:space="preserve">о бизнес-модель построена на комбинации нескольких моделей монетизации. Продвижение и продажи сфокусированы на цифровых каналах и партнёрских сетях, что позволит эффективно охватить целевую аудиторию, заинтересованную в современных инвестиционных решениях.</w:t>
      </w:r>
      <w:r>
        <w:rPr>
          <w:rFonts w:ascii="Times New Roman" w:hAnsi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91"/>
        <w:pBdr/>
        <w:spacing w:after="440" w:afterAutospacing="0" w:before="200" w:beforeAutospacing="0"/>
        <w:ind w:left="1134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2.5.2.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Lean Canvas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</w:r>
    </w:p>
    <w:p>
      <w:pPr>
        <w:pBdr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основе характеристик сервиса и специфики выбранной сферы, описанных в предыдущих разделах, был сформирован шаблон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Lean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Canvas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REF _Ref216028356 \h  \* MERGEFORMAT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 xml:space="preserve">Рисунок 12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REF _Ref216028340 \h  \* MERGEFORMAT </w:instrTex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).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/>
      <w:bookmarkStart w:id="216" w:name="_Toc216035933"/>
      <w:r/>
      <w:bookmarkStart w:id="217" w:name="_Toc216036056"/>
      <w:r>
        <w:rPr>
          <w:rFonts w:ascii="Times New Roman" w:hAnsi="Times New Roman" w:cs="Times New Roman"/>
          <w:sz w:val="24"/>
          <w:szCs w:val="2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80709" cy="4204902"/>
                <wp:effectExtent l="0" t="0" r="0" b="5715"/>
                <wp:docPr id="12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4987187" cy="42103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392.18pt;height:331.09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bookmarkEnd w:id="216"/>
      <w:r/>
      <w:bookmarkEnd w:id="217"/>
      <w:r/>
      <w:r>
        <w:rPr>
          <w:rFonts w:ascii="Times New Roman" w:hAnsi="Times New Roman" w:cs="Times New Roman"/>
          <w:sz w:val="24"/>
          <w:szCs w:val="24"/>
        </w:rPr>
      </w:r>
    </w:p>
    <w:p>
      <w:pPr>
        <w:pStyle w:val="978"/>
        <w:pBdr/>
        <w:spacing w:after="0" w:line="276" w:lineRule="auto"/>
        <w:ind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/>
      <w:bookmarkStart w:id="218" w:name="_Ref216028356"/>
      <w:r/>
      <w:bookmarkStart w:id="219" w:name="_Ref216028340"/>
      <w:r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12</w: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bookmarkEnd w:id="218"/>
      <w:r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Lean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Canvas</w:t>
      </w:r>
      <w:bookmarkEnd w:id="219"/>
      <w:r/>
      <w:r>
        <w:rPr>
          <w:rFonts w:ascii="Times New Roman" w:hAnsi="Times New Roman" w:cs="Times New Roman"/>
          <w:color w:val="auto"/>
          <w:sz w:val="24"/>
          <w:szCs w:val="24"/>
        </w:rPr>
      </w:r>
    </w:p>
    <w:p>
      <w:pPr>
        <w:pBdr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/>
      <w:bookmarkStart w:id="220" w:name="_Toc216035934"/>
      <w:r/>
      <w:bookmarkStart w:id="221" w:name="_Toc216036057"/>
      <w:r>
        <w:rPr>
          <w:rFonts w:ascii="Times New Roman" w:hAnsi="Times New Roman" w:cs="Times New Roman"/>
          <w:sz w:val="24"/>
          <w:szCs w:val="24"/>
          <w:lang w:val="en-US"/>
        </w:rPr>
        <w:t xml:space="preserve">Lean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Canvas</w:t>
      </w:r>
      <w:r>
        <w:rPr>
          <w:rFonts w:ascii="Times New Roman" w:hAnsi="Times New Roman" w:cs="Times New Roman"/>
          <w:sz w:val="24"/>
          <w:szCs w:val="24"/>
        </w:rPr>
        <w:t xml:space="preserve"> подтверждает жизнеспособность концепции и показывает, что приоритетом на первых этапах разработки сервиса должно быть партнерство с ОИС и эмитентами для запуска сетевого эффекта. Дальнейшая разработка должна фокусироваться на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MVP</w:t>
      </w:r>
      <w:r>
        <w:rPr>
          <w:rFonts w:ascii="Times New Roman" w:hAnsi="Times New Roman" w:cs="Times New Roman"/>
          <w:sz w:val="24"/>
          <w:szCs w:val="24"/>
        </w:rPr>
        <w:t xml:space="preserve"> с ключевой функцией расширения рынка ЦФА.</w:t>
      </w:r>
      <w:bookmarkEnd w:id="220"/>
      <w:r/>
      <w:bookmarkEnd w:id="221"/>
      <w:r/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75"/>
        <w:pBdr/>
        <w:spacing w:after="200"/>
        <w:ind w:hanging="357" w:left="714"/>
        <w:rPr/>
      </w:pPr>
      <w:r>
        <w:t xml:space="preserve">Экономическая составляющая сервиса</w:t>
      </w:r>
      <w:r/>
    </w:p>
    <w:p>
      <w:pPr>
        <w:pStyle w:val="790"/>
        <w:pBdr/>
        <w:spacing w:after="440" w:afterAutospacing="0" w:beforeAutospacing="0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3.1.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Расчет ставки дисконтирования, доходов, расходов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tbl>
      <w:tblPr>
        <w:tblW w:w="4359" w:type="dxa"/>
        <w:tblInd w:w="2836" w:type="dxa"/>
        <w:tblBorders/>
        <w:tblLook w:val="04A0" w:firstRow="1" w:lastRow="0" w:firstColumn="1" w:lastColumn="0" w:noHBand="0" w:noVBand="1"/>
      </w:tblPr>
      <w:tblGrid>
        <w:gridCol w:w="3197"/>
        <w:gridCol w:w="1162"/>
      </w:tblGrid>
      <w:tr>
        <w:trPr>
          <w:trHeight w:val="454"/>
        </w:trPr>
        <w:tc>
          <w:tcPr>
            <w:gridSpan w:val="2"/>
            <w:shd w:val="clear" w:color="000000" w:fill="e7e6e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359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Ставка дисконтирования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000000" w:fill="e7e6e6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97" w:type="dxa"/>
            <w:vAlign w:val="center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Показатель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000000" w:fill="e7e6e6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62" w:type="dxa"/>
            <w:vAlign w:val="center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Значение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97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RF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62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14,12%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97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RM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62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27,43%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97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RF - RM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62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13,31%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97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  <w:t xml:space="preserve">β (Бета-коэффициент)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62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1,35%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97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  <w:t xml:space="preserve">Премия за регуляторный риск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62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7,00%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97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Премия за стадию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62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4,00%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63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97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R (ставка, %)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62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52,73%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97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R (ставка)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62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0,527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r>
          </w:p>
        </w:tc>
      </w:tr>
    </w:tbl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 оператору цифровых активов будет применяться общая система налогообложения, поскольку проект не соответствует критериям, позволяющим выбрать иную ставку. ОСНО будет включать: 20% налог на прибыль организаций, 2% налог на имущество организаций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Капитальные затраты </w:t>
      </w:r>
      <w:r>
        <w:rPr>
          <w:rFonts w:ascii="Times New Roman" w:hAnsi="Times New Roman" w:cs="Times New Roman"/>
          <w:sz w:val="24"/>
          <w:szCs w:val="24"/>
        </w:rPr>
        <w:t xml:space="preserve">на реализацию проекта </w:t>
      </w:r>
      <w:r>
        <w:rPr>
          <w:rFonts w:ascii="Times New Roman" w:hAnsi="Times New Roman" w:cs="Times New Roman"/>
          <w:sz w:val="24"/>
          <w:szCs w:val="24"/>
        </w:rPr>
        <w:t xml:space="preserve">представлены в таблице </w:t>
      </w:r>
      <w:r>
        <w:rPr>
          <w:rFonts w:ascii="Times New Roman" w:hAnsi="Times New Roman" w:cs="Times New Roman"/>
          <w:sz w:val="24"/>
          <w:szCs w:val="24"/>
        </w:rPr>
        <w:t xml:space="preserve">ниже (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REF _Ref219063997 \h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7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)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78"/>
        <w:keepNext w:val="true"/>
        <w:pBdr/>
        <w:spacing/>
        <w:ind/>
        <w:jc w:val="both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/>
      <w:bookmarkStart w:id="222" w:name="_Ref219063997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7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Capex</w:t>
      </w:r>
      <w:bookmarkEnd w:id="222"/>
      <w:r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r>
    </w:p>
    <w:tbl>
      <w:tblPr>
        <w:tblW w:w="8364" w:type="dxa"/>
        <w:tblInd w:w="108" w:type="dxa"/>
        <w:tblBorders/>
        <w:tblLook w:val="04A0" w:firstRow="1" w:lastRow="0" w:firstColumn="1" w:lastColumn="0" w:noHBand="0" w:noVBand="1"/>
      </w:tblPr>
      <w:tblGrid>
        <w:gridCol w:w="5103"/>
        <w:gridCol w:w="3261"/>
      </w:tblGrid>
      <w:tr>
        <w:trPr>
          <w:trHeight w:val="315"/>
        </w:trPr>
        <w:tc>
          <w:tcPr>
            <w:gridSpan w:val="2"/>
            <w:shd w:val="clear" w:color="000000" w:fill="e2efd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364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CAPEX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000000" w:fill="e2efda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10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Статья расходов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000000" w:fill="e2efda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26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Сумма, тыс. руб.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94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10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Вычислительные серверы приложений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26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5 000 000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10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Серверы баз данных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26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3 600 000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10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Серверы хранилища данных (SAN/NAS)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26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3 100 000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63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10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Лицензии ПО (ОС, СУБД,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middleware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26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2 000 000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10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Аппаратные криптографические модули (HSM)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26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1 600 000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10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Firewall/DPI система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26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1 500 000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63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10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Система резервирования и аварийного восстановления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26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1 500 000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10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Балансировщик нагрузки (L4/L7)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26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1 200 000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10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Серверы KYC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26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900000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10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Лицензии API-интеграции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26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800000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10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Серверы кэширования (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Redis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Memcached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26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800000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10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Рабочие станции для администраторов и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DevOps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26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600000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10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UPS и система электроснабжения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26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600000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10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Сетевое оборудование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26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500000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63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10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Система кондиционирования и мониторинга микроклимата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26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400000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10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Система мониторинга и логирования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26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400000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10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DLP система (защита данных)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26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650000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10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Оборудование для документооборота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26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450000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10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Итого CAPEX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26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25 600 000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r>
          </w:p>
        </w:tc>
      </w:tr>
    </w:tbl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Операционные затраты </w:t>
      </w:r>
      <w:r>
        <w:rPr>
          <w:rFonts w:ascii="Times New Roman" w:hAnsi="Times New Roman" w:cs="Times New Roman"/>
          <w:sz w:val="24"/>
          <w:szCs w:val="24"/>
        </w:rPr>
        <w:t xml:space="preserve">представлены за период с 2027 по 2030 год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REF _Ref219064104 \h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8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78"/>
        <w:keepNext w:val="true"/>
        <w:pBdr/>
        <w:spacing/>
        <w:ind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/>
      <w:bookmarkStart w:id="223" w:name="_Ref219064104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8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bookmarkEnd w:id="223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Opex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r>
    </w:p>
    <w:tbl>
      <w:tblPr>
        <w:tblW w:w="8732" w:type="dxa"/>
        <w:tblInd w:w="108" w:type="dxa"/>
        <w:tblBorders/>
        <w:tblLook w:val="04A0" w:firstRow="1" w:lastRow="0" w:firstColumn="1" w:lastColumn="0" w:noHBand="0" w:noVBand="1"/>
      </w:tblPr>
      <w:tblGrid>
        <w:gridCol w:w="1984"/>
        <w:gridCol w:w="1645"/>
        <w:gridCol w:w="1701"/>
        <w:gridCol w:w="1701"/>
        <w:gridCol w:w="1701"/>
      </w:tblGrid>
      <w:tr>
        <w:trPr>
          <w:trHeight w:val="315"/>
        </w:trPr>
        <w:tc>
          <w:tcPr>
            <w:gridSpan w:val="5"/>
            <w:shd w:val="clear" w:color="000000" w:fill="e2efd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tcW w:w="8732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OPEX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000000" w:fill="e2efda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Категория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000000" w:fill="e2efda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645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Стоимость (2027)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000000" w:fill="e2efda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01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Стоимость (2028)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000000" w:fill="e2efda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01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Стоимость (2029)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000000" w:fill="e2efda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01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Стоимость (2030)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94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vAlign w:val="bottom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Аренда офиса: ~50–60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кв.м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 на каждые 10 человек → 250–300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кв.м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, ставка 30–40 тыс. руб./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кв.м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/год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645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9 600 000 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01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9 600 000 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01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9 600 000 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01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9 600 000 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Коммунальные услуги, интернет, связь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645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1 200 000 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01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1 200 000 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01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1 200 000 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01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1 200 000 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Хостинг / ЦОД / облако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645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3 000 000 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01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3 000 000 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01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3 000 000 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01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3 000 000 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63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vAlign w:val="bottom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Лицензии и подписки (антивирус, почта, ПО)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645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1 400 000 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01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1 400 000 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01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1 700 000 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01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2 000 000 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API Госуслуг, ФНС, AML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noBreakHyphen/>
              <w:t xml:space="preserve">сервисы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645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4 800 000 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01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4 800 000 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01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4 800 000 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01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4 800 000 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Маркетинг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1645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22 457 120 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1701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33 556 400 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01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58 938 700 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01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85 658 760 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ФОТ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645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71 301 000 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01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88 989 000 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01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110 757 000 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01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110 757 000 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ИТОГО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1645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113 758 120 ₽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1701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142 545 400 ₽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01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189 995 700 ₽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01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217 015 760 ₽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r>
          </w:p>
        </w:tc>
      </w:tr>
    </w:tbl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Расчет денежных потоков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</w:t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pPr w:horzAnchor="margin" w:tblpXSpec="left" w:vertAnchor="text" w:tblpY="-56" w:leftFromText="180" w:topFromText="0" w:rightFromText="180" w:bottomFromText="0"/>
        <w:tblW w:w="9523" w:type="dxa"/>
        <w:tblBorders/>
        <w:tblLook w:val="04A0" w:firstRow="1" w:lastRow="0" w:firstColumn="1" w:lastColumn="0" w:noHBand="0" w:noVBand="1"/>
      </w:tblPr>
      <w:tblGrid>
        <w:gridCol w:w="696"/>
        <w:gridCol w:w="888"/>
        <w:gridCol w:w="1561"/>
        <w:gridCol w:w="1559"/>
        <w:gridCol w:w="1559"/>
        <w:gridCol w:w="1701"/>
        <w:gridCol w:w="1559"/>
      </w:tblGrid>
      <w:tr>
        <w:trPr>
          <w:trHeight w:val="630"/>
        </w:trPr>
        <w:tc>
          <w:tcPr>
            <w:shd w:val="clear" w:color="000000" w:fill="f2f2f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96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Год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000000" w:fill="f2f2f2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88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Номер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000000" w:fill="f2f2f2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61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Затраты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000000" w:fill="f2f2f2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Доходы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000000" w:fill="f2f2f2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Денежные потоки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000000" w:fill="f2f2f2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Накопленный поток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000000" w:fill="f2f2f2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Чистый поток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96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2026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88" w:type="dxa"/>
            <w:vAlign w:val="bottom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61" w:type="dxa"/>
            <w:vAlign w:val="bottom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25 600 000 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59" w:type="dxa"/>
            <w:vAlign w:val="bottom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59" w:type="dxa"/>
            <w:vAlign w:val="bottom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01" w:type="dxa"/>
            <w:vAlign w:val="bottom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-25 600 000 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59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96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2027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88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61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139 358 120 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59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69 071 695 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59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-70 286 425 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01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-95 886 425 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59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96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2028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88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61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142 545 400 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59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211 393 701 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59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68 848 301 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01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-27 038 125 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59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43 248 301 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96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2029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88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61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189 995 700 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59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344 446 744 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59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154 451 044 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01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127 412 919 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59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128 851 044 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96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2030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88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61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217 015 760 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59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688 410 616 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59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471 394 856 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01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598 807 775 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59" w:type="dxa"/>
            <w:vAlign w:val="bottom"/>
            <w:textDirection w:val="lrTb"/>
            <w:noWrap/>
          </w:tcPr>
          <w:p>
            <w:pPr>
              <w:pBdr/>
              <w:spacing w:after="0" w:line="276" w:lineRule="auto"/>
              <w:ind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445 794 856 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</w:tbl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W w:w="3000" w:type="dxa"/>
        <w:tblInd w:w="113" w:type="dxa"/>
        <w:tblBorders/>
        <w:tblLook w:val="04A0" w:firstRow="1" w:lastRow="0" w:firstColumn="1" w:lastColumn="0" w:noHBand="0" w:noVBand="1"/>
      </w:tblPr>
      <w:tblGrid>
        <w:gridCol w:w="1375"/>
        <w:gridCol w:w="1760"/>
      </w:tblGrid>
      <w:tr>
        <w:trPr>
          <w:trHeight w:val="630"/>
        </w:trPr>
        <w:tc>
          <w:tcPr>
            <w:shd w:val="clear" w:color="000000" w:fill="e7e6e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40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Показатель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000000" w:fill="e7e6e6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60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Значение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40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NPV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60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87 882 753 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40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IRR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60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171%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40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ROI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60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2439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40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PI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60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40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PP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60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2,2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40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LTV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60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92116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ffffff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40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CAC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60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2500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ffffff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40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LTV/CAC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60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36,8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</w:tbl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W w:w="4820" w:type="dxa"/>
        <w:tblInd w:w="113" w:type="dxa"/>
        <w:tblBorders/>
        <w:tblLook w:val="04A0" w:firstRow="1" w:lastRow="0" w:firstColumn="1" w:lastColumn="0" w:noHBand="0" w:noVBand="1"/>
      </w:tblPr>
      <w:tblGrid>
        <w:gridCol w:w="1240"/>
        <w:gridCol w:w="1760"/>
        <w:gridCol w:w="1820"/>
      </w:tblGrid>
      <w:tr>
        <w:trPr>
          <w:trHeight w:val="315"/>
        </w:trPr>
        <w:tc>
          <w:tcPr>
            <w:shd w:val="clear" w:color="000000" w:fill="e7e6e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40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ГОД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000000" w:fill="e7e6e6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60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PV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2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  <w:t xml:space="preserve">Вспомогательные для NPV</w:t>
            </w: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40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2027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60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-46 020 147 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2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40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2028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60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29 515 240 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2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40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2029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60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43 353 132 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2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40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2030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60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86 634 528 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2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40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NPV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60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87 882 753 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2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r>
          </w:p>
        </w:tc>
      </w:tr>
    </w:tbl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 w:type="page" w:clear="all"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</w:p>
    <w:p>
      <w:pPr>
        <w:pStyle w:val="975"/>
        <w:pBdr/>
        <w:spacing w:after="200"/>
        <w:ind w:firstLine="0" w:left="0"/>
        <w:rPr>
          <w:color w:val="000000" w:themeColor="text1"/>
        </w:rPr>
      </w:pPr>
      <w:r>
        <w:t xml:space="preserve">Требования к пошаговой обработке информационных потоков</w:t>
      </w:r>
      <w:r>
        <w:rPr>
          <w:color w:val="000000" w:themeColor="text1"/>
        </w:rPr>
      </w:r>
    </w:p>
    <w:p>
      <w:pPr>
        <w:pStyle w:val="790"/>
        <w:pBdr/>
        <w:spacing w:after="440" w:afterAutospacing="0" w:before="200" w:beforeAutospacing="0"/>
        <w:ind w:hanging="141"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4.1.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Требования к пошаговой обработке информационных потоков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</w:rPr>
        <w:t xml:space="preserve">качестве описываемого процесса данного раздела был выбран </w:t>
      </w:r>
      <w:r>
        <w:rPr>
          <w:rFonts w:ascii="Times New Roman" w:hAnsi="Times New Roman" w:cs="Times New Roman"/>
          <w:sz w:val="24"/>
          <w:szCs w:val="24"/>
        </w:rPr>
        <w:t xml:space="preserve">прецедент</w:t>
      </w:r>
      <w:r>
        <w:rPr>
          <w:rFonts w:ascii="Times New Roman" w:hAnsi="Times New Roman" w:cs="Times New Roman"/>
          <w:sz w:val="24"/>
          <w:szCs w:val="24"/>
        </w:rPr>
        <w:t xml:space="preserve"> перевода цифровых активов с площадки одного оператора информационных систем на площадку другого. На диаграмме последовательностей были выделены 4 информационных потока, обозначенных разными цветами (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REF _Ref219064691 \h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 xml:space="preserve">13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).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keepNext w:val="true"/>
        <w:pBdr/>
        <w:spacing w:after="0" w:line="276" w:lineRule="auto"/>
        <w:ind/>
        <w:jc w:val="both"/>
        <w:rPr/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50890" cy="6969967"/>
                <wp:effectExtent l="0" t="0" r="0" b="2540"/>
                <wp:docPr id="13" name="Группа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50889" cy="6969966"/>
                          <a:chOff x="0" y="0"/>
                          <a:chExt cx="5850889" cy="7103110"/>
                        </a:xfrm>
                      </wpg:grpSpPr>
                      <pic:pic xmlns:pic="http://schemas.openxmlformats.org/drawingml/2006/picture">
                        <pic:nvPicPr>
                          <pic:cNvPr id="1760367098" name="Рисунок 1"/>
                          <pic:cNvPicPr>
                            <a:picLocks noChangeAspect="1"/>
                          </pic:cNvPicPr>
                          <pic:nvPr/>
                        </pic:nvPicPr>
                        <pic:blipFill>
                          <a:blip r:embed="rId26"/>
                          <a:stretch/>
                        </pic:blipFill>
                        <pic:spPr bwMode="auto">
                          <a:xfrm>
                            <a:off x="0" y="0"/>
                            <a:ext cx="5850889" cy="3696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7119670" name="Рисунок 1"/>
                          <pic:cNvPicPr>
                            <a:picLocks noChangeAspect="1"/>
                          </pic:cNvPicPr>
                          <pic:nvPr/>
                        </pic:nvPicPr>
                        <pic:blipFill>
                          <a:blip r:embed="rId27"/>
                          <a:stretch/>
                        </pic:blipFill>
                        <pic:spPr bwMode="auto">
                          <a:xfrm>
                            <a:off x="133350" y="3686175"/>
                            <a:ext cx="5581015" cy="34169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6" o:spid="_x0000_s0000" style="width:460.70pt;height:548.82pt;mso-wrap-distance-left:0.00pt;mso-wrap-distance-top:0.00pt;mso-wrap-distance-right:0.00pt;mso-wrap-distance-bottom:0.00pt;" coordorigin="0,0" coordsize="58508,7103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7" o:spid="_x0000_s17" type="#_x0000_t75" style="position:absolute;left:0;top:0;width:58508;height:36969;z-index:1;" stroked="false">
                  <v:imagedata r:id="rId26" o:title=""/>
                  <o:lock v:ext="edit" rotation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8" o:spid="_x0000_s18" type="#_x0000_t75" style="position:absolute;left:1333;top:36861;width:55810;height:34169;z-index:1;" stroked="false">
                  <v:imagedata r:id="rId27" o:title=""/>
                  <o:lock v:ext="edit" rotation="t"/>
                </v:shape>
              </v:group>
            </w:pict>
          </mc:Fallback>
        </mc:AlternateContent>
      </w:r>
      <w:r/>
    </w:p>
    <w:p>
      <w:pPr>
        <w:pStyle w:val="978"/>
        <w:pBdr/>
        <w:spacing/>
        <w:ind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/>
      <w:bookmarkStart w:id="224" w:name="_Ref219064687"/>
      <w:r/>
      <w:bookmarkStart w:id="225" w:name="_Ref219064691"/>
      <w:r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13</w: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bookmarkEnd w:id="225"/>
      <w:r>
        <w:rPr>
          <w:rFonts w:ascii="Times New Roman" w:hAnsi="Times New Roman" w:cs="Times New Roman"/>
          <w:color w:val="auto"/>
          <w:sz w:val="24"/>
          <w:szCs w:val="24"/>
        </w:rPr>
        <w:t xml:space="preserve">. Диаграмма последовательностей</w:t>
      </w:r>
      <w:bookmarkEnd w:id="224"/>
      <w:r/>
      <w:r>
        <w:rPr>
          <w:rFonts w:ascii="Times New Roman" w:hAnsi="Times New Roman" w:cs="Times New Roman"/>
          <w:color w:val="auto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76" w:lineRule="auto"/>
        <w:ind/>
        <w:jc w:val="both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76" w:lineRule="auto"/>
        <w:ind/>
        <w:jc w:val="both"/>
        <w:rPr>
          <w:rFonts w:ascii="Times New Roman" w:hAnsi="Times New Roman" w:eastAsia="Times New Roman" w:cs="Times New Roman"/>
          <w:color w:val="0f1115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none"/>
        </w:rPr>
        <w:t xml:space="preserve">Для описания сообщений, стандартизируемых сервисом, был выбран стандарт 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none"/>
          <w:lang w:val="en-US"/>
        </w:rPr>
        <w:t xml:space="preserve">ISO 20022 - 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none"/>
          <w:lang w:val="en-US"/>
        </w:rPr>
        <w:t xml:space="preserve">Trade Services Management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none"/>
          <w:lang w:val="en-US"/>
        </w:rPr>
        <w:t xml:space="preserve">.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76" w:lineRule="auto"/>
        <w:ind/>
        <w:jc w:val="both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highlight w:val="none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76" w:lineRule="auto"/>
        <w:ind/>
        <w:jc w:val="both"/>
        <w:rPr>
          <w:rFonts w:ascii="Times New Roman" w:hAnsi="Times New Roman" w:eastAsia="Times New Roman" w:cs="Times New Roman"/>
          <w:color w:val="0f111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Шаг 1. Выбор опции перевода ЦФА в личном кабинете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76" w:lineRule="auto"/>
        <w:ind/>
        <w:jc w:val="both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Инвестор входит в свой личный кабинет на платформе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Оператора Цифровых Активов и 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выбирает 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опцию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перевод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а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ЦФА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на другую платформу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76" w:lineRule="auto"/>
        <w:ind/>
        <w:jc w:val="both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Шаг 2. Форма заявки на перевод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76" w:lineRule="auto"/>
        <w:ind/>
        <w:jc w:val="both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Система открывает перед инвестором электронную форму для заполнения. В этой форме ему необходимо указать детали перевода: 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ЦФА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, которые он хочет перевести, оператора назначения (Оператор Б на диаграмме) и количество активов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76" w:lineRule="auto"/>
        <w:ind/>
        <w:jc w:val="both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Шаг 3. Выбор ЦФА на перевод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76" w:lineRule="auto"/>
        <w:ind/>
        <w:jc w:val="both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Инвестор указывает параметры заявки на перевод, описанные на шаге 2. 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Заполнение формы является официальным запросом на инициирование операции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76" w:lineRule="auto"/>
        <w:ind/>
        <w:jc w:val="both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Шаг 4. Обновление статуса заявки на «В обработке»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76" w:lineRule="auto"/>
        <w:ind/>
        <w:jc w:val="both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После проверки введённых данных и подтверждения заявки инвестором в личном кабинете инвестора устанавливается статус заявки «В обработке». Это значит, что запрос принят и передан для дальнейших процедур, а инвестор может отслеживать его прогресс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76" w:lineRule="auto"/>
        <w:ind/>
        <w:jc w:val="both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Шаг 5. Передача результатов КУС инвестора и данных заявки оператору А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76" w:lineRule="auto"/>
        <w:ind/>
        <w:jc w:val="both"/>
        <w:rPr>
          <w:rFonts w:ascii="Times New Roman" w:hAnsi="Times New Roman" w:eastAsia="Arial" w:cs="Times New Roman"/>
          <w:color w:val="0f1115"/>
          <w:sz w:val="24"/>
          <w:szCs w:val="24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Система Оператора 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Цифровых Активов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подготавливает пакет данных для внутренней проверки. В этот пакет входят вся информация из заявки инвестора, а также 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его данные, 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необходимые для идентификации 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клиента Оператором А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. На данном этапе используется стандартизированное сообщение tsmt.019.001.05</w:t>
      </w:r>
      <w:r>
        <w:rPr>
          <w:rFonts w:ascii="Times New Roman" w:hAnsi="Times New Roman" w:eastAsia="Arial" w:cs="Times New Roman"/>
          <w:color w:val="0f1115"/>
          <w:sz w:val="24"/>
          <w:szCs w:val="24"/>
        </w:rPr>
      </w:r>
    </w:p>
    <w:tbl>
      <w:tblPr>
        <w:tblStyle w:val="965"/>
        <w:tblW w:w="0" w:type="auto"/>
        <w:tblBorders/>
        <w:tblLook w:val="04A0" w:firstRow="1" w:lastRow="0" w:firstColumn="1" w:lastColumn="0" w:noHBand="0" w:noVBand="1"/>
      </w:tblPr>
      <w:tblGrid>
        <w:gridCol w:w="3438"/>
        <w:gridCol w:w="5992"/>
      </w:tblGrid>
      <w:tr>
        <w:trPr/>
        <w:tc>
          <w:tcPr>
            <w:tcBorders/>
            <w:tcW w:w="3438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Номер требования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5992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Описание требования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38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5.1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5992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ИдентификаторЦепочкиСообщений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(&lt;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SubmissnId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 внутри &lt;Document&gt;/&lt;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InitlBaselnSubmissn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&gt;) — уникальный идентификатор этого конкретного сообщения-инициации.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ИдентификаторОтправителя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(&lt;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 внутри &lt;Document&gt;/&lt;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InitlBaselnSubmissn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Baseln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Submitr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&gt;) — универсальный идентификатор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актора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инициирующего сообщение.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ИдентификаторЗаявки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(&lt;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SubmitrTxRef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&gt;) — референс, по которому Оператор А отслеживает операцию.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ТипОперации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(&lt;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Instr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&gt;) — фиксированное значение "PUSH" для межплатформенного перевода.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ИдентификаторИнвестора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(&lt;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BuyrDefinedInf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 с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Labl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="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InvestorID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")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ИНН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Инвестора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(&lt;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BuyrDefinedInf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&gt;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Labl="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InvestorINN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")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Телефон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Инвестора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(&lt;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BuyrDefinedInf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&gt;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Labl="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InvestorPhone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")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ИдентификаторСчетаИнвестора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(&lt;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BuyrDefinedInf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&gt;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Labl="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AccountID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")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Исходного Оператора: (&lt;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BuyrBk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FinInstnId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Оператора Назначения: (&lt;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SellrBk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FinInstnId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Тип ЦФА: (&lt;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PdctCtgy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StrdPdctCtgy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Ctgy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&gt;) — используется код из классификатора ЦФА.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Идентификатор Выпуска: (&lt;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PdctIdr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StrdPdctIdr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Idr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Параметры выпуска: (&lt;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PdctChrtcs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StrdPdctChrtcs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Chrtcs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&gt;) — JSON/XML строка с параметрами.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ЦФА: (&lt;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Qty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 в 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LineItmDtls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Стоимость единицы: (&lt;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UnitPric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Amt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Общая стоимость: (&lt;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LineItmsTtlAmt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38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5.2 Установка логического соединения между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акторами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5992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ОЦА должен выполнить аутентификацию на API-шлюзе Сервиса (ОИС) с использованием: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OAuth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 2.0 Client 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Credentials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 с JWT-токеном, подписанным закрытым ключом ОЦА.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API-ключа (X-API-Key) в заголовке 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запроса.Соединение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 должно устанавливаться по HTTPS (TLS 1.3) к публичному FQDN API-шлюза.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38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5.3 Формирование и отправка сообщения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5992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eastAsia="Arial" w:cs="Times New Roman"/>
                <w:color w:val="0f1115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ОЦА должен сформировать XML-документ tsmt.019.001.05, подписать его электронной подписью и отправить как тело (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body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) POST-запроса на 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эндпоинт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 /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api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/v1/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transfers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/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initiate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. В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заголовках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запроса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должны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быть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lang w:val="en-US"/>
              </w:rPr>
              <w:t xml:space="preserve">: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lang w:val="en-US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eastAsia="Arial" w:cs="Times New Roman"/>
                <w:color w:val="0f1115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lang w:val="en-US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eastAsia="Arial" w:cs="Times New Roman"/>
                <w:color w:val="0f1115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lang w:val="en-US"/>
              </w:rPr>
              <w:t xml:space="preserve">Content-Type: application/xml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lang w:val="en-US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eastAsia="Arial" w:cs="Times New Roman"/>
                <w:color w:val="0f1115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lang w:val="en-US"/>
              </w:rPr>
              <w:t xml:space="preserve">Authorization: Bearer &lt;JWT&gt;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  <w:lang w:val="en-US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X-API-Key: &lt;ключ&gt;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38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5.4 Получение 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парсинг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сообщения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5992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API-шлюз Оператора А должен принять сообщение, проверить его транспортную целостность и корректно 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распарсить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 XML, извлекая все обязательные элементы данных.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38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5.5 Валидация элементов данных и их сочетаний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5992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Оператор А проверяет: наличие обязательных полей и корректность их 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формата.Также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 он должен проверить: что 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ИдентификаторСчетаИнвестора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 &lt;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BuyrDefinedInf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&gt; с 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Labl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="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AccountID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" активен, а 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ИдентификаторВыпуска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 &lt;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PdctIdr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StrdPdctIdr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Idr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&gt; доступен для операций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38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5.6 Проверка контрольных и криптографических величин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5992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Оператор А должен верифицировать: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JWT-подпись в заголовке авторизации.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Электронную подпись XML-документа в теле 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запроса.Проверяются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 целостность и сроки действия сертификатов.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38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5.7 Проверка идентификаторов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акторов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сообщений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5992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При получении сообщения Оператор А должен проверить, совпадают ли значения 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ИдентификаторОтправителя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 и 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ИдентификаторИнвестора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 &lt;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BuyrDefinedInf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&gt; с 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Labl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="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InvestorID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"  с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 идентификатором Оператора Цифровых Активов и универсальным идентификатором инвестора, хранящимся в его базе. Также поле 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ИдентификаторЗаявки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 &lt;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SubmitrTxRef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  <w:t xml:space="preserve">&gt; должен быть уникальным за установленный период в 60 дней для предотвращения повторной обработки дублирующей заявки</w:t>
            </w:r>
            <w:r>
              <w:rPr>
                <w:rFonts w:ascii="Times New Roman" w:hAnsi="Times New Roman" w:eastAsia="Arial" w:cs="Times New Roman"/>
                <w:color w:val="0f1115"/>
                <w:sz w:val="24"/>
                <w:szCs w:val="24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Верификация инвестора, проверка его прав на указанные активы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</w:t>
      </w:r>
      <w:r>
        <w:rPr>
          <w:rFonts w:ascii="Times New Roman" w:hAnsi="Times New Roman" w:cs="Times New Roman"/>
          <w:sz w:val="24"/>
          <w:szCs w:val="24"/>
        </w:rPr>
        <w:t xml:space="preserve">истема О</w:t>
      </w:r>
      <w:r>
        <w:rPr>
          <w:rFonts w:ascii="Times New Roman" w:hAnsi="Times New Roman" w:cs="Times New Roman"/>
          <w:sz w:val="24"/>
          <w:szCs w:val="24"/>
        </w:rPr>
        <w:t xml:space="preserve">ператора А проводит верификацию: сверяет личность инвестора и проверяет, есть ли у него на счете необходимое количество запрошенных ЦФА, не наложены ли на активы ограничения. Данное действие является внутренним по отношению к платформе исходного оператора.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Подтверждение готовности проведения межплатформенного перевода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успешной проверки Оператор А фиксирует свое внутреннее решение о воз</w:t>
      </w:r>
      <w:r>
        <w:rPr>
          <w:rFonts w:ascii="Times New Roman" w:hAnsi="Times New Roman" w:cs="Times New Roman"/>
          <w:sz w:val="24"/>
          <w:szCs w:val="24"/>
        </w:rPr>
        <w:t xml:space="preserve">можности перевода. Формируется техническое и юридическое подтверждение того, что платформа-отправитель готова инициировать процесс межплатформенной передачи прав. Оператор А отправляет сообщение о разрешении сделки, являющееся стандартизируемым сообщением </w:t>
      </w:r>
      <w:r>
        <w:rPr>
          <w:rFonts w:ascii="Times New Roman" w:hAnsi="Times New Roman" w:cs="Times New Roman"/>
          <w:sz w:val="24"/>
          <w:szCs w:val="24"/>
        </w:rPr>
        <w:t xml:space="preserve">tsmt.049.001.03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Style w:val="965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809"/>
        <w:gridCol w:w="7761"/>
      </w:tblGrid>
      <w:tr>
        <w:trPr>
          <w:trHeight w:val="468"/>
        </w:trPr>
        <w:tc>
          <w:tcPr>
            <w:tcBorders/>
            <w:tcW w:w="1809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Номер требования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761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Описание требования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1403"/>
        </w:trPr>
        <w:tc>
          <w:tcPr>
            <w:tcBorders/>
            <w:tcW w:w="1809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7.1 Формирование отдельных элементов данных сообщения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761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Оператор Информационных Систем А должен сформировать обязательные элементы данных, представленные ниже в формате: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ЭБД (Сопоставление с ISO 20022). XML-тег / Блок — Примечание.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960"/>
              <w:numPr>
                <w:ilvl w:val="0"/>
                <w:numId w:val="39"/>
              </w:numPr>
              <w:pBdr/>
              <w:spacing w:line="276" w:lineRule="auto"/>
              <w:ind w:firstLine="0"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ИдентификаторЦепочкиСообщений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(Идентификатор сообщения о принятии) —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&lt;Document&gt;/&lt;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RoleAndBaselnAccptnc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AccptncId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&gt;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— Уникальный идентификатор этого сообщения-принятия, генерируемый Оператором А.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960"/>
              <w:numPr>
                <w:ilvl w:val="0"/>
                <w:numId w:val="39"/>
              </w:numPr>
              <w:pBdr/>
              <w:spacing w:line="276" w:lineRule="auto"/>
              <w:ind w:firstLine="0"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ИдентификаторОтправителя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(Актор, принимающий роль и условия) —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&lt;Document&gt;/&lt;RoleAndBaselnAccptnc&gt;/&lt;Accptr&gt;/&lt;FIId&gt;/&lt;FinInstnId&gt;/&lt;ClrSysMmbId&gt;/&lt;MmbId&gt;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— Универсальный идентификатор Оператора А как принимающей стороны.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960"/>
              <w:numPr>
                <w:ilvl w:val="0"/>
                <w:numId w:val="39"/>
              </w:numPr>
              <w:pBdr/>
              <w:spacing w:line="276" w:lineRule="auto"/>
              <w:ind w:firstLine="0"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ИдентификаторЗаявки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(Ссылка на исходное сообщение/запрос) —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&lt;Document&gt;/&lt;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RoleAndBaselnAccptnc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RltdMsgRef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MsgId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&gt;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—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960"/>
              <w:numPr>
                <w:ilvl w:val="0"/>
                <w:numId w:val="39"/>
              </w:numPr>
              <w:pBdr/>
              <w:spacing w:line="276" w:lineRule="auto"/>
              <w:ind w:firstLine="0"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СтатусЗаявки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(Статус принятия/отклонения) —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&lt;Document&gt;/&lt;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RoleAndBaselnAccptnc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AccptncSts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Cd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&gt;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— Допустимые значения: "ACPT"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Accepted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или "RJCT"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Rejected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960"/>
              <w:numPr>
                <w:ilvl w:val="0"/>
                <w:numId w:val="39"/>
              </w:numPr>
              <w:pBdr/>
              <w:spacing w:line="276" w:lineRule="auto"/>
              <w:ind w:firstLine="0"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СтатусВерификацииИнвестора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(Основание для решения) —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&lt;Document&gt;/&lt;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RoleAndBaselnAccptnc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AccptncSts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Rsn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Cd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&gt;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09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7.2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Установка логического соединения между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акторами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761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Оператор А должен выполнить аутентификацию на API-шлюзе ОЦА с использованием механизма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OAuth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2.0 Client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Credentials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(отправка JWT-токена в заголовке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Authorization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Bearer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&lt;токен&gt;) или с помощью статического API-ключа в заголовке X-API-Key. Соединение устанавливается по HTTPS (TLS 1.3) к публичному FQDN API ОЦА.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09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7.3 Формирование и отправка сообщения 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761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Оператор А должен сформировать XML-документ tsmt.025.001, подписать его ЭП, и отправить как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body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POST-запроса на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эндпоинт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ОЦА. Заголовки запроса: Content-Type: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application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xml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Authorization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Bearer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&lt;JWT&gt;.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09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7.4 Получение 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парсинг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сообщения 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761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API-шлюз Оператора Цифровых Активов должен принять сообщение, проверить его транспортную целостность и корректно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распарсить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XML, извлекая все обязательные элементы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09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7.5 Валидация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элементов данных и их отдельных сочетаний 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761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ОЦА должен проверить наличие всех 5 обязательных полей. Для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дальнейшего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продолжнеия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процесса поле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СтатусЗаявки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&lt;Document&gt;/&lt;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RoleAndBaselnAccptnc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AccptncSts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Cd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&gt;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должно содержать значение APPR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Approved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09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7.6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Проверка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контрольных величин 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761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ОЦА должен верифицировать: JWT-подпись в заголовке авторизации (валидация токена доступа); ЭП XML-документа в теле запроса. Проверяется целостность, срок действия и цепочка доверия сертификатов.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09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7.7 Проверка идентификаторов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акторов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сообщений 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761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ОЦА должен проверить, что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client_id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из JWT соответствует полю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ИдентификаторОтправителя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&lt;Document&gt;/&lt;RoleAndBaselnAccptnc&gt;/&lt;Accptr&gt;/&lt;FIId&gt;/&lt;FinInstnId&gt;/&lt;ClrSysMmbId&gt;/&lt;MmbId&gt;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а само значение поля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ИдентификаторОтправителя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совпадает  с универсальным идентификатором Оператора А. Значение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ИдентификаторЗаявки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&lt;Document&gt;/&lt;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RoleAndBaselnAccptnc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RltdMsgRef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MsgId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&gt;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должно совпадать с идентификатором заявки, хранящимся в его системе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09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7.8 Вычисление ответных значений 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761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ОЦА должен, в зависимости от значения поля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СтатусЗаявки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&lt;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Document&gt;/&lt;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RoleAndBaselnAccptnc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AccptncSts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Cd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&gt;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подготовить данные для формирования tsmt.019.001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.05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адресуемого Оператору Б (при APPR) либо уведомить инвестора об отклонении заявки (при RJCT)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Передача результатов КУС инвестора и данных заявки оператору Б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ОЦА</w:t>
      </w:r>
      <w:r>
        <w:rPr>
          <w:rFonts w:ascii="Times New Roman" w:hAnsi="Times New Roman" w:cs="Times New Roman"/>
          <w:sz w:val="24"/>
          <w:szCs w:val="24"/>
        </w:rPr>
        <w:t xml:space="preserve"> направляет безопасным способом (через защищенный кана</w:t>
      </w:r>
      <w:r>
        <w:rPr>
          <w:rFonts w:ascii="Times New Roman" w:hAnsi="Times New Roman" w:cs="Times New Roman"/>
          <w:sz w:val="24"/>
          <w:szCs w:val="24"/>
        </w:rPr>
        <w:t xml:space="preserve">л связи) официальный запрос Оператору Б. В запросе содержатся данные заявки и результаты КУС инвестора для того, чтобы платформа-получатель могла провести свою собственную проверку. На данном этапе используется стандартизированное сообщение tsmt.019.001.05</w:t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Style w:val="965"/>
        <w:tblW w:w="0" w:type="auto"/>
        <w:tblBorders/>
        <w:tblLook w:val="04A0" w:firstRow="1" w:lastRow="0" w:firstColumn="1" w:lastColumn="0" w:noHBand="0" w:noVBand="1"/>
      </w:tblPr>
      <w:tblGrid>
        <w:gridCol w:w="3517"/>
        <w:gridCol w:w="5913"/>
      </w:tblGrid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Номер требования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Описание требования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8.1 Формирование отдельных элементов данных сообщения 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Оператор Цифровых Активов должен сформировать обязательные элементы данных, представленные ниже в формате: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ЭБД (Сопоставление с ISO 20022). XML-тег / Блок — Примечание.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q)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ИдентификаторЦепочкиСообщений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Используется для связывания сообщений в логе сервиса)  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SubmissnId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  внутри &lt;Document&gt;/&lt;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InitlBaselnSubmissn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 — Уникальный идентификатор этого конкретного сообщения-инициации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r)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ИдентификаторОтправителя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 внутри &lt;Document&gt;/&lt;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InitlBaselnSubmissn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Baseln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Submitr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 — Универсальный идентификатор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актора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инициирующего сообщение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s)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ИдентификаторЗаявки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(Внутренний уникальный ID транзакции от Оператора А). 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SubmitrTxRef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  ¬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—Референс, по которому Оператор А отслеживает операцию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t)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ТипОперации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(Должен быть "PUSH" для межплатформенного перевода). 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Instr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 — Фиксированное значение "PUSH"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u)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ИдентификаторИнвестора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Передается в пользовательских данных покупателя).  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BuyrDefinedInf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 с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Labl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="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InvestorID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"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v)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ИннИнвестора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(Передается в пользовательских данных покупателя).  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BuyrDefinedInf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 с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Labl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="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InvestorINN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"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w)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ТелефонИнвестора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Передается в пользовательских данных покупателя)  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BuyrDefinedInf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 с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Labl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="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InvestorPhone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"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x)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ИдентификаторСчетаИнвестора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(Передается в пользовательских данных). 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BuyrDefinedInf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 с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Labl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="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AccountID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"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y)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НаименованиеИсходногоОператора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инициатор).  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BuyrBk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FinInstnId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z)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НаименованиеОператораНазначения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контрагент).  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SellrBk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FinInstnId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 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ТипЦФА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PdctCtgy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StrdPdctCtgy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Ctgy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 — Используется код из классификатора ЦФА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ИдентификаторВыпуска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PdctIdr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StrdPdctIdr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Idr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ПараметрыВыпуска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Дополнительные характеристики актива).  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PdctChrtcs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StrdPdctChrtcs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Chrtcs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 — JSON/XML строка с параметрами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КоличествоЦФА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Qty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 в 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LineItmDtls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СтоимостьЕдиницы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UnitPric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Amt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 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СтоимостьОбщая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LineItmsTtlAmt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8.2 Установка логического соединения между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акторами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ОЦА должен выполнить аутентификацию на API-шлюзе Оператора Б с использованием: 1)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OAuth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2.0 Client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Credentials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 JWT-токеном, подписанным закрытым ключом ОЦА; 2) API-ключа (X-API-Key) в заголовке запроса; соединение должно устанавливаться по HTTPS (TLS 1.3) к публичному FQDN API-шлюза.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8.3 Формирование и отправка сообщения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ОЦА должен сформировать XML-документ tsmt.019.001.05, подписать его ЭП, и отправить как тело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body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POST-запроса на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эндпоинт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api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/v1/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transfers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initiate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В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заголовках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запроса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должны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быть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Content-Type: application/xml, Authorization: Bearer &lt;JWT&gt;, X-API-Key: 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ключ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&gt;.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8.4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Получение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парсинг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сообщения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API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-шлюз Оператора Б должен принять сообщение, проверить его транспортную целостность и корректно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распарсить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XML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извлекая все обязательные элементы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8.5 Валидация элементов данных и их сочетаний 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Оператор Б проверяет: наличие обязательных полей и корректность их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формата.Также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он должен проверить: что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ИдентификаторСчетаИнвестора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&lt;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BuyrDefinedInf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 с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Labl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="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AccountID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" активен, 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ИдентификаторВыпуска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&lt;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PdctIdr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StrdPdctIdr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Idr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 доступен для операций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8.6 Проверка контрольных и криптографических величин 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Оператор Б должен верифицировать: 1) JWT-подпись в заголовке авторизации; 2) ЭП XML-документа в теле запроса. Проверяются целостность и сроки действия сертификатов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8.7 Проверка идентификаторов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акторов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сообщений 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 получении сообщения Оператор Б должен проверить, совпадают ли значения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ИдентификаторОтправителя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ИдентификаторИнвестора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BuyrDefinedInf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 с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Labl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="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InvestorID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"  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идентификатором Оператора Цифровых Активов и универсальным идентификатором инвестора, хранящимся в его базе. Также поле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ИдентификаторЗаявки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SubmitrTxRef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 должен быть уникальным за установленный период в 60 дней для предотвращения повторной обработки дублирующей заявки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8.8 Вычисление или извлечение запрошенных ответных значений 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Оператор А после успешного приема и валидации сообщения возвращает ответ в формате JSON, содержащий: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internalTransactionId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— уникальный идентификатор заявки, присвоенный внутренней системой Оператора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receivedMessageId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— значение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ИдентификатораЦепочкиСообщений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SubmissnId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&gt;) из входящего сообщения для подтверждения получения.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processingStatus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— текущий статус обработки заявки в системе Оператора А (например, "VALIDATED", "PENDING_VERIFICATION").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nextStepEndpoint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(опционально) — URL для отслеживания статуса, если обработка асинхронная.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 ошибке валидации возвращается HTTP 400/422 с детальным описанием ошибки в теле ответа.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Верификация инвестора, проверка его прав на указанные активы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Оператор Б, получ</w:t>
      </w:r>
      <w:r>
        <w:rPr>
          <w:rFonts w:ascii="Times New Roman" w:hAnsi="Times New Roman" w:cs="Times New Roman"/>
          <w:sz w:val="24"/>
          <w:szCs w:val="24"/>
        </w:rPr>
        <w:t xml:space="preserve">ив данные, проводит собственную процедуру верификации инвестора на своей стороне. Также он проверяет наличие счета и кошелька инвестора на своей платформе и заводит их, если они отсутствуют. Данное действие происходит внутри платформы оператора назначения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10. Подтверждение готовности проведения межплатформенного перевода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случае положительного результата проверки Оператор Б формирует и отправляет Оператору А подтверждение. В этом подтверждении указывается, что платформа-получатель готова принять активы и зачислить их на счет инвестора.</w:t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Style w:val="965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809"/>
        <w:gridCol w:w="7761"/>
      </w:tblGrid>
      <w:tr>
        <w:trPr>
          <w:trHeight w:val="468"/>
        </w:trPr>
        <w:tc>
          <w:tcPr>
            <w:tcBorders/>
            <w:tcW w:w="1809" w:type="dxa"/>
            <w:textDirection w:val="lrTb"/>
            <w:noWrap w:val="false"/>
          </w:tcPr>
          <w:p>
            <w:pPr>
              <w:pStyle w:val="986"/>
              <w:pBdr/>
              <w:spacing/>
              <w:ind/>
              <w:rPr/>
            </w:pPr>
            <w:r>
              <w:t xml:space="preserve">Номер требования</w:t>
            </w:r>
            <w:r/>
          </w:p>
        </w:tc>
        <w:tc>
          <w:tcPr>
            <w:tcBorders/>
            <w:tcW w:w="7761" w:type="dxa"/>
            <w:textDirection w:val="lrTb"/>
            <w:noWrap w:val="false"/>
          </w:tcPr>
          <w:p>
            <w:pPr>
              <w:pStyle w:val="986"/>
              <w:pBdr/>
              <w:spacing/>
              <w:ind/>
              <w:rPr/>
            </w:pPr>
            <w:r>
              <w:t xml:space="preserve">Описание требования</w:t>
            </w:r>
            <w:r/>
          </w:p>
        </w:tc>
      </w:tr>
      <w:tr>
        <w:trPr>
          <w:trHeight w:val="1403"/>
        </w:trPr>
        <w:tc>
          <w:tcPr>
            <w:tcBorders/>
            <w:tcW w:w="1809" w:type="dxa"/>
            <w:textDirection w:val="lrTb"/>
            <w:noWrap w:val="false"/>
          </w:tcPr>
          <w:p>
            <w:pPr>
              <w:pStyle w:val="986"/>
              <w:pBdr/>
              <w:spacing/>
              <w:ind/>
              <w:rPr/>
            </w:pPr>
            <w:r>
              <w:t xml:space="preserve">10.1 Формирование отдельных элементов данных сообщения</w:t>
            </w:r>
            <w:r/>
          </w:p>
        </w:tc>
        <w:tc>
          <w:tcPr>
            <w:tcBorders/>
            <w:tcW w:w="7761" w:type="dxa"/>
            <w:textDirection w:val="lrTb"/>
            <w:noWrap w:val="false"/>
          </w:tcPr>
          <w:p>
            <w:pPr>
              <w:pStyle w:val="986"/>
              <w:pBdr/>
              <w:spacing/>
              <w:ind/>
              <w:rPr/>
            </w:pPr>
            <w:r>
              <w:t xml:space="preserve">Оператор Информационных Систем </w:t>
            </w:r>
            <w:r>
              <w:t xml:space="preserve">Б  должен</w:t>
            </w:r>
            <w:r>
              <w:t xml:space="preserve"> сформировать обязательные элементы данных, представленные ниже в формате: </w:t>
            </w:r>
            <w:r/>
          </w:p>
          <w:p>
            <w:pPr>
              <w:pStyle w:val="986"/>
              <w:pBdr/>
              <w:spacing/>
              <w:ind/>
              <w:rPr/>
            </w:pPr>
            <w:r>
              <w:t xml:space="preserve">ЭБД (Сопоставление с ISO 20022). XML-тег / Блок — Примечание.</w:t>
            </w:r>
            <w:r/>
          </w:p>
          <w:p>
            <w:pPr>
              <w:pStyle w:val="986"/>
              <w:pBdr/>
              <w:spacing/>
              <w:ind/>
              <w:rPr/>
            </w:pPr>
            <w:r>
              <w:t xml:space="preserve">ИдентификаторЦепочкиСообщений</w:t>
            </w:r>
            <w:r>
              <w:t xml:space="preserve"> (Идентификатор сообщения о принятии) — &lt;Document&gt;/&lt;</w:t>
            </w:r>
            <w:r>
              <w:t xml:space="preserve">RoleAndBaselnAccptnc</w:t>
            </w:r>
            <w:r>
              <w:t xml:space="preserve">&gt;/&lt;</w:t>
            </w:r>
            <w:r>
              <w:t xml:space="preserve">AccptncId</w:t>
            </w:r>
            <w:r>
              <w:t xml:space="preserve">&gt; — Уникальный идентификатор этого сообщения-принятия, генерируемый Оператором А.</w:t>
            </w:r>
            <w:r/>
          </w:p>
          <w:p>
            <w:pPr>
              <w:pStyle w:val="986"/>
              <w:pBdr/>
              <w:spacing/>
              <w:ind/>
              <w:rPr/>
            </w:pPr>
            <w:r>
              <w:t xml:space="preserve">ИдентификаторОтправителя</w:t>
            </w:r>
            <w:r>
              <w:t xml:space="preserve"> (Актор, принимающий роль и условия) — &lt;Document&gt;/&lt;RoleAndBaselnAccptnc&gt;/&lt;Accptr&gt;/&lt;FIId&gt;/&lt;FinInstnId&gt;/&lt;ClrSysMmbId&gt;/&lt;MmbId&gt; — Универсальный идентификатор Оператора А как принимающей стороны.</w:t>
            </w:r>
            <w:r/>
          </w:p>
          <w:p>
            <w:pPr>
              <w:pStyle w:val="986"/>
              <w:pBdr/>
              <w:spacing/>
              <w:ind/>
              <w:rPr/>
            </w:pPr>
            <w:r>
              <w:t xml:space="preserve">ИдентификаторЗаявки</w:t>
            </w:r>
            <w:r>
              <w:t xml:space="preserve"> (Ссылка на исходное сообщение/запрос) — &lt;Document&gt;/&lt;</w:t>
            </w:r>
            <w:r>
              <w:t xml:space="preserve">RoleAndBaselnAccptnc</w:t>
            </w:r>
            <w:r>
              <w:t xml:space="preserve">&gt;/&lt;</w:t>
            </w:r>
            <w:r>
              <w:t xml:space="preserve">RltdMsgRef</w:t>
            </w:r>
            <w:r>
              <w:t xml:space="preserve">&gt;/&lt;</w:t>
            </w:r>
            <w:r>
              <w:t xml:space="preserve">MsgId</w:t>
            </w:r>
            <w:r>
              <w:t xml:space="preserve">&gt; — </w:t>
            </w:r>
            <w:r/>
          </w:p>
          <w:p>
            <w:pPr>
              <w:pStyle w:val="986"/>
              <w:pBdr/>
              <w:spacing/>
              <w:ind/>
              <w:rPr/>
            </w:pPr>
            <w:r>
              <w:t xml:space="preserve">СтатусЗаявки</w:t>
            </w:r>
            <w:r>
              <w:t xml:space="preserve"> (Статус принятия/отклонения) — &lt;Document&gt;/&lt;</w:t>
            </w:r>
            <w:r>
              <w:t xml:space="preserve">RoleAndBaselnAccptnc</w:t>
            </w:r>
            <w:r>
              <w:t xml:space="preserve">&gt;/&lt;</w:t>
            </w:r>
            <w:r>
              <w:t xml:space="preserve">AccptncSts</w:t>
            </w:r>
            <w:r>
              <w:t xml:space="preserve">&gt;/&lt;</w:t>
            </w:r>
            <w:r>
              <w:t xml:space="preserve">Cd</w:t>
            </w:r>
            <w:r>
              <w:t xml:space="preserve">&gt; — Допустимые значения: "ACPT" (</w:t>
            </w:r>
            <w:r>
              <w:t xml:space="preserve">Accepted</w:t>
            </w:r>
            <w:r>
              <w:t xml:space="preserve">) или "RJCT" (</w:t>
            </w:r>
            <w:r>
              <w:t xml:space="preserve">Rejected</w:t>
            </w:r>
            <w:r>
              <w:t xml:space="preserve">).</w:t>
            </w:r>
            <w:r/>
          </w:p>
          <w:p>
            <w:pPr>
              <w:pStyle w:val="986"/>
              <w:pBdr/>
              <w:spacing/>
              <w:ind/>
              <w:rPr/>
            </w:pPr>
            <w:r>
              <w:t xml:space="preserve">СтатусВерификацииИнвестора</w:t>
            </w:r>
            <w:r>
              <w:t xml:space="preserve"> (Основание для решения) — &lt;Document&gt;/&lt;</w:t>
            </w:r>
            <w:r>
              <w:t xml:space="preserve">RoleAndBaselnAccptnc</w:t>
            </w:r>
            <w:r>
              <w:t xml:space="preserve">&gt;/&lt;</w:t>
            </w:r>
            <w:r>
              <w:t xml:space="preserve">AccptncSts</w:t>
            </w:r>
            <w:r>
              <w:t xml:space="preserve">&gt;/&lt;</w:t>
            </w:r>
            <w:r>
              <w:t xml:space="preserve">Rsn</w:t>
            </w:r>
            <w:r>
              <w:t xml:space="preserve">&gt;/&lt;</w:t>
            </w:r>
            <w:r>
              <w:t xml:space="preserve">Cd</w:t>
            </w:r>
            <w:r>
              <w:t xml:space="preserve">&gt;</w:t>
            </w:r>
            <w:r/>
          </w:p>
        </w:tc>
      </w:tr>
      <w:tr>
        <w:trPr/>
        <w:tc>
          <w:tcPr>
            <w:tcBorders/>
            <w:tcW w:w="1809" w:type="dxa"/>
            <w:textDirection w:val="lrTb"/>
            <w:noWrap w:val="false"/>
          </w:tcPr>
          <w:p>
            <w:pPr>
              <w:pStyle w:val="986"/>
              <w:pBdr/>
              <w:spacing/>
              <w:ind/>
              <w:rPr/>
            </w:pPr>
            <w:r>
              <w:t xml:space="preserve">10.2 Установка логического соединения </w:t>
            </w:r>
            <w:r>
              <w:t xml:space="preserve">между </w:t>
            </w:r>
            <w:r>
              <w:t xml:space="preserve">акторами</w:t>
            </w:r>
            <w:r/>
          </w:p>
        </w:tc>
        <w:tc>
          <w:tcPr>
            <w:tcBorders/>
            <w:tcW w:w="7761" w:type="dxa"/>
            <w:textDirection w:val="lrTb"/>
            <w:noWrap w:val="false"/>
          </w:tcPr>
          <w:p>
            <w:pPr>
              <w:pStyle w:val="986"/>
              <w:pBdr/>
              <w:spacing/>
              <w:ind/>
              <w:rPr/>
            </w:pPr>
            <w:r>
              <w:t xml:space="preserve">Оператор Б должен выполнить аутентификацию на API-шлюзе ОЦА с использованием механизма </w:t>
            </w:r>
            <w:r>
              <w:t xml:space="preserve">OAuth</w:t>
            </w:r>
            <w:r>
              <w:t xml:space="preserve"> 2.0 Client </w:t>
            </w:r>
            <w:r>
              <w:t xml:space="preserve">Credentials</w:t>
            </w:r>
            <w:r>
              <w:t xml:space="preserve"> (отправка JWT-токена в заголовке </w:t>
            </w:r>
            <w:r>
              <w:t xml:space="preserve">Authorization</w:t>
            </w:r>
            <w:r>
              <w:t xml:space="preserve">: </w:t>
            </w:r>
            <w:r>
              <w:t xml:space="preserve">Bearer</w:t>
            </w:r>
            <w:r>
              <w:t xml:space="preserve"> &lt;токен&gt;) или с помощью </w:t>
            </w:r>
            <w:r>
              <w:t xml:space="preserve">статического API-ключа в заголовке X-API-Key. Соединение устанавливается по HTTPS (TLS 1.3) к публичному FQDN API ОЦА.</w:t>
            </w:r>
            <w:r/>
          </w:p>
        </w:tc>
      </w:tr>
      <w:tr>
        <w:trPr/>
        <w:tc>
          <w:tcPr>
            <w:tcBorders/>
            <w:tcW w:w="1809" w:type="dxa"/>
            <w:textDirection w:val="lrTb"/>
            <w:noWrap w:val="false"/>
          </w:tcPr>
          <w:p>
            <w:pPr>
              <w:pStyle w:val="986"/>
              <w:pBdr/>
              <w:spacing/>
              <w:ind/>
              <w:rPr/>
            </w:pPr>
            <w:r>
              <w:t xml:space="preserve">10.3 Формирование и отправка сообщения  </w:t>
            </w:r>
            <w:r/>
          </w:p>
        </w:tc>
        <w:tc>
          <w:tcPr>
            <w:tcBorders/>
            <w:tcW w:w="7761" w:type="dxa"/>
            <w:textDirection w:val="lrTb"/>
            <w:noWrap w:val="false"/>
          </w:tcPr>
          <w:p>
            <w:pPr>
              <w:pStyle w:val="986"/>
              <w:pBdr/>
              <w:spacing/>
              <w:ind/>
              <w:rPr/>
            </w:pPr>
            <w:r>
              <w:t xml:space="preserve">Оператор Б должен сформировать XML-документ tsmt.025.001, подписать его ЭП, и отправить как </w:t>
            </w:r>
            <w:r>
              <w:t xml:space="preserve">body</w:t>
            </w:r>
            <w:r>
              <w:t xml:space="preserve"> POST-запроса на </w:t>
            </w:r>
            <w:r>
              <w:t xml:space="preserve">эндпоинт</w:t>
            </w:r>
            <w:r>
              <w:t xml:space="preserve"> ОЦА /</w:t>
            </w:r>
            <w:r>
              <w:t xml:space="preserve">internal</w:t>
            </w:r>
            <w:r>
              <w:t xml:space="preserve">/</w:t>
            </w:r>
            <w:r>
              <w:t xml:space="preserve">api</w:t>
            </w:r>
            <w:r>
              <w:t xml:space="preserve">/v1/</w:t>
            </w:r>
            <w:r>
              <w:t xml:space="preserve">transfer</w:t>
            </w:r>
            <w:r>
              <w:t xml:space="preserve">/</w:t>
            </w:r>
            <w:r>
              <w:t xml:space="preserve">confirmation</w:t>
            </w:r>
            <w:r>
              <w:t xml:space="preserve">. Заголовки запроса: Content-Type: </w:t>
            </w:r>
            <w:r>
              <w:t xml:space="preserve">application</w:t>
            </w:r>
            <w:r>
              <w:t xml:space="preserve">/</w:t>
            </w:r>
            <w:r>
              <w:t xml:space="preserve">xml</w:t>
            </w:r>
            <w:r>
              <w:t xml:space="preserve">, </w:t>
            </w:r>
            <w:r>
              <w:t xml:space="preserve">Authorization</w:t>
            </w:r>
            <w:r>
              <w:t xml:space="preserve">: </w:t>
            </w:r>
            <w:r>
              <w:t xml:space="preserve">Bearer</w:t>
            </w:r>
            <w:r>
              <w:t xml:space="preserve"> &lt;JWT&gt;.</w:t>
            </w:r>
            <w:r/>
          </w:p>
        </w:tc>
      </w:tr>
      <w:tr>
        <w:trPr/>
        <w:tc>
          <w:tcPr>
            <w:tcBorders/>
            <w:tcW w:w="18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10.4 Получение и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парсинг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сообщения 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  <w:tc>
          <w:tcPr>
            <w:tcBorders/>
            <w:tcW w:w="7761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API-шлюз Оператора Цифровых Активов должен принять сообщение, проверить его транспортную целостность и корректно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распарсить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XML, извлекая все обязательные элементы данных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10.5 Валидация элементов данных и их отдельных сочетаний 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  <w:tc>
          <w:tcPr>
            <w:tcBorders/>
            <w:tcW w:w="7761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ОЦА должен проверить наличие всех 5 обязательных полей. Для дальнейшего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продолжнеия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процесса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поле 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СтатусЗаявки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&lt;Document&gt;/&lt;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RoleAndBaselnAccptnc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AccptncSts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Cd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&gt;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должно содержать значение APPR (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Approved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10.6 Проверка контрольных величин 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  <w:tc>
          <w:tcPr>
            <w:tcBorders/>
            <w:tcW w:w="7761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ОЦА должен верифицировать: 1) JWT-подпись в заголовке авторизации (валидация токена доступа); 2) ЭП XML-документа в теле запроса. Проверяется целостность, срок действия и цепочка доверия сертификатов.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10.7 Проверка идентификаторов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акторов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и сообщений 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  <w:tc>
          <w:tcPr>
            <w:tcBorders/>
            <w:tcW w:w="7761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ОЦА должен проверить, что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client_id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из JWT соответствует полю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ИдентификаторОтправителя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&lt;Document&gt;/&lt;RoleAndBaselnAccptnc&gt;/&lt;Accptr&gt;/&lt;FIId&gt;/&lt;FinInstnId&gt;/&lt;ClrSysMmbId&gt;/&lt;MmbId&gt;,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а само значение поля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ИдентификаторОтправителя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совпадает  с универсальным идентификатором Оператора Б. Значение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ИдентификаторЗаявки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&lt;Document&gt;/&lt;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RoleAndBaselnAccptnc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RltdMsgRef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MsgId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 должно совпадать с идентификатором заявки, хранящимся в его системе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10.8 Вычисление ответных значений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7761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ОЦА должен, в зависимости от значения поля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СтатусЗаявки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&lt;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Document&gt;/&lt;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RoleAndBaselnAccptnc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AccptncSts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Cd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подготовить данные для формирования tsmt.0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.001.0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адресуемого Оператору Б (при APPR) либо уведомить инвестора об отклонении заявки (при RJCT)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76" w:lineRule="auto"/>
        <w:ind/>
        <w:jc w:val="both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11. Возврат статуса</w:t>
      </w:r>
      <w:r>
        <w:rPr>
          <w:rFonts w:ascii="Times New Roman" w:hAnsi="Times New Roman" w:cs="Times New Roman"/>
          <w:sz w:val="24"/>
          <w:szCs w:val="24"/>
        </w:rPr>
        <w:t xml:space="preserve"> заявки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Оператор Цифровых Активов, получив подтверждение о</w:t>
      </w:r>
      <w:r>
        <w:rPr>
          <w:rFonts w:ascii="Times New Roman" w:hAnsi="Times New Roman" w:cs="Times New Roman"/>
          <w:sz w:val="24"/>
          <w:szCs w:val="24"/>
        </w:rPr>
        <w:t xml:space="preserve">т обоих ОИС, обновляет статус заявки в личном кабинете инвестора. Статус меняется на "Одобрена", что уведомляет инвестора о подготовке перевода. При осуществлении этого шага происходит клиент-серверное взаимодействие на платформе Оператора Цифровых Активов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12. Запрос на выпуск ЦФА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ОЦА передает Оператору Б сообщение с параметрами исходного выпуска ЦФА для того, чтобы Оператор Б смог выпустить </w:t>
      </w:r>
      <w:r>
        <w:rPr>
          <w:rFonts w:ascii="Times New Roman" w:hAnsi="Times New Roman" w:cs="Times New Roman"/>
          <w:sz w:val="24"/>
          <w:szCs w:val="24"/>
        </w:rPr>
        <w:t xml:space="preserve">аналогичные </w:t>
      </w:r>
      <w:r>
        <w:rPr>
          <w:rFonts w:ascii="Times New Roman" w:hAnsi="Times New Roman" w:cs="Times New Roman"/>
          <w:sz w:val="24"/>
          <w:szCs w:val="24"/>
        </w:rPr>
        <w:t xml:space="preserve">wrap</w:t>
      </w:r>
      <w:r>
        <w:rPr>
          <w:rFonts w:ascii="Times New Roman" w:hAnsi="Times New Roman" w:cs="Times New Roman"/>
          <w:sz w:val="24"/>
          <w:szCs w:val="24"/>
        </w:rPr>
        <w:t xml:space="preserve">-активы на своей площадке.</w:t>
      </w:r>
      <w:r>
        <w:rPr>
          <w:rFonts w:ascii="Times New Roman" w:hAnsi="Times New Roman" w:cs="Times New Roman"/>
          <w:sz w:val="24"/>
          <w:szCs w:val="24"/>
        </w:rPr>
        <w:t xml:space="preserve"> Для данного действия используется стандартизированное сообщение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tsmt.024.001.03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ActionReminder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V03.</w:t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76" w:lineRule="auto"/>
        <w:ind/>
        <w:jc w:val="both"/>
        <w:rPr>
          <w:rFonts w:ascii="Times New Roman" w:hAnsi="Times New Roman" w:eastAsia="Times New Roman" w:cs="Times New Roman"/>
          <w:color w:val="0f1115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val="en-US"/>
        </w:rPr>
      </w:r>
    </w:p>
    <w:tbl>
      <w:tblPr>
        <w:tblStyle w:val="965"/>
        <w:tblW w:w="9570" w:type="dxa"/>
        <w:tblBorders/>
        <w:tblLook w:val="04A0" w:firstRow="1" w:lastRow="0" w:firstColumn="1" w:lastColumn="0" w:noHBand="0" w:noVBand="1"/>
      </w:tblPr>
      <w:tblGrid>
        <w:gridCol w:w="2235"/>
        <w:gridCol w:w="7335"/>
      </w:tblGrid>
      <w:tr>
        <w:trPr>
          <w:trHeight w:val="468"/>
        </w:trPr>
        <w:tc>
          <w:tcPr>
            <w:tcBorders/>
            <w:tcW w:w="2235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Номер требования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335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Описание требования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1403"/>
        </w:trPr>
        <w:tc>
          <w:tcPr>
            <w:tcBorders/>
            <w:tcW w:w="2235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12.1 Формирование отдельных элементов данных сообщения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  <w:tc>
          <w:tcPr>
            <w:tcBorders/>
            <w:tcW w:w="7335" w:type="dxa"/>
            <w:textDirection w:val="lrTb"/>
            <w:noWrap w:val="false"/>
          </w:tcPr>
          <w:p>
            <w:pPr>
              <w:pStyle w:val="960"/>
              <w:numPr>
                <w:ilvl w:val="0"/>
                <w:numId w:val="3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 w:hanging="33" w:left="33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Идентификатор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ИдентификаторЦепочкиСообщений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(Идентификатор напоминания). 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&lt;Document&gt;/&lt;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ActnRmdr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RmdrId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  <w:p>
            <w:pPr>
              <w:pStyle w:val="960"/>
              <w:numPr>
                <w:ilvl w:val="0"/>
                <w:numId w:val="3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 w:hanging="33" w:left="33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ИдентификаторЗаявки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(Ссылка на связанную транзакцию). 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&lt;Document&gt;/&lt;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ActnRmdr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RltdTx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TxId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— ID исходной заявки на перевод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  <w:p>
            <w:pPr>
              <w:pStyle w:val="960"/>
              <w:numPr>
                <w:ilvl w:val="0"/>
                <w:numId w:val="3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 w:hanging="33" w:left="33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ИдентификаторОтправителя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(Отправитель напоминания) 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&lt;Document&gt;/&lt;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ActnRmdr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FIId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 —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ab/>
              <w:t xml:space="preserve">Универсальный ID ОЦА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  <w:p>
            <w:pPr>
              <w:pStyle w:val="960"/>
              <w:numPr>
                <w:ilvl w:val="0"/>
                <w:numId w:val="3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 w:hanging="33" w:left="33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Тип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Операции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(Тип ожидаемого действия). 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&lt;Document&gt;/&lt;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ActnRmdr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ActnTp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  <w:p>
            <w:pPr>
              <w:pStyle w:val="960"/>
              <w:numPr>
                <w:ilvl w:val="0"/>
                <w:numId w:val="3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 w:hanging="33" w:left="33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ИдентификаторИсходного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Выпуска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.&lt;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Document&gt;/&lt;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ActnRmdr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AddtlInf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&gt; (поле 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originalIssueId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—ID выпуска Оператора А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  <w:p>
            <w:pPr>
              <w:pStyle w:val="960"/>
              <w:numPr>
                <w:ilvl w:val="0"/>
                <w:numId w:val="3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 w:hanging="33" w:left="33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Идентификатор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ИсходногоОператора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&lt;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Document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ActnRmdr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RltdTx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TxId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&gt; или в &lt;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AddtlInf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&gt; (поле 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originator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— Оператор А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  <w:p>
            <w:pPr>
              <w:pStyle w:val="960"/>
              <w:numPr>
                <w:ilvl w:val="0"/>
                <w:numId w:val="3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 w:hanging="33" w:left="33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Название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Исходного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Выпуска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&lt;Document&gt;/&lt;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ActnRmdr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AddtlInf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&gt; (поле 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issueName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  <w:p>
            <w:pPr>
              <w:pStyle w:val="960"/>
              <w:numPr>
                <w:ilvl w:val="0"/>
                <w:numId w:val="3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 w:hanging="33" w:left="33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ТипЦфа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(Тип финансового инструмента). 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&lt;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Document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ActnRmdr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AddtlInf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(поле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assetType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  <w:p>
            <w:pPr>
              <w:pStyle w:val="960"/>
              <w:numPr>
                <w:ilvl w:val="0"/>
                <w:numId w:val="3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 w:hanging="33" w:left="33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СрокИсполненияОбязательств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&lt;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Document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ActnRmdr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AddtlInf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&gt; (поле 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maturityDate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  <w:p>
            <w:pPr>
              <w:pStyle w:val="960"/>
              <w:numPr>
                <w:ilvl w:val="0"/>
                <w:numId w:val="3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 w:hanging="33" w:left="33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УсловияВыпуска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(Дополнительные условия). &lt;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Document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ActnRmdr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AddtlInf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&gt; (поле 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issueTerms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  <w:p>
            <w:pPr>
              <w:pStyle w:val="960"/>
              <w:numPr>
                <w:ilvl w:val="0"/>
                <w:numId w:val="3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 w:hanging="33" w:left="33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ДатаПогашения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. 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&lt;Document&gt;/&lt;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ActnRmdr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AddtlInf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&gt; (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redemptionDate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r>
          </w:p>
          <w:p>
            <w:pPr>
              <w:pStyle w:val="960"/>
              <w:numPr>
                <w:ilvl w:val="0"/>
                <w:numId w:val="3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 w:hanging="33" w:left="33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ДатаПервойВыплаты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. 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&lt;Document&gt;/&lt;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ActnRmdr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AddtlInf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&gt; (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firstPaymentDate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r>
          </w:p>
          <w:p>
            <w:pPr>
              <w:pStyle w:val="960"/>
              <w:numPr>
                <w:ilvl w:val="0"/>
                <w:numId w:val="3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 w:hanging="33" w:left="33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ДосрочноеПогашение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. 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&lt;Document&gt;/&lt;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ActnRmdr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AddtlInf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&gt; (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earlyRedemptionFlag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r>
          </w:p>
          <w:p>
            <w:pPr>
              <w:pStyle w:val="960"/>
              <w:numPr>
                <w:ilvl w:val="0"/>
                <w:numId w:val="3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 w:hanging="33" w:left="33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ТипДохода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. 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&lt;Document&gt;/&lt;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ActnRmdr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AddtlInf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&gt; (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incomeType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r>
          </w:p>
          <w:p>
            <w:pPr>
              <w:pStyle w:val="960"/>
              <w:numPr>
                <w:ilvl w:val="0"/>
                <w:numId w:val="3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 w:hanging="33" w:left="33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ПериодичностьВыплат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. 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&lt;Document&gt;/&lt;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ActnRmdr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AddtlInf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&gt; (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paymentFrequency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ab/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r>
          </w:p>
          <w:p>
            <w:pPr>
              <w:pStyle w:val="960"/>
              <w:numPr>
                <w:ilvl w:val="0"/>
                <w:numId w:val="3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 w:hanging="33" w:left="33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ПроцентнаяСтавка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. 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&lt;Document&gt;/&lt;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ActnRmdr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AddtlInf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&gt; (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interestRate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r>
          </w:p>
          <w:p>
            <w:pPr>
              <w:pStyle w:val="960"/>
              <w:numPr>
                <w:ilvl w:val="0"/>
                <w:numId w:val="3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 w:hanging="33" w:left="33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КоличествоЕдиниц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. 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&lt;Document&gt;/&lt;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ActnRmdr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AddtlInf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&gt; (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 quantity)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r>
          </w:p>
          <w:p>
            <w:pPr>
              <w:pStyle w:val="960"/>
              <w:numPr>
                <w:ilvl w:val="0"/>
                <w:numId w:val="3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 w:hanging="33" w:left="33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СтоимостьЕдиницы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. 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&lt;Document&gt;/&lt;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ActnRmdr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AddtlInf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&gt; (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unitPrice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r>
          </w:p>
          <w:p>
            <w:pPr>
              <w:pStyle w:val="960"/>
              <w:numPr>
                <w:ilvl w:val="0"/>
                <w:numId w:val="3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 w:hanging="33" w:left="33"/>
              <w:jc w:val="both"/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СтоимостьОбщая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. &lt;Document&gt;/&lt;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ActnRmdr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AddtlInf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&gt; (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totalAmount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</w:r>
          </w:p>
        </w:tc>
      </w:tr>
      <w:tr>
        <w:trPr>
          <w:trHeight w:val="1403"/>
        </w:trPr>
        <w:tc>
          <w:tcPr>
            <w:tcBorders/>
            <w:tcW w:w="2235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10.2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Установка логического соединения между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акторами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  <w:tc>
          <w:tcPr>
            <w:tcBorders/>
            <w:tcW w:w="7335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ОЦА должен выполнить аутентификацию на API-шлюзе Оператора Б с использованием: 1)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OAuth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2.0 Client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Credentials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 JWT-токеном, подписанным закрытым ключом ОЦА; 2) API-ключа (X-API-Key) в заголовке запроса; соединение должно устанавливаться по HTTPS (TLS 1.3) к публичному FQDN API-шлюза.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1403"/>
        </w:trPr>
        <w:tc>
          <w:tcPr>
            <w:tcBorders/>
            <w:tcW w:w="2235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10.3 Формирование и отправка сообщения 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  <w:tc>
          <w:tcPr>
            <w:tcBorders/>
            <w:tcW w:w="7335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ОЦА должен сформировать XML-документ 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tsmt.024.001.03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подписать его ЭП, и отправить как тело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body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POST-запроса на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эндпоинт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ОИС Б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заголовках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запроса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должны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быть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Content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Type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application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xml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Authorization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Bearer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&lt;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JWT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API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Key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ключ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&gt;.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761"/>
        </w:trPr>
        <w:tc>
          <w:tcPr>
            <w:tcBorders/>
            <w:tcW w:w="2235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10.4 Получение и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парсинг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сообщения 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  <w:tc>
          <w:tcPr>
            <w:tcBorders/>
            <w:tcW w:w="7335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Оператор Б должен проверить JWT и API-ключ и корректно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распарсить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XML-документ, извлекая все 19 элементов данных.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</w:tr>
      <w:tr>
        <w:trPr>
          <w:trHeight w:val="1403"/>
        </w:trPr>
        <w:tc>
          <w:tcPr>
            <w:tcBorders/>
            <w:tcW w:w="2235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10.5 Валидация элементов данных и их отдельных сочетаний 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  <w:tc>
          <w:tcPr>
            <w:tcBorders/>
            <w:tcW w:w="7335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Оператора Б должен проверить: наличие всех 19 обязательных полей.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ИдентификаторИсходного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Выпуска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.&lt;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Document&gt;/&lt;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ActnRmdr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AddtlInf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&gt; (поле 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originalIssueId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)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должен быть действительным, а значения полей из диапазона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g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s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списка в пункте 12.1 – совпадать с настоящими реквизитами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исходного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выпуска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с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ID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 &lt;Document&gt;/&lt;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ActnRmdr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AddtlInf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</w:tr>
      <w:tr>
        <w:trPr>
          <w:trHeight w:val="1403"/>
        </w:trPr>
        <w:tc>
          <w:tcPr>
            <w:tcBorders/>
            <w:tcW w:w="2235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10.6 Проверка контрольных величин 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  <w:tc>
          <w:tcPr>
            <w:tcBorders/>
            <w:tcW w:w="7335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API-шлюз Оператора Б должен верифицировать: 1) JWT-подпись в заголовке авторизации; 2) ЭП XML-документа в теле запроса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</w:tr>
      <w:tr>
        <w:trPr>
          <w:trHeight w:val="1403"/>
        </w:trPr>
        <w:tc>
          <w:tcPr>
            <w:tcBorders/>
            <w:tcW w:w="2235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10.7 Проверка идентификаторов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акторов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и сообщений 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  <w:tc>
          <w:tcPr>
            <w:tcBorders/>
            <w:tcW w:w="7335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Оператора Б должен проверить, что значение поля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ИдентификаторОтправителя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&lt;Document&gt;/&lt;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ActnRmdr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FIId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&gt;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 поля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ИдентификаторИсходногоОператора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&lt;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Document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ActnRmdr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RltdTx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TxId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&gt; или в &lt;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AddtlInf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&gt; (поле 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val="en-US"/>
              </w:rPr>
              <w:t xml:space="preserve">originator</w:t>
            </w:r>
            <w:r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</w:rPr>
              <w:t xml:space="preserve">)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совпадают с уникальными идентификаторами данных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акторов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в его системе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</w:tr>
      <w:tr>
        <w:trPr>
          <w:trHeight w:val="1403"/>
        </w:trPr>
        <w:tc>
          <w:tcPr>
            <w:tcBorders/>
            <w:tcW w:w="2235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10.8 Вычисление ответных значений  </w:t>
            </w:r>
            <w:r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r>
          </w:p>
        </w:tc>
        <w:tc>
          <w:tcPr>
            <w:tcBorders/>
            <w:tcW w:w="7335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Оператор Б должен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произвести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эмис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ию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wrap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-активов с реквизитами, аналогичными переданным и подготовить данные для формирования tsmt.0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55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.001.0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PartyEventAdvice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, адресуемого ОЦА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</w:tr>
    </w:tbl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13. </w:t>
      </w:r>
      <w:r>
        <w:rPr>
          <w:rFonts w:ascii="Times New Roman" w:hAnsi="Times New Roman" w:cs="Times New Roman"/>
          <w:sz w:val="24"/>
          <w:szCs w:val="24"/>
        </w:rPr>
        <w:t xml:space="preserve">Э</w:t>
      </w:r>
      <w:r>
        <w:rPr>
          <w:rFonts w:ascii="Times New Roman" w:hAnsi="Times New Roman" w:cs="Times New Roman"/>
          <w:sz w:val="24"/>
          <w:szCs w:val="24"/>
        </w:rPr>
        <w:t xml:space="preserve">миссия</w:t>
      </w:r>
      <w:r>
        <w:rPr>
          <w:rFonts w:ascii="Times New Roman" w:hAnsi="Times New Roman" w:cs="Times New Roman"/>
          <w:sz w:val="24"/>
          <w:szCs w:val="24"/>
        </w:rPr>
        <w:t xml:space="preserve"> оператором Б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wrap</w:t>
      </w:r>
      <w:r>
        <w:rPr>
          <w:rFonts w:ascii="Times New Roman" w:hAnsi="Times New Roman" w:cs="Times New Roman"/>
          <w:sz w:val="24"/>
          <w:szCs w:val="24"/>
        </w:rPr>
        <w:t xml:space="preserve">-активов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Оператор Б осуществляет выпуск </w:t>
      </w:r>
      <w:r>
        <w:rPr>
          <w:rFonts w:ascii="Times New Roman" w:hAnsi="Times New Roman" w:cs="Times New Roman"/>
          <w:sz w:val="24"/>
          <w:szCs w:val="24"/>
        </w:rPr>
        <w:t xml:space="preserve">wrap</w:t>
      </w:r>
      <w:r>
        <w:rPr>
          <w:rFonts w:ascii="Times New Roman" w:hAnsi="Times New Roman" w:cs="Times New Roman"/>
          <w:sz w:val="24"/>
          <w:szCs w:val="24"/>
        </w:rPr>
        <w:t xml:space="preserve">-активов на своей платформе, которые является юридическими и финансовыми двойниками ЦФА оригинального выпуска. Это внутреннее действие Оператора Б.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14. Передача оператору цифровых активов узла выпуска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выпуска технические данные о новых цифровых активах, а также хэш операции выпуска передаются Оператору Цифровых Активов. Это действие делает факт выпуска публично подтверждаемым и неизменным. На этом шаге используется сообщение tsmt.0</w:t>
      </w:r>
      <w:r>
        <w:rPr>
          <w:rFonts w:ascii="Times New Roman" w:hAnsi="Times New Roman" w:cs="Times New Roman"/>
          <w:sz w:val="24"/>
          <w:szCs w:val="24"/>
        </w:rPr>
        <w:t xml:space="preserve">5</w:t>
      </w:r>
      <w:r>
        <w:rPr>
          <w:rFonts w:ascii="Times New Roman" w:hAnsi="Times New Roman" w:cs="Times New Roman"/>
          <w:sz w:val="24"/>
          <w:szCs w:val="24"/>
        </w:rPr>
        <w:t xml:space="preserve">5.001</w:t>
      </w:r>
      <w:r>
        <w:rPr>
          <w:rFonts w:ascii="Times New Roman" w:hAnsi="Times New Roman" w:cs="Times New Roman"/>
          <w:sz w:val="24"/>
          <w:szCs w:val="24"/>
        </w:rPr>
        <w:t xml:space="preserve">.01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PartyEventAdvice</w:t>
      </w:r>
      <w:r>
        <w:rPr>
          <w:rFonts w:ascii="Times New Roman" w:hAnsi="Times New Roman" w:cs="Times New Roman"/>
          <w:sz w:val="24"/>
          <w:szCs w:val="24"/>
        </w:rPr>
        <w:t xml:space="preserve"> ().</w:t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Style w:val="965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809"/>
        <w:gridCol w:w="7761"/>
      </w:tblGrid>
      <w:tr>
        <w:trPr>
          <w:trHeight w:val="468"/>
        </w:trPr>
        <w:tc>
          <w:tcPr>
            <w:tcBorders/>
            <w:tcW w:w="18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Название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  <w:tc>
          <w:tcPr>
            <w:tcBorders/>
            <w:tcW w:w="7761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Поля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</w:tr>
      <w:tr>
        <w:trPr>
          <w:trHeight w:val="1403"/>
        </w:trPr>
        <w:tc>
          <w:tcPr>
            <w:tcBorders/>
            <w:tcW w:w="18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14.1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Формирование отдельных элементов данных сообщения 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  <w:tc>
          <w:tcPr>
            <w:tcBorders/>
            <w:tcW w:w="7761" w:type="dxa"/>
            <w:textDirection w:val="lrTb"/>
            <w:noWrap w:val="false"/>
          </w:tcPr>
          <w:p>
            <w:pPr>
              <w:pStyle w:val="960"/>
              <w:numPr>
                <w:ilvl w:val="0"/>
                <w:numId w:val="4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line="276" w:lineRule="auto"/>
              <w:ind w:hanging="31" w:left="31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ИдентификаторЦепочкиСообщений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—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&lt;Document&gt;/&lt;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PtyEvtAdvc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EvtAdvcId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line="276" w:lineRule="auto"/>
              <w:ind w:hanging="31" w:left="31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  <w:p>
            <w:pPr>
              <w:pStyle w:val="960"/>
              <w:numPr>
                <w:ilvl w:val="0"/>
                <w:numId w:val="4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line="276" w:lineRule="auto"/>
              <w:ind w:hanging="31" w:left="31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ИдентификаторОтправителя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—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&lt;Document&gt;/&lt;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PtyEvtAdvc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AdvsgPty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FIId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— Универсальный идентификатор Оператора Б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line="276" w:lineRule="auto"/>
              <w:ind w:hanging="31" w:left="31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  <w:p>
            <w:pPr>
              <w:pStyle w:val="960"/>
              <w:numPr>
                <w:ilvl w:val="0"/>
                <w:numId w:val="4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line="276" w:lineRule="auto"/>
              <w:ind w:hanging="31" w:left="31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НаименованиеЭмитента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—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&lt;Document&gt;/&lt;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PtyEvtAdvc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EvtDtls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AddtlInf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&gt; (поле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issuerName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line="276" w:lineRule="auto"/>
              <w:ind w:hanging="31" w:left="31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  <w:p>
            <w:pPr>
              <w:pStyle w:val="960"/>
              <w:numPr>
                <w:ilvl w:val="0"/>
                <w:numId w:val="4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line="276" w:lineRule="auto"/>
              <w:ind w:hanging="31" w:left="31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ИннЭмитента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—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&lt;Document&gt;/&lt;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PtyEvtAdvc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EvtDtls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AddtlInf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&gt; (поле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issuerTaxId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line="276" w:lineRule="auto"/>
              <w:ind w:hanging="31" w:left="31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  <w:p>
            <w:pPr>
              <w:pStyle w:val="960"/>
              <w:numPr>
                <w:ilvl w:val="0"/>
                <w:numId w:val="4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line="276" w:lineRule="auto"/>
              <w:ind w:hanging="31" w:left="31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ИдентификаторВыпуска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—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&lt;Document&gt;/&lt;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PtyEvtAdvc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EvtDtls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EvtId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Уникальный ID выпуска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wrap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-активов на платформе Оператора Б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line="276" w:lineRule="auto"/>
              <w:ind w:hanging="31" w:left="31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  <w:p>
            <w:pPr>
              <w:pStyle w:val="960"/>
              <w:numPr>
                <w:ilvl w:val="0"/>
                <w:numId w:val="4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line="276" w:lineRule="auto"/>
              <w:ind w:hanging="31" w:left="31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НазваниеВыпуска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—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&lt;Document&gt;/&lt;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PtyEvtAdvc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EvtDtls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EvtDesc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—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Название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выпуска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wrap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-активов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line="276" w:lineRule="auto"/>
              <w:ind w:hanging="31" w:left="31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  <w:p>
            <w:pPr>
              <w:pStyle w:val="960"/>
              <w:numPr>
                <w:ilvl w:val="0"/>
                <w:numId w:val="4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line="276" w:lineRule="auto"/>
              <w:ind w:hanging="31" w:left="31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Тип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ЦФА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—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&lt;Document&gt;/&lt;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PtyEvtAdvc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EvtDtls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AddtlInf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&gt; (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assetType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line="276" w:lineRule="auto"/>
              <w:ind w:hanging="31" w:left="31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r>
          </w:p>
          <w:p>
            <w:pPr>
              <w:pStyle w:val="960"/>
              <w:numPr>
                <w:ilvl w:val="0"/>
                <w:numId w:val="4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line="276" w:lineRule="auto"/>
              <w:ind w:hanging="31" w:left="31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Срок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сполнения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бязательств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 —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&lt;Document&gt;/&lt;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PtyEvtAdvc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EvtDtls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AddtlInf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&gt; (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maturityDate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 —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Дата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исполнения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обязательств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эмитента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line="276" w:lineRule="auto"/>
              <w:ind w:hanging="31" w:left="31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r>
          </w:p>
          <w:p>
            <w:pPr>
              <w:pStyle w:val="960"/>
              <w:numPr>
                <w:ilvl w:val="0"/>
                <w:numId w:val="4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line="276" w:lineRule="auto"/>
              <w:ind w:hanging="31" w:left="31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Услови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яВ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ыпуска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 —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&lt;Document&gt;/&lt;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PtyEvtAdvc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EvtDtls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AddtlInf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&gt; (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issueTerms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line="276" w:lineRule="auto"/>
              <w:ind w:hanging="31" w:left="31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r>
          </w:p>
          <w:p>
            <w:pPr>
              <w:pStyle w:val="960"/>
              <w:numPr>
                <w:ilvl w:val="0"/>
                <w:numId w:val="4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line="276" w:lineRule="auto"/>
              <w:ind w:hanging="31" w:left="31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Д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ат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аП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огашения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 —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&lt;Document&gt;/&lt;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PtyEvtAdvc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EvtDtls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AddtlInf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&gt; (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redemptionDate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line="276" w:lineRule="auto"/>
              <w:ind w:hanging="31" w:left="31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r>
          </w:p>
          <w:p>
            <w:pPr>
              <w:pStyle w:val="960"/>
              <w:numPr>
                <w:ilvl w:val="0"/>
                <w:numId w:val="4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line="276" w:lineRule="auto"/>
              <w:ind w:hanging="31" w:left="31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П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ерв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аяВ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ыплат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 —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&lt;Document&gt;/&lt;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PtyEvtAdvc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EvtDtls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AddtlInf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&gt; (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firstPaymentDate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 —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Дата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первой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выплаты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дохода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line="276" w:lineRule="auto"/>
              <w:ind w:hanging="31" w:left="31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r>
          </w:p>
          <w:p>
            <w:pPr>
              <w:pStyle w:val="960"/>
              <w:numPr>
                <w:ilvl w:val="0"/>
                <w:numId w:val="4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line="276" w:lineRule="auto"/>
              <w:ind w:hanging="31" w:left="31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Д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осрочно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еП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огашени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е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 —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&lt;Document&gt;/&lt;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PtyEvtAdvc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EvtDtls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AddtlInf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&gt; (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earlyRedemptionFlag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 —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Логический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флаг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 (true/false)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line="276" w:lineRule="auto"/>
              <w:ind w:hanging="31" w:left="31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r>
          </w:p>
          <w:p>
            <w:pPr>
              <w:pStyle w:val="960"/>
              <w:numPr>
                <w:ilvl w:val="0"/>
                <w:numId w:val="4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line="276" w:lineRule="auto"/>
              <w:ind w:hanging="31" w:left="31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Тип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дохода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 —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&lt;Document&gt;/&lt;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PtyEvtAdvc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EvtDtls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AddtlInf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&gt; (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incomeType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line="276" w:lineRule="auto"/>
              <w:ind w:hanging="31" w:left="31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r>
          </w:p>
          <w:p>
            <w:pPr>
              <w:pStyle w:val="960"/>
              <w:numPr>
                <w:ilvl w:val="0"/>
                <w:numId w:val="4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line="276" w:lineRule="auto"/>
              <w:ind w:hanging="31" w:left="31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Периодичность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выплат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 —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&lt;Document&gt;/&lt;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PtyEvtAdvc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EvtDtls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AddtlInf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&gt; (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paymentFrequency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line="276" w:lineRule="auto"/>
              <w:ind w:hanging="31" w:left="31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r>
          </w:p>
          <w:p>
            <w:pPr>
              <w:pStyle w:val="960"/>
              <w:numPr>
                <w:ilvl w:val="0"/>
                <w:numId w:val="4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line="276" w:lineRule="auto"/>
              <w:ind w:hanging="31" w:left="31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Ставка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 —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&lt;Document&gt;/&lt;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PtyEvtAdvc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EvtDtls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AddtlInf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&gt; (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interestRate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)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line="276" w:lineRule="auto"/>
              <w:ind w:hanging="31" w:left="31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r>
          </w:p>
          <w:p>
            <w:pPr>
              <w:pStyle w:val="960"/>
              <w:numPr>
                <w:ilvl w:val="0"/>
                <w:numId w:val="4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line="276" w:lineRule="auto"/>
              <w:ind w:hanging="31" w:left="31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КоличествоЕдиниц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 —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&lt;Document&gt;/&lt;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PtyEvtAdvc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EvtDtls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AddtlInf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&gt; (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 quantity)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 —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Количество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выпущенных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 wrap-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активов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line="276" w:lineRule="auto"/>
              <w:ind w:hanging="31" w:left="31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r>
          </w:p>
          <w:p>
            <w:pPr>
              <w:pStyle w:val="960"/>
              <w:numPr>
                <w:ilvl w:val="0"/>
                <w:numId w:val="4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line="276" w:lineRule="auto"/>
              <w:ind w:hanging="31" w:left="31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СтоимостьЕдиницы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 —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&lt;Document&gt;/&lt;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PtyEvtAdvc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EvtDtls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AddtlInf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&gt; (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unitPrice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 —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line="276" w:lineRule="auto"/>
              <w:ind w:hanging="31" w:left="31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r>
          </w:p>
          <w:p>
            <w:pPr>
              <w:pStyle w:val="960"/>
              <w:numPr>
                <w:ilvl w:val="0"/>
                <w:numId w:val="4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line="276" w:lineRule="auto"/>
              <w:ind w:hanging="31" w:left="31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СтоимостьОбщая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 —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&lt;Document&gt;/&lt;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PtyEvtAdvc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EvtDtls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AddtlInf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&gt; (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totalAmount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 —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Общая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стоимость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выпуска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line="276" w:lineRule="auto"/>
              <w:ind w:hanging="31" w:left="31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r>
          </w:p>
          <w:p>
            <w:pPr>
              <w:pStyle w:val="960"/>
              <w:numPr>
                <w:ilvl w:val="0"/>
                <w:numId w:val="4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line="276" w:lineRule="auto"/>
              <w:ind w:hanging="31" w:left="31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НаименованиеОперации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 —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&lt;Document&gt;/&lt;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PtyEvtAdvc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EvtDtls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EvtTp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line="276" w:lineRule="auto"/>
              <w:ind w:hanging="31" w:left="31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r>
          </w:p>
          <w:p>
            <w:pPr>
              <w:pStyle w:val="960"/>
              <w:numPr>
                <w:ilvl w:val="0"/>
                <w:numId w:val="4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line="276" w:lineRule="auto"/>
              <w:ind w:hanging="31" w:left="31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ХэшОперации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 —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&lt;Document&gt;/&lt;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PtyEvtAdvc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EvtDtls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AddtlInf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&gt; (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blockchainTxHash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 —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Хэш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транзакции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выпуска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в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блокчейне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Оператора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Б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 w:hanging="31" w:left="31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r>
          </w:p>
        </w:tc>
      </w:tr>
      <w:tr>
        <w:trPr>
          <w:trHeight w:val="1403"/>
        </w:trPr>
        <w:tc>
          <w:tcPr>
            <w:tcBorders/>
            <w:tcW w:w="18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14.2 Установка логического соединения между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акторами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  <w:tc>
          <w:tcPr>
            <w:tcBorders/>
            <w:tcW w:w="7761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Оператор Б должен выполнить аутентификацию на API-шлюзе ОЦА с использованием механизма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OAuth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2.0 Client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Credentials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(отправка JWT-токена в заголовке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Authorization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Bearer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&lt;токен&gt;) или с помощью статического API-ключа в заголовке X-API-Key. Соединение устанавливается по HTTPS (TLS 1.3) к публичному FQDN API ОЦА.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</w:tr>
      <w:tr>
        <w:trPr>
          <w:trHeight w:val="1403"/>
        </w:trPr>
        <w:tc>
          <w:tcPr>
            <w:tcBorders/>
            <w:tcW w:w="18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14.3 Формирование и отправка сообщения 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  <w:tc>
          <w:tcPr>
            <w:tcBorders/>
            <w:tcW w:w="7761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Оператор Б должен сформировать XML-документ tsmt.025.001, подписать его ЭП, и отправить как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body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POST-запроса на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эндпоинт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ОЦА /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internal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api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/v1/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transfer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confirmation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. Заголовки запроса: Content-Type: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application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xml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Authorization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Bearer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&lt;JWT&gt;.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</w:tr>
      <w:tr>
        <w:trPr>
          <w:trHeight w:val="1403"/>
        </w:trPr>
        <w:tc>
          <w:tcPr>
            <w:tcBorders/>
            <w:tcW w:w="18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14.4 Получение и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парсинг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сообщения 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  <w:tc>
          <w:tcPr>
            <w:tcBorders/>
            <w:tcW w:w="7761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API-шлюз Оператора Цифровых Активов должен принять сообщение, проверить его транспортную целостность и корректно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распарсить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XML, извлекая все обязательные элементы данных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</w:tr>
      <w:tr>
        <w:trPr>
          <w:trHeight w:val="1403"/>
        </w:trPr>
        <w:tc>
          <w:tcPr>
            <w:tcBorders/>
            <w:tcW w:w="18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14.5 Валидация элементов данных и их отдельных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сочетаний 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  <w:tc>
          <w:tcPr>
            <w:tcBorders/>
            <w:tcW w:w="7761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ОЦА должен проверить наличие всех обязательных полей. Ни одно из полей не должно быть незаполненным.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</w:tr>
      <w:tr>
        <w:trPr>
          <w:trHeight w:val="1403"/>
        </w:trPr>
        <w:tc>
          <w:tcPr>
            <w:tcBorders/>
            <w:tcW w:w="18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14.6 Процедуры проверки контрольных и криптографических величин 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  <w:tc>
          <w:tcPr>
            <w:tcBorders/>
            <w:tcW w:w="7761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ОЦА должен верифицировать: 1) JWT-подпись в заголовке авторизации; 2) ЭП XML-документа в теле запроса. Должны быть проверены целостность и срок действия сертификатов Оператора Б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</w:tr>
      <w:tr>
        <w:trPr>
          <w:trHeight w:val="1403"/>
        </w:trPr>
        <w:tc>
          <w:tcPr>
            <w:tcBorders/>
            <w:tcW w:w="18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14.7 Проверка идентификаторов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акторов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и сообщений 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  <w:tc>
          <w:tcPr>
            <w:tcBorders/>
            <w:tcW w:w="7761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ОЦА должен проверить, что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client_id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из JWT соответствует полю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ИдентификаторОтправителя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&lt;Document&gt;/&lt;StsChngNtfctn&gt;/&lt;FIId&gt;/&lt;FinInstnId&gt;/&lt;ClrSysMmbId&gt;/&lt;MmbId&gt;, а само значение поля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ИдентификаторОтправителя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совпадает  с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универсальным идентификатором Оператора Б. Значение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ИдентификаторВыпуска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&lt;Document&gt;/&lt;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StsChngNtfctn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StsRsn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AddtlInf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&gt; (поле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issueName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) не должно быть зарегистрировано в системе для данного эмитента на момент получения сообщения.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ХэшОперации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&lt;Document&gt;/&lt;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StsChngNtfctn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StsRsn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AddtlInf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&gt; (поле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blockchainTxHash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)  также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должен быть уникальным и не использованным ранее.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</w:tr>
      <w:tr>
        <w:trPr>
          <w:trHeight w:val="1403"/>
        </w:trPr>
        <w:tc>
          <w:tcPr>
            <w:tcBorders/>
            <w:tcW w:w="180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14.8  Вычисление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ответных значений 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  <w:tc>
          <w:tcPr>
            <w:tcBorders/>
            <w:tcW w:w="7761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Сервис должен: 1) Зарегистрировать факт выпуска в реестре транзакций; 2) Связать выпуск с исходной заявкой на перевод; 3) Инициировать уведомление ОЦА Оператора А о готовности к следующему шагу (списанию оригинальных активов)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76" w:lineRule="auto"/>
        <w:ind/>
        <w:jc w:val="both"/>
        <w:rPr>
          <w:rFonts w:ascii="Times New Roman" w:hAnsi="Times New Roman" w:eastAsia="Times New Roman" w:cs="Times New Roman"/>
          <w:b/>
          <w:color w:val="0f1115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f1115"/>
          <w:sz w:val="24"/>
          <w:szCs w:val="24"/>
        </w:rPr>
        <w:t xml:space="preserve">15. Запись </w:t>
      </w:r>
      <w:r>
        <w:rPr>
          <w:rFonts w:ascii="Times New Roman" w:hAnsi="Times New Roman" w:eastAsia="Times New Roman" w:cs="Times New Roman"/>
          <w:b/>
          <w:color w:val="0f1115"/>
          <w:sz w:val="24"/>
          <w:szCs w:val="24"/>
        </w:rPr>
        <w:t xml:space="preserve">хеша</w:t>
      </w:r>
      <w:r>
        <w:rPr>
          <w:rFonts w:ascii="Times New Roman" w:hAnsi="Times New Roman" w:eastAsia="Times New Roman" w:cs="Times New Roman"/>
          <w:b/>
          <w:color w:val="0f1115"/>
          <w:sz w:val="24"/>
          <w:szCs w:val="24"/>
        </w:rPr>
        <w:t xml:space="preserve"> в базу данных</w:t>
      </w:r>
      <w:r>
        <w:rPr>
          <w:rFonts w:ascii="Times New Roman" w:hAnsi="Times New Roman" w:eastAsia="Times New Roman" w:cs="Times New Roman"/>
          <w:b/>
          <w:color w:val="0f1115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76" w:lineRule="auto"/>
        <w:ind/>
        <w:jc w:val="both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Оператор Цифровых Активов сохраняет уникальный 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хеш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(отпечаток) операции выпуска в своей внутренней базе данных. Этот 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хеш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служит доказательством и прямой ссылкой на запись о выпуске в 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блокчейне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Оператора Назначения. Данный шаг происходит внутри платформы ОЦА.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76" w:lineRule="auto"/>
        <w:ind/>
        <w:jc w:val="both"/>
        <w:rPr>
          <w:rFonts w:ascii="Times New Roman" w:hAnsi="Times New Roman" w:eastAsia="Times New Roman" w:cs="Times New Roman"/>
          <w:b/>
          <w:color w:val="0f1115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f1115"/>
          <w:sz w:val="24"/>
          <w:szCs w:val="24"/>
        </w:rPr>
        <w:t xml:space="preserve">16. Уведомление Оператора А о выпуске Оператором Б активов</w:t>
      </w:r>
      <w:r>
        <w:rPr>
          <w:rFonts w:ascii="Times New Roman" w:hAnsi="Times New Roman" w:eastAsia="Times New Roman" w:cs="Times New Roman"/>
          <w:b/>
          <w:color w:val="0f1115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76" w:lineRule="auto"/>
        <w:ind/>
        <w:jc w:val="both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Оператор Цифровых Активов отправляет Оператору А официальное уведомление о том, что эквивалентные активы успешно выпущены и технически подготовлены к зачислению.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</w:r>
    </w:p>
    <w:tbl>
      <w:tblPr>
        <w:tblStyle w:val="965"/>
        <w:tblW w:w="9354" w:type="dxa"/>
        <w:tblBorders/>
        <w:tblLook w:val="04A0" w:firstRow="1" w:lastRow="0" w:firstColumn="1" w:lastColumn="0" w:noHBand="0" w:noVBand="1"/>
      </w:tblPr>
      <w:tblGrid>
        <w:gridCol w:w="1957"/>
        <w:gridCol w:w="7473"/>
      </w:tblGrid>
      <w:tr>
        <w:trPr>
          <w:trHeight w:val="468"/>
        </w:trPr>
        <w:tc>
          <w:tcPr>
            <w:tcBorders/>
            <w:tcW w:w="2243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Название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  <w:tc>
          <w:tcPr>
            <w:tcBorders/>
            <w:tcW w:w="7111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Поля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</w:tr>
      <w:tr>
        <w:trPr>
          <w:trHeight w:val="1403"/>
        </w:trPr>
        <w:tc>
          <w:tcPr>
            <w:tcBorders/>
            <w:tcW w:w="2243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14.1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Формирование отдельных элементов данных сообщения 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  <w:tc>
          <w:tcPr>
            <w:tcBorders/>
            <w:tcW w:w="7111" w:type="dxa"/>
            <w:textDirection w:val="lrTb"/>
            <w:noWrap w:val="false"/>
          </w:tcPr>
          <w:p>
            <w:pPr>
              <w:pStyle w:val="960"/>
              <w:numPr>
                <w:ilvl w:val="0"/>
                <w:numId w:val="4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line="276" w:lineRule="auto"/>
              <w:ind w:hanging="26" w:left="26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ИдентификаторЦепочкиСообщений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—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&lt;Document&gt;/&lt;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ActnRmdr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RmdrId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en-US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en-US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line="276" w:lineRule="auto"/>
              <w:ind w:hanging="26" w:left="26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  <w:p>
            <w:pPr>
              <w:pStyle w:val="960"/>
              <w:numPr>
                <w:ilvl w:val="0"/>
                <w:numId w:val="4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line="276" w:lineRule="auto"/>
              <w:ind w:hanging="26" w:left="26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ИдентификаторОтправителя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—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&lt;Document&gt;/&lt;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ActnRmdr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FIId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— Универсальный идентификатор ОЦА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line="276" w:lineRule="auto"/>
              <w:ind w:hanging="26" w:left="26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  <w:p>
            <w:pPr>
              <w:pStyle w:val="960"/>
              <w:numPr>
                <w:ilvl w:val="0"/>
                <w:numId w:val="4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line="276" w:lineRule="auto"/>
              <w:ind w:hanging="26" w:left="26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ТипОперации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—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&lt;Document&gt;/&lt;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ActnRmdr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ActnTp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—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смена прав собственности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line="276" w:lineRule="auto"/>
              <w:ind w:hanging="26" w:left="26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  <w:p>
            <w:pPr>
              <w:pStyle w:val="960"/>
              <w:numPr>
                <w:ilvl w:val="0"/>
                <w:numId w:val="4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line="276" w:lineRule="auto"/>
              <w:ind w:hanging="26" w:left="26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ИдентификаторИсходногоВыпуска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—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&lt;Document&gt;/&lt;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ActnRmdr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RltdTx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TxId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— Ссылка на ID исходной транзакции/выпуска.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line="276" w:lineRule="auto"/>
              <w:ind w:hanging="26" w:left="26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  <w:p>
            <w:pPr>
              <w:pStyle w:val="960"/>
              <w:numPr>
                <w:ilvl w:val="0"/>
                <w:numId w:val="4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line="276" w:lineRule="auto"/>
              <w:ind w:hanging="26" w:left="26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ИдентификаторИнвестора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—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&lt;Document&gt;/&lt;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ActnRmdr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AddtlInf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&gt; (поле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investorId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— Идентификатор инвестора, для которого выпущены активы.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 w:hanging="26" w:left="26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  <w:p>
            <w:pPr>
              <w:pStyle w:val="960"/>
              <w:numPr>
                <w:ilvl w:val="0"/>
                <w:numId w:val="4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line="276" w:lineRule="auto"/>
              <w:ind w:hanging="26" w:left="26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СтатусОжидаемогоДействия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—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&lt;Document&gt;/&lt;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ActnRmdr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ActnSts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&gt; = "EXPD" (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Expected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— Ожидается выполнение действия (списание оригинальных активов).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line="276" w:lineRule="auto"/>
              <w:ind w:hanging="26" w:left="26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  <w:p>
            <w:pPr>
              <w:pStyle w:val="960"/>
              <w:numPr>
                <w:ilvl w:val="0"/>
                <w:numId w:val="4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 w:hanging="26" w:left="26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ОписаниеДействия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—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&lt;Document&gt;/&lt;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ActnRmdr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ActnDesc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— "Активы выпущены. Подготовьте списание оригинальных активов."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</w:tr>
      <w:tr>
        <w:trPr>
          <w:trHeight w:val="1403"/>
        </w:trPr>
        <w:tc>
          <w:tcPr>
            <w:tcBorders/>
            <w:tcW w:w="2243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14.2 Установка логического соединения между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акторами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  <w:tc>
          <w:tcPr>
            <w:tcBorders/>
            <w:tcW w:w="7111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Оператор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должен выполнить аутентификацию на API-шлюзе ОЦА с использованием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OAuth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2.0 Client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Credentials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или с помощью статического API-ключа в заголовке X-API-Key. Соединение устанавливается по HTTPS (TLS 1.3) к публичному API ОЦА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</w:tr>
      <w:tr>
        <w:trPr>
          <w:trHeight w:val="1403"/>
        </w:trPr>
        <w:tc>
          <w:tcPr>
            <w:tcBorders/>
            <w:tcW w:w="2243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14.3 Формирование и отправка сообщения 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  <w:tc>
          <w:tcPr>
            <w:tcBorders/>
            <w:tcW w:w="7111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ОЦА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должен сформировать XML-документ tsmt.0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5.001, подписать его ЭП, и отправить как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body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POST-запроса на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эндпоинт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Оператора А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</w:tr>
      <w:tr>
        <w:trPr>
          <w:trHeight w:val="1403"/>
        </w:trPr>
        <w:tc>
          <w:tcPr>
            <w:tcBorders/>
            <w:tcW w:w="2243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14.4 Получение и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парсинг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сообщения 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  <w:tc>
          <w:tcPr>
            <w:tcBorders/>
            <w:tcW w:w="7111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API-шлюз Оператора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должен принять сообщение, проверить его транспортную целостность и корректно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распарсить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XML, извлекая все обязательные элементы данных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</w:tr>
      <w:tr>
        <w:trPr>
          <w:trHeight w:val="1403"/>
        </w:trPr>
        <w:tc>
          <w:tcPr>
            <w:tcBorders/>
            <w:tcW w:w="2243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14.5 Валидация элементов данных и их отдельных сочетаний 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  <w:tc>
          <w:tcPr>
            <w:tcBorders/>
            <w:tcW w:w="7111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Оператор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должен проверить наличие всех обязательных полей. Ни одно из полей не должно быть незаполненным.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</w:tr>
      <w:tr>
        <w:trPr>
          <w:trHeight w:val="1403"/>
        </w:trPr>
        <w:tc>
          <w:tcPr>
            <w:tcBorders/>
            <w:tcW w:w="2243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14.6 Процедуры проверки контрольных и криптографических величин 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  <w:tc>
          <w:tcPr>
            <w:tcBorders/>
            <w:tcW w:w="7111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Оператора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должен верифицировать: 1) JWT-подпись в заголовке авторизации; 2) ЭП XML-документа в теле запроса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</w:tr>
      <w:tr>
        <w:trPr>
          <w:trHeight w:val="1403"/>
        </w:trPr>
        <w:tc>
          <w:tcPr>
            <w:tcBorders/>
            <w:tcW w:w="2243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14.7 Проверка идентификаторов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акторов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и сообщений 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  <w:tc>
          <w:tcPr>
            <w:tcBorders/>
            <w:tcW w:w="7111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ОЦА должен проверить, что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client_id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из JWT соответствует полю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ИдентификаторОтправителя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&lt;Document&gt;/&lt;StsChngNtfctn&gt;/&lt;FIId&gt;/&lt;FinInstnId&gt;/&lt;ClrSysMmbId&gt;/&lt;MmbId&gt;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, а само значение поля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ИдентификаторОтправителя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совпадает с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универсальным идентификатором Оператора Б. Значение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ИдентификаторИсходногоВыпуска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—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&lt;Document&gt;/&lt;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ActnRmdr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RltdTx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TxId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должно существовать в системе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</w:tr>
      <w:tr>
        <w:trPr>
          <w:trHeight w:val="1403"/>
        </w:trPr>
        <w:tc>
          <w:tcPr>
            <w:tcBorders/>
            <w:tcW w:w="2243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14.8  Вычисление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ответных значений 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  <w:tc>
          <w:tcPr>
            <w:tcBorders/>
            <w:tcW w:w="7111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Оператор А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должен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в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ернуть Оператору Б HTTP 200 OK с подтверждением: {"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status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": "ISSUANCE_EVENT_REGISTERED", "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timestamp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": "...", "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nextStep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": "NOTIFY_ORIGINATOR"}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</w:tr>
    </w:tbl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17. </w:t>
      </w:r>
      <w:r>
        <w:rPr>
          <w:rFonts w:ascii="Times New Roman" w:hAnsi="Times New Roman" w:cs="Times New Roman"/>
          <w:sz w:val="24"/>
          <w:szCs w:val="24"/>
        </w:rPr>
        <w:t xml:space="preserve">Изменение прав собственности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Получив подтверждение о выпуске, Оператор А выполняет финальный шаг на своей стороне: спи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сывает запрошенные ЦФА со счета инвестора и зачисляет их на счет эмитента. Одновременно на эти активы накладывается блокировка, которая не позволяет использовать их для проведения операций от платформы исходного оператора. Это действие является внутренним.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9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Autospacing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f1115"/>
          <w:sz w:val="24"/>
          <w:szCs w:val="24"/>
        </w:rPr>
        <w:t xml:space="preserve">18. Передача ОЦА Оператору Цифровых Активов </w:t>
      </w:r>
      <w:r>
        <w:rPr>
          <w:rFonts w:ascii="Times New Roman" w:hAnsi="Times New Roman" w:eastAsia="Times New Roman" w:cs="Times New Roman"/>
          <w:b/>
          <w:color w:val="0f1115"/>
          <w:sz w:val="24"/>
          <w:szCs w:val="24"/>
        </w:rPr>
        <w:t xml:space="preserve">хеша</w:t>
      </w:r>
      <w:r>
        <w:rPr>
          <w:rFonts w:ascii="Times New Roman" w:hAnsi="Times New Roman" w:eastAsia="Times New Roman" w:cs="Times New Roman"/>
          <w:b/>
          <w:color w:val="0f1115"/>
          <w:sz w:val="24"/>
          <w:szCs w:val="24"/>
        </w:rPr>
        <w:t xml:space="preserve"> операции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76" w:lineRule="auto"/>
        <w:ind/>
        <w:jc w:val="both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Оператор А передает 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хеш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операции списания активов со своего счета оператору цифровых активов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, используя сообщение 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tsmt.055.001.01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PartyEventAdvice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</w:r>
    </w:p>
    <w:tbl>
      <w:tblPr>
        <w:tblStyle w:val="965"/>
        <w:tblW w:w="0" w:type="auto"/>
        <w:tblBorders/>
        <w:tblLook w:val="04A0" w:firstRow="1" w:lastRow="0" w:firstColumn="1" w:lastColumn="0" w:noHBand="0" w:noVBand="1"/>
      </w:tblPr>
      <w:tblGrid>
        <w:gridCol w:w="1957"/>
        <w:gridCol w:w="7473"/>
      </w:tblGrid>
      <w:tr>
        <w:trPr>
          <w:trHeight w:val="468"/>
        </w:trPr>
        <w:tc>
          <w:tcPr>
            <w:tcBorders/>
            <w:tcW w:w="1951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Название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  <w:tc>
          <w:tcPr>
            <w:tcBorders/>
            <w:tcW w:w="7479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Поля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</w:tr>
      <w:tr>
        <w:trPr>
          <w:trHeight w:val="1403"/>
        </w:trPr>
        <w:tc>
          <w:tcPr>
            <w:tcBorders/>
            <w:tcW w:w="1951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18.1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  <w:tc>
          <w:tcPr>
            <w:tcBorders/>
            <w:tcW w:w="7479" w:type="dxa"/>
            <w:textDirection w:val="lrTb"/>
            <w:noWrap w:val="false"/>
          </w:tcPr>
          <w:p>
            <w:pPr>
              <w:pStyle w:val="960"/>
              <w:numPr>
                <w:ilvl w:val="0"/>
                <w:numId w:val="4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line="276" w:lineRule="auto"/>
              <w:ind w:hanging="23" w:left="0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ИдентификаторЦепочкиСообщений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—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&lt;Document&gt;/&lt;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PtyEvtAdvc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EvtAdvcId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— Уникальный идентификатор этого совета о событии списания.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line="276" w:lineRule="auto"/>
              <w:ind w:hanging="23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  <w:p>
            <w:pPr>
              <w:pStyle w:val="960"/>
              <w:numPr>
                <w:ilvl w:val="0"/>
                <w:numId w:val="4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line="276" w:lineRule="auto"/>
              <w:ind w:hanging="23" w:left="0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ИдентификаторОтправителя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—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&lt;Document&gt;/&lt;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PtyEvtAdvc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AdvsgPty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FIId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— Универсальный идентификатор Оператора А (отправителя совета).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line="276" w:lineRule="auto"/>
              <w:ind w:hanging="23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  <w:p>
            <w:pPr>
              <w:pStyle w:val="960"/>
              <w:numPr>
                <w:ilvl w:val="0"/>
                <w:numId w:val="4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line="276" w:lineRule="auto"/>
              <w:ind w:hanging="23" w:left="0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ИдентификаторВыпуска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—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&lt;Document&gt;/&lt;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PtyEvtAdvc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EvtDtls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EvtId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— Уникальный ID исходного выпуска ЦФА, активы по которому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должны были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списаны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line="276" w:lineRule="auto"/>
              <w:ind w:hanging="23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  <w:p>
            <w:pPr>
              <w:pStyle w:val="960"/>
              <w:numPr>
                <w:ilvl w:val="0"/>
                <w:numId w:val="4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line="276" w:lineRule="auto"/>
              <w:ind w:hanging="23" w:left="0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НаименованиеОперации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—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&lt;Document&gt;/&lt;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PtyEvtAdvc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EvtDtls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EvtTp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— Тип события: передача прав собственности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line="276" w:lineRule="auto"/>
              <w:ind w:hanging="23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  <w:p>
            <w:pPr>
              <w:pStyle w:val="960"/>
              <w:numPr>
                <w:ilvl w:val="0"/>
                <w:numId w:val="4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line="276" w:lineRule="auto"/>
              <w:ind w:hanging="23" w:left="0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БывшийВладелец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—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&lt;Document&gt;/&lt;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PtyEvtAdvc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EvtDtls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AddtlInf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 (поле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previousOwnerId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— Идентификатор инвестора (счета), с которого были списаны активы.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line="276" w:lineRule="auto"/>
              <w:ind w:hanging="23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  <w:p>
            <w:pPr>
              <w:pStyle w:val="960"/>
              <w:numPr>
                <w:ilvl w:val="0"/>
                <w:numId w:val="4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line="276" w:lineRule="auto"/>
              <w:ind w:hanging="23" w:left="0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ТекущийВладелец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—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&lt;Document&gt;/&lt;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PtyEvtAdvc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EvtDtls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AddtlInf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&gt; (поле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newOwnerId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— Идентификатор Оператора Б или специальный служебный идентификатор, обозначающий "в процессе межплатформенного перевода".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line="276" w:lineRule="auto"/>
              <w:ind w:hanging="23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  <w:p>
            <w:pPr>
              <w:pStyle w:val="960"/>
              <w:numPr>
                <w:ilvl w:val="0"/>
                <w:numId w:val="4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 w:hanging="23" w:left="0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ХэшОперации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—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&lt;Document&gt;/&lt;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PtyEvtAdvc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EvtDtls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AddtlInf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&gt; (поле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blockchainDebitTxHash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— Хэш транзакции списания активов в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блокчейне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Оператора А.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</w:tr>
      <w:tr>
        <w:trPr>
          <w:trHeight w:val="1403"/>
        </w:trPr>
        <w:tc>
          <w:tcPr>
            <w:tcBorders/>
            <w:tcW w:w="1951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.2 Установка логического соединения между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акторами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  <w:tc>
          <w:tcPr>
            <w:tcBorders/>
            <w:tcW w:w="7479" w:type="dxa"/>
            <w:textDirection w:val="lrTb"/>
            <w:noWrap w:val="false"/>
          </w:tcPr>
          <w:p>
            <w:pPr>
              <w:pStyle w:val="96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 w:left="0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Оператор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должен выполнить аутентификацию на API-шлюзе ОЦА с использованием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OAuth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2.0 Client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Credentials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или с помощью статического API-ключа в заголовке X-API-Key. Соединение устанавливается по HTTPS (TLS 1.3) к публичному API ОЦА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</w:tr>
      <w:tr>
        <w:trPr>
          <w:trHeight w:val="1403"/>
        </w:trPr>
        <w:tc>
          <w:tcPr>
            <w:tcBorders/>
            <w:tcW w:w="1951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14.3 Формирование и отправка сообщения 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  <w:tc>
          <w:tcPr>
            <w:tcBorders/>
            <w:tcW w:w="7479" w:type="dxa"/>
            <w:textDirection w:val="lrTb"/>
            <w:noWrap w:val="false"/>
          </w:tcPr>
          <w:p>
            <w:pPr>
              <w:pStyle w:val="96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 w:left="0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ОЦА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должен сформировать XML-документ tsmt.0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5.001, подписать его ЭП, и отправить как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body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POST-запроса на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эндпоинт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Оператора А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</w:tr>
      <w:tr>
        <w:trPr>
          <w:trHeight w:val="1403"/>
        </w:trPr>
        <w:tc>
          <w:tcPr>
            <w:tcBorders/>
            <w:tcW w:w="1951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14.4 Получение и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парсинг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сообщения 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  <w:tc>
          <w:tcPr>
            <w:tcBorders/>
            <w:tcW w:w="7479" w:type="dxa"/>
            <w:textDirection w:val="lrTb"/>
            <w:noWrap w:val="false"/>
          </w:tcPr>
          <w:p>
            <w:pPr>
              <w:pStyle w:val="96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 w:left="0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API-шлюз Оператора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должен принять сообщение, проверить его транспортную целостность и корректно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распарсить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XML, извлекая все обязательные элементы данных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</w:tr>
      <w:tr>
        <w:trPr>
          <w:trHeight w:val="1403"/>
        </w:trPr>
        <w:tc>
          <w:tcPr>
            <w:tcBorders/>
            <w:tcW w:w="1951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14.5 Валидация элементов данных и их отдельных сочетаний 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  <w:tc>
          <w:tcPr>
            <w:tcBorders/>
            <w:tcW w:w="7479" w:type="dxa"/>
            <w:textDirection w:val="lrTb"/>
            <w:noWrap w:val="false"/>
          </w:tcPr>
          <w:p>
            <w:pPr>
              <w:pStyle w:val="96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 w:left="0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Оператор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должен проверить наличие всех обязательных полей. Ни одно из полей не должно быть незаполненным.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</w:tr>
      <w:tr>
        <w:trPr>
          <w:trHeight w:val="1403"/>
        </w:trPr>
        <w:tc>
          <w:tcPr>
            <w:tcBorders/>
            <w:tcW w:w="1951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14.6 Процедуры проверки контрольных и криптографических величин 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  <w:tc>
          <w:tcPr>
            <w:tcBorders/>
            <w:tcW w:w="7479" w:type="dxa"/>
            <w:textDirection w:val="lrTb"/>
            <w:noWrap w:val="false"/>
          </w:tcPr>
          <w:p>
            <w:pPr>
              <w:pStyle w:val="96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 w:left="0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Оператора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должен верифицировать: 1) JWT-подпись в заголовке авторизации; 2) ЭП XML-документа в теле запроса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</w:tr>
      <w:tr>
        <w:trPr>
          <w:trHeight w:val="1403"/>
        </w:trPr>
        <w:tc>
          <w:tcPr>
            <w:tcBorders/>
            <w:tcW w:w="1951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14.7 Проверка идентификаторов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акторов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и сообщений 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  <w:tc>
          <w:tcPr>
            <w:tcBorders/>
            <w:tcW w:w="7479" w:type="dxa"/>
            <w:textDirection w:val="lrTb"/>
            <w:noWrap w:val="false"/>
          </w:tcPr>
          <w:p>
            <w:pPr>
              <w:pStyle w:val="96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 w:left="0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ОЦА должен проверить, что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client_id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из JWT соответствует полю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ИдентификаторОтправителя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&lt;Document&gt;/&lt;StsChngNtfctn&gt;/&lt;FIId&gt;/&lt;FinInstnId&gt;/&lt;ClrSysMmbId&gt;/&lt;MmbId&gt;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, а само значение поля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ИдентификаторОтправителя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совпадает с универсальным идентификатором Оператора Б. Значение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ИдентификаторИсходногоВыпуска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—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&lt;Document&gt;/&lt;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ActnRmdr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RltdTx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&gt;/&lt;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TxId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должно существовать в системе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</w:tr>
      <w:tr>
        <w:trPr>
          <w:trHeight w:val="1403"/>
        </w:trPr>
        <w:tc>
          <w:tcPr>
            <w:tcBorders/>
            <w:tcW w:w="1951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14.8  Вычисление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ответных значений 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  <w:tc>
          <w:tcPr>
            <w:tcBorders/>
            <w:tcW w:w="7479" w:type="dxa"/>
            <w:textDirection w:val="lrTb"/>
            <w:noWrap w:val="false"/>
          </w:tcPr>
          <w:p>
            <w:pPr>
              <w:pStyle w:val="96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 w:left="0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Оператор А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должен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 в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ернуть Оператору Б HTTP 200 OK с подтверждением: {"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status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": "ISSUANCE_EVENT_REGISTERED", "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timestamp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": "...", "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nextStep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": "NOTIFY_ORIGINATOR"}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</w:tr>
    </w:tbl>
    <w:p>
      <w:pPr>
        <w:pStyle w:val="79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Autospacing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f1115"/>
          <w:sz w:val="24"/>
          <w:szCs w:val="24"/>
        </w:rPr>
        <w:t xml:space="preserve">19. Запись </w:t>
      </w:r>
      <w:r>
        <w:rPr>
          <w:rFonts w:ascii="Times New Roman" w:hAnsi="Times New Roman" w:eastAsia="Times New Roman" w:cs="Times New Roman"/>
          <w:b/>
          <w:color w:val="0f1115"/>
          <w:sz w:val="24"/>
          <w:szCs w:val="24"/>
        </w:rPr>
        <w:t xml:space="preserve">хеша</w:t>
      </w:r>
      <w:r>
        <w:rPr>
          <w:rFonts w:ascii="Times New Roman" w:hAnsi="Times New Roman" w:eastAsia="Times New Roman" w:cs="Times New Roman"/>
          <w:b/>
          <w:color w:val="0f1115"/>
          <w:sz w:val="24"/>
          <w:szCs w:val="24"/>
        </w:rPr>
        <w:t xml:space="preserve"> в базу данных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Оператор </w:t>
      </w:r>
      <w:r>
        <w:rPr>
          <w:rFonts w:ascii="Times New Roman" w:hAnsi="Times New Roman" w:eastAsia="Times New Roman" w:cs="Times New Roman"/>
          <w:b/>
          <w:color w:val="0f1115"/>
          <w:sz w:val="24"/>
          <w:szCs w:val="24"/>
        </w:rPr>
        <w:t xml:space="preserve">Цифровых Активов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сохраняет 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хеш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операции списания, полученный от Оператора А, в своей базе данных. Это действие является внутренним.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9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Autospacing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f1115"/>
          <w:sz w:val="24"/>
          <w:szCs w:val="24"/>
        </w:rPr>
        <w:t xml:space="preserve">20. Оповещение оператора Б о передаче прав собственности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76" w:lineRule="auto"/>
        <w:ind/>
        <w:jc w:val="both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Оператор Цифровых Активов отправляет Оператору Б формальное оповещение о том, что активы списаны со счета инвестора, а права собственности на них считаются переданными. Это оповещение является сигналом для Оператора Б к завершающему действию.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</w:r>
    </w:p>
    <w:tbl>
      <w:tblPr>
        <w:tblStyle w:val="965"/>
        <w:tblW w:w="0" w:type="auto"/>
        <w:tblBorders/>
        <w:tblLook w:val="04A0" w:firstRow="1" w:lastRow="0" w:firstColumn="1" w:lastColumn="0" w:noHBand="0" w:noVBand="1"/>
      </w:tblPr>
      <w:tblGrid>
        <w:gridCol w:w="4677"/>
        <w:gridCol w:w="4677"/>
      </w:tblGrid>
      <w:tr>
        <w:trPr>
          <w:trHeight w:val="468"/>
        </w:trPr>
        <w:tc>
          <w:tcPr>
            <w:tcBorders/>
            <w:tcW w:w="4677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Название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Поля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</w:tr>
      <w:tr>
        <w:trPr>
          <w:trHeight w:val="1403"/>
        </w:trPr>
        <w:tc>
          <w:tcPr>
            <w:tcBorders/>
            <w:tcW w:w="4677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ИдентификаторЦепочкиСообщений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ИдентификаторОтправителя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ИдентификаторВыпуска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НаименованиеОперации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ПараметрыОперации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ХэшОперации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</w:tr>
    </w:tbl>
    <w:p>
      <w:pPr>
        <w:pStyle w:val="79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Autospacing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f1115"/>
          <w:sz w:val="24"/>
          <w:szCs w:val="24"/>
        </w:rPr>
        <w:t xml:space="preserve">21. Зачисление эквивалентных активов на счет инвестора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На основании полученного оповещения и ранее выпущенных активов Оператор Б проводит операцию по зачислению 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val="en-US"/>
        </w:rPr>
        <w:t xml:space="preserve">wrap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-активов на счет инвестора. Эквивалентное количество ЦФА появляется на счете инвестора в системе платформы-получателя.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9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Autospacing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f1115"/>
          <w:sz w:val="24"/>
          <w:szCs w:val="24"/>
        </w:rPr>
        <w:t xml:space="preserve">22. Возврат </w:t>
      </w:r>
      <w:r>
        <w:rPr>
          <w:rFonts w:ascii="Times New Roman" w:hAnsi="Times New Roman" w:eastAsia="Times New Roman" w:cs="Times New Roman"/>
          <w:b/>
          <w:color w:val="0f1115"/>
          <w:sz w:val="24"/>
          <w:szCs w:val="24"/>
        </w:rPr>
        <w:t xml:space="preserve">хеша</w:t>
      </w:r>
      <w:r>
        <w:rPr>
          <w:rFonts w:ascii="Times New Roman" w:hAnsi="Times New Roman" w:eastAsia="Times New Roman" w:cs="Times New Roman"/>
          <w:b/>
          <w:color w:val="0f1115"/>
          <w:sz w:val="24"/>
          <w:szCs w:val="24"/>
        </w:rPr>
        <w:t xml:space="preserve"> операции зачисления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76" w:lineRule="auto"/>
        <w:ind/>
        <w:jc w:val="both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Оператор Б фиксирует хэш операцию зачисления в 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блокчейне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и возвращает его Оператору Цифровых Активов в качестве подтверждения успешного перевода.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</w:r>
    </w:p>
    <w:tbl>
      <w:tblPr>
        <w:tblStyle w:val="965"/>
        <w:tblW w:w="0" w:type="auto"/>
        <w:tblBorders/>
        <w:tblLook w:val="04A0" w:firstRow="1" w:lastRow="0" w:firstColumn="1" w:lastColumn="0" w:noHBand="0" w:noVBand="1"/>
      </w:tblPr>
      <w:tblGrid>
        <w:gridCol w:w="4677"/>
        <w:gridCol w:w="4677"/>
      </w:tblGrid>
      <w:tr>
        <w:trPr>
          <w:trHeight w:val="468"/>
        </w:trPr>
        <w:tc>
          <w:tcPr>
            <w:tcBorders/>
            <w:tcW w:w="4677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Название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Поля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</w:tr>
      <w:tr>
        <w:trPr>
          <w:trHeight w:val="1403"/>
        </w:trPr>
        <w:tc>
          <w:tcPr>
            <w:tcBorders/>
            <w:tcW w:w="4677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76" w:lineRule="auto"/>
              <w:ind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ИдентификаторЦепочкиСообщений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ИдентификаторОтправителя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  <w:t xml:space="preserve"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ИдентификаторВыпуска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НаименованиеОперации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ХэшОперации</w:t>
            </w:r>
            <w:r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</w:rPr>
            </w:r>
          </w:p>
        </w:tc>
      </w:tr>
    </w:tbl>
    <w:p>
      <w:pPr>
        <w:pStyle w:val="79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Autospacing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f1115"/>
          <w:sz w:val="24"/>
          <w:szCs w:val="24"/>
        </w:rPr>
        <w:t xml:space="preserve">23. Запись </w:t>
      </w:r>
      <w:r>
        <w:rPr>
          <w:rFonts w:ascii="Times New Roman" w:hAnsi="Times New Roman" w:eastAsia="Times New Roman" w:cs="Times New Roman"/>
          <w:b/>
          <w:color w:val="0f1115"/>
          <w:sz w:val="24"/>
          <w:szCs w:val="24"/>
        </w:rPr>
        <w:t xml:space="preserve">хешей</w:t>
      </w:r>
      <w:r>
        <w:rPr>
          <w:rFonts w:ascii="Times New Roman" w:hAnsi="Times New Roman" w:eastAsia="Times New Roman" w:cs="Times New Roman"/>
          <w:b/>
          <w:color w:val="0f1115"/>
          <w:sz w:val="24"/>
          <w:szCs w:val="24"/>
        </w:rPr>
        <w:t xml:space="preserve"> транзакции в базу данных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Оператор </w:t>
      </w:r>
      <w:r>
        <w:rPr>
          <w:rFonts w:ascii="Times New Roman" w:hAnsi="Times New Roman" w:eastAsia="Times New Roman" w:cs="Times New Roman"/>
          <w:b/>
          <w:color w:val="0f1115"/>
          <w:sz w:val="24"/>
          <w:szCs w:val="24"/>
        </w:rPr>
        <w:t xml:space="preserve"> Цифровых</w:t>
      </w:r>
      <w:r>
        <w:rPr>
          <w:rFonts w:ascii="Times New Roman" w:hAnsi="Times New Roman" w:eastAsia="Times New Roman" w:cs="Times New Roman"/>
          <w:b/>
          <w:color w:val="0f1115"/>
          <w:sz w:val="24"/>
          <w:szCs w:val="24"/>
        </w:rPr>
        <w:t xml:space="preserve"> Активов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сохраняет 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хеш</w:t>
      </w: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 операции зачисления, полученный от Оператора Б, в своей базе данных. Это внутреннее действие завершает полный аудиторский след, связывающий в базе данных все этапы одной транзакции.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9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Autospacing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f1115"/>
          <w:sz w:val="24"/>
          <w:szCs w:val="24"/>
        </w:rPr>
        <w:t xml:space="preserve">24. Уведомление эмитента об успешной транзакции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Оператор Цифровых Активов обновляет реквизиты и аналитику текущего выпуска ЦФА эмитента в его личном кабинете. На данном шаге происходит клиент-серверное взаимодействие на платформе ОЦА.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9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Autospacing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f1115"/>
          <w:sz w:val="24"/>
          <w:szCs w:val="24"/>
        </w:rPr>
        <w:t xml:space="preserve">25. Уведомление инвестора об успешной транзакции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</w:rPr>
        <w:t xml:space="preserve">Оператор Цифровых Активов обновляет данные кошельков инвестора его в личном кабинете. На этом этапе происходит клиент-серверное взаимодействие на платформе ОЦА.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86"/>
        <w:pBdr/>
        <w:spacing/>
        <w:ind w:firstLine="709"/>
        <w:rPr>
          <w:b/>
          <w:bCs/>
        </w:rPr>
      </w:pPr>
      <w:r>
        <w:rPr>
          <w:b/>
          <w:bCs/>
        </w:rPr>
        <w:t xml:space="preserve">Список использованных источников</w:t>
      </w:r>
      <w:r>
        <w:rPr>
          <w:b/>
          <w:bCs/>
        </w:rPr>
      </w:r>
    </w:p>
    <w:p>
      <w:pPr>
        <w:pStyle w:val="960"/>
        <w:numPr>
          <w:ilvl w:val="0"/>
          <w:numId w:val="8"/>
        </w:numPr>
        <w:pBdr/>
        <w:spacing w:after="0" w:line="276" w:lineRule="auto"/>
        <w:ind w:hanging="851" w:left="851"/>
        <w:jc w:val="both"/>
        <w:rPr>
          <w:rStyle w:val="964"/>
          <w:rFonts w:ascii="Times New Roman" w:hAnsi="Times New Roman" w:cs="Times New Roman"/>
          <w:color w:val="000000" w:themeColor="text1"/>
          <w:sz w:val="24"/>
          <w:szCs w:val="24"/>
        </w:rPr>
      </w:pPr>
      <w:r/>
      <w:hyperlink r:id="rId28" w:tooltip="https://www.kommersant.ru/doc/7606620" w:history="1">
        <w:bookmarkStart w:id="226" w:name="_Ref214186126"/>
        <w:r>
          <w:rPr>
            <w:rStyle w:val="964"/>
            <w:rFonts w:ascii="Times New Roman" w:hAnsi="Times New Roman" w:cs="Times New Roman"/>
            <w:color w:val="000000" w:themeColor="text1"/>
            <w:sz w:val="24"/>
            <w:szCs w:val="24"/>
          </w:rPr>
          <w:t xml:space="preserve">Рынок ЦФА: почему не развивается в России и прогнозы на 2025 год</w:t>
        </w:r>
        <w:bookmarkEnd w:id="226"/>
      </w:hyperlink>
      <w:r/>
      <w:r>
        <w:rPr>
          <w:rStyle w:val="964"/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960"/>
        <w:numPr>
          <w:ilvl w:val="0"/>
          <w:numId w:val="8"/>
        </w:numPr>
        <w:pBdr/>
        <w:spacing w:after="0" w:line="276" w:lineRule="auto"/>
        <w:ind w:hanging="851" w:left="851"/>
        <w:jc w:val="both"/>
        <w:rPr>
          <w:rStyle w:val="964"/>
          <w:rFonts w:ascii="Times New Roman" w:hAnsi="Times New Roman" w:cs="Times New Roman"/>
          <w:color w:val="000000" w:themeColor="text1"/>
          <w:sz w:val="24"/>
          <w:szCs w:val="24"/>
        </w:rPr>
      </w:pPr>
      <w:r/>
      <w:hyperlink r:id="rId29" w:tooltip="https://expert.ru/intervyu/aleksey-yakovlev-dlya-tsfa-nuzhno-rasshiryat-likvidnost/" w:history="1">
        <w:bookmarkStart w:id="227" w:name="_Ref214186136"/>
        <w:r>
          <w:rPr>
            <w:rStyle w:val="964"/>
            <w:rFonts w:ascii="Times New Roman" w:hAnsi="Times New Roman" w:cs="Times New Roman"/>
            <w:color w:val="000000" w:themeColor="text1"/>
            <w:sz w:val="24"/>
            <w:szCs w:val="24"/>
          </w:rPr>
          <w:t xml:space="preserve">Почему Минфин задумался о вторичном рынке ЦФА</w:t>
        </w:r>
        <w:bookmarkEnd w:id="227"/>
      </w:hyperlink>
      <w:r/>
      <w:r>
        <w:rPr>
          <w:rStyle w:val="964"/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960"/>
        <w:numPr>
          <w:ilvl w:val="0"/>
          <w:numId w:val="8"/>
        </w:numPr>
        <w:pBdr/>
        <w:spacing w:after="0" w:line="276" w:lineRule="auto"/>
        <w:ind w:hanging="851" w:left="851"/>
        <w:jc w:val="both"/>
        <w:rPr>
          <w:rStyle w:val="964"/>
          <w:rFonts w:ascii="Times New Roman" w:hAnsi="Times New Roman" w:cs="Times New Roman"/>
          <w:color w:val="000000" w:themeColor="text1"/>
          <w:sz w:val="24"/>
          <w:szCs w:val="24"/>
        </w:rPr>
      </w:pPr>
      <w:r/>
      <w:hyperlink r:id="rId30" w:tooltip="https://xn--80a3bf.xn--p1ai/intervyu-ilya-habarov-sinara.html" w:history="1">
        <w:r>
          <w:rPr>
            <w:rStyle w:val="964"/>
            <w:rFonts w:ascii="Times New Roman" w:hAnsi="Times New Roman" w:cs="Times New Roman"/>
            <w:color w:val="000000" w:themeColor="text1"/>
            <w:sz w:val="24"/>
            <w:szCs w:val="24"/>
          </w:rPr>
          <w:t xml:space="preserve">Илья Хабаров о проблемах рынка ЦФА и их решении - Цифровые Финансовые Активы</w:t>
        </w:r>
      </w:hyperlink>
      <w:r/>
      <w:r>
        <w:rPr>
          <w:rStyle w:val="964"/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960"/>
        <w:numPr>
          <w:ilvl w:val="0"/>
          <w:numId w:val="8"/>
        </w:numPr>
        <w:pBdr/>
        <w:spacing w:after="0" w:line="276" w:lineRule="auto"/>
        <w:ind w:hanging="851" w:left="851"/>
        <w:jc w:val="both"/>
        <w:rPr>
          <w:rStyle w:val="964"/>
          <w:rFonts w:ascii="Times New Roman" w:hAnsi="Times New Roman" w:cs="Times New Roman"/>
          <w:color w:val="000000" w:themeColor="text1"/>
          <w:sz w:val="24"/>
          <w:szCs w:val="24"/>
          <w:u w:val="none"/>
        </w:rPr>
      </w:pPr>
      <w:r/>
      <w:hyperlink r:id="rId31" w:tooltip="https://cbr.ru/finm_infrastructure/digital_oper/" w:history="1">
        <w:bookmarkStart w:id="228" w:name="_Ref214186178"/>
        <w:r>
          <w:rPr>
            <w:rStyle w:val="964"/>
            <w:rFonts w:ascii="Times New Roman" w:hAnsi="Times New Roman" w:cs="Times New Roman"/>
            <w:color w:val="000000" w:themeColor="text1"/>
            <w:sz w:val="24"/>
            <w:szCs w:val="24"/>
          </w:rPr>
          <w:t xml:space="preserve">Цифровые финансовые активы и их операторы | Банк России</w:t>
        </w:r>
        <w:bookmarkEnd w:id="228"/>
      </w:hyperlink>
      <w:r/>
      <w:r>
        <w:rPr>
          <w:rStyle w:val="964"/>
          <w:rFonts w:ascii="Times New Roman" w:hAnsi="Times New Roman" w:cs="Times New Roman"/>
          <w:color w:val="000000" w:themeColor="text1"/>
          <w:sz w:val="24"/>
          <w:szCs w:val="24"/>
          <w:u w:val="none"/>
        </w:rPr>
      </w:r>
    </w:p>
    <w:p>
      <w:pPr>
        <w:pStyle w:val="960"/>
        <w:numPr>
          <w:ilvl w:val="0"/>
          <w:numId w:val="8"/>
        </w:numPr>
        <w:pBdr/>
        <w:spacing w:after="0" w:line="276" w:lineRule="auto"/>
        <w:ind w:hanging="851" w:left="851"/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/>
      <w:bookmarkStart w:id="229" w:name="_Ref216038424"/>
      <w:r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Статья 11. Правила обмена цифровых финансовых активов и порядок их согласования, реес</w:t>
      </w:r>
      <w:r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тр операторов обмена цифровых финансовых активов. Федеральный закон от 31.07.2020 N 259-ФЗ "О цифровых финансовых активах, цифровой валюте и о внесении изменений в отдельные законодательные акты Российской Федерации" (с изменениями и дополнениями) | ГАРАНТ</w:t>
      </w:r>
      <w:bookmarkEnd w:id="229"/>
      <w:r/>
      <w:r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r>
    </w:p>
    <w:p>
      <w:pPr>
        <w:pStyle w:val="960"/>
        <w:numPr>
          <w:ilvl w:val="0"/>
          <w:numId w:val="8"/>
        </w:numPr>
        <w:pBdr/>
        <w:spacing w:after="0" w:line="276" w:lineRule="auto"/>
        <w:ind w:hanging="851" w:left="851"/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/>
      <w:bookmarkStart w:id="230" w:name="_Ref216038465"/>
      <w:r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Рынок ЦФА в 2025 году — обзор </w:t>
      </w:r>
      <w:r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SberCIB</w:t>
      </w:r>
      <w:bookmarkEnd w:id="230"/>
      <w:r/>
      <w:r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r>
    </w:p>
    <w:p>
      <w:pPr>
        <w:pStyle w:val="960"/>
        <w:numPr>
          <w:ilvl w:val="0"/>
          <w:numId w:val="8"/>
        </w:numPr>
        <w:pBdr/>
        <w:spacing w:after="0" w:line="276" w:lineRule="auto"/>
        <w:ind w:hanging="851" w:left="851"/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/>
      <w:bookmarkStart w:id="231" w:name="_Ref216038494"/>
      <w:r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Q2 2025: структура и динамика рынка цифровых финансовых активов — Крипто на vc.ru</w:t>
      </w:r>
      <w:bookmarkEnd w:id="231"/>
      <w:r/>
      <w:r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r>
    </w:p>
    <w:p>
      <w:pPr>
        <w:pStyle w:val="960"/>
        <w:numPr>
          <w:ilvl w:val="0"/>
          <w:numId w:val="8"/>
        </w:numPr>
        <w:pBdr/>
        <w:spacing w:after="0" w:line="276" w:lineRule="auto"/>
        <w:ind w:hanging="851" w:left="851"/>
        <w:jc w:val="both"/>
        <w:rPr>
          <w:rStyle w:val="964"/>
          <w:rFonts w:ascii="Times New Roman" w:hAnsi="Times New Roman" w:cs="Times New Roman"/>
          <w:color w:val="000000" w:themeColor="text1"/>
          <w:sz w:val="24"/>
          <w:szCs w:val="24"/>
          <w:u w:val="none"/>
        </w:rPr>
      </w:pPr>
      <w:r/>
      <w:hyperlink r:id="rId32" w:tooltip="https://www.moex.com/n90971" w:history="1">
        <w:bookmarkStart w:id="232" w:name="_Ref214186246"/>
        <w:r>
          <w:rPr>
            <w:rStyle w:val="964"/>
            <w:rFonts w:ascii="Times New Roman" w:hAnsi="Times New Roman" w:cs="Times New Roman"/>
            <w:color w:val="000000" w:themeColor="text1"/>
            <w:sz w:val="24"/>
            <w:szCs w:val="24"/>
          </w:rPr>
          <w:t xml:space="preserve">Новости и пресс-релизы Московской биржи — Московская Биржа | Московская биржа-лидер по объему размещенных ЦФА в 2025 году</w:t>
        </w:r>
        <w:bookmarkEnd w:id="232"/>
      </w:hyperlink>
      <w:r/>
      <w:r>
        <w:rPr>
          <w:rStyle w:val="964"/>
          <w:rFonts w:ascii="Times New Roman" w:hAnsi="Times New Roman" w:cs="Times New Roman"/>
          <w:color w:val="000000" w:themeColor="text1"/>
          <w:sz w:val="24"/>
          <w:szCs w:val="24"/>
          <w:u w:val="none"/>
        </w:rPr>
      </w:r>
    </w:p>
    <w:p>
      <w:pPr>
        <w:pStyle w:val="960"/>
        <w:numPr>
          <w:ilvl w:val="0"/>
          <w:numId w:val="8"/>
        </w:numPr>
        <w:pBdr/>
        <w:spacing w:after="0" w:line="276" w:lineRule="auto"/>
        <w:ind w:hanging="851" w:left="851"/>
        <w:jc w:val="both"/>
        <w:rPr>
          <w:rStyle w:val="964"/>
          <w:rFonts w:ascii="Times New Roman" w:hAnsi="Times New Roman" w:cs="Times New Roman"/>
          <w:color w:val="000000" w:themeColor="text1"/>
          <w:sz w:val="24"/>
          <w:szCs w:val="24"/>
        </w:rPr>
      </w:pPr>
      <w:r/>
      <w:hyperlink r:id="rId33" w:tooltip="https://www.moex.com/ru/digital-assets" w:history="1">
        <w:bookmarkStart w:id="233" w:name="_Ref214186255"/>
        <w:r>
          <w:rPr>
            <w:rStyle w:val="964"/>
            <w:rFonts w:ascii="Times New Roman" w:hAnsi="Times New Roman" w:cs="Times New Roman"/>
            <w:color w:val="000000" w:themeColor="text1"/>
            <w:sz w:val="24"/>
            <w:szCs w:val="24"/>
          </w:rPr>
          <w:t xml:space="preserve">Цифровые Финансовые Активы. | Московская Биржа</w:t>
        </w:r>
        <w:bookmarkEnd w:id="233"/>
      </w:hyperlink>
      <w:r/>
      <w:r>
        <w:rPr>
          <w:rStyle w:val="964"/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960"/>
        <w:numPr>
          <w:ilvl w:val="0"/>
          <w:numId w:val="8"/>
        </w:numPr>
        <w:pBdr/>
        <w:spacing w:after="0" w:line="276" w:lineRule="auto"/>
        <w:ind w:hanging="851" w:left="851"/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/>
      <w:bookmarkStart w:id="234" w:name="_Ref216038685"/>
      <w:r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Центральный университет составил портрет инвестора-2025</w:t>
      </w:r>
      <w:bookmarkEnd w:id="234"/>
      <w:r/>
      <w:r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r>
    </w:p>
    <w:p>
      <w:pPr>
        <w:pStyle w:val="960"/>
        <w:numPr>
          <w:ilvl w:val="0"/>
          <w:numId w:val="8"/>
        </w:numPr>
        <w:pBdr/>
        <w:spacing w:after="0" w:line="276" w:lineRule="auto"/>
        <w:ind w:hanging="851" w:left="851"/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/>
      <w:bookmarkStart w:id="235" w:name="_Ref216038692"/>
      <w:r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Как изменились инвесторы в России: доля пожилых, количество молодежи, результаты опроса - Финансы Mail</w:t>
      </w:r>
      <w:bookmarkEnd w:id="235"/>
      <w:r/>
      <w:r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r>
    </w:p>
    <w:p>
      <w:pPr>
        <w:pStyle w:val="960"/>
        <w:numPr>
          <w:ilvl w:val="0"/>
          <w:numId w:val="8"/>
        </w:numPr>
        <w:pBdr/>
        <w:spacing w:after="0" w:line="276" w:lineRule="auto"/>
        <w:ind w:hanging="851" w:left="851"/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/>
      <w:bookmarkStart w:id="236" w:name="_Ref216038704"/>
      <w:r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Инвесторы в ЦФА в России: рост на 15% в 2025 году - </w:t>
      </w:r>
      <w:r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T_Smart</w:t>
      </w:r>
      <w:bookmarkEnd w:id="236"/>
      <w:r/>
      <w:r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r>
    </w:p>
    <w:p>
      <w:pPr>
        <w:pStyle w:val="960"/>
        <w:numPr>
          <w:ilvl w:val="0"/>
          <w:numId w:val="8"/>
        </w:numPr>
        <w:pBdr/>
        <w:spacing w:after="0" w:line="276" w:lineRule="auto"/>
        <w:ind w:hanging="851" w:left="851"/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/>
      <w:bookmarkStart w:id="237" w:name="_Ref216038711"/>
      <w:r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Рынок цифровых финансовых активов: в зоне турбулентности | Эксперт РА</w:t>
      </w:r>
      <w:bookmarkEnd w:id="237"/>
      <w:r/>
      <w:r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r>
    </w:p>
    <w:sectPr>
      <w:footerReference w:type="default" r:id="rId9"/>
      <w:footerReference w:type="first" r:id="rId10"/>
      <w:footnotePr/>
      <w:endnotePr/>
      <w:type w:val="nextPage"/>
      <w:pgSz w:h="16838" w:orient="portrait" w:w="11906"/>
      <w:pgMar w:top="1134" w:right="991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Symbol">
    <w:panose1 w:val="05050102010706020507"/>
  </w:font>
  <w:font w:name="Tahoma">
    <w:panose1 w:val="020B0604030504040204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894193745"/>
      <w:docPartObj>
        <w:docPartGallery w:val="Page Numbers (Bottom of Page)"/>
        <w:docPartUnique w:val="true"/>
      </w:docPartObj>
      <w:rPr/>
    </w:sdtPr>
    <w:sdtContent>
      <w:p>
        <w:pPr>
          <w:pStyle w:val="984"/>
          <w:pBdr/>
          <w:spacing/>
          <w:ind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sz w:val="24"/>
            <w:szCs w:val="24"/>
          </w:rPr>
          <w:instrText xml:space="preserve">PAGE   \* MERGEFORMAT</w:instrText>
        </w:r>
        <w:r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 xml:space="preserve">49</w:t>
        </w:r>
        <w:r>
          <w:rPr>
            <w:rFonts w:ascii="Times New Roman" w:hAnsi="Times New Roman" w:cs="Times New Roman"/>
            <w:sz w:val="24"/>
            <w:szCs w:val="24"/>
          </w:rPr>
          <w:fldChar w:fldCharType="end"/>
        </w:r>
        <w:r>
          <w:rPr>
            <w:rFonts w:ascii="Times New Roman" w:hAnsi="Times New Roman" w:cs="Times New Roman"/>
            <w:sz w:val="24"/>
            <w:szCs w:val="24"/>
          </w:rPr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4"/>
      <w:pBdr/>
      <w:spacing/>
      <w:ind/>
      <w:jc w:val="center"/>
      <w:rPr>
        <w:rFonts w:ascii="Times New Roman" w:hAnsi="Times New Roman" w:cs="Times New Roman"/>
        <w:b/>
        <w:bCs/>
        <w:sz w:val="28"/>
        <w:szCs w:val="28"/>
      </w:rPr>
    </w:pPr>
    <w:r>
      <w:rPr>
        <w:rFonts w:ascii="Times New Roman" w:hAnsi="Times New Roman" w:cs="Times New Roman"/>
        <w:b/>
        <w:bCs/>
        <w:sz w:val="28"/>
        <w:szCs w:val="28"/>
      </w:rPr>
      <w:t xml:space="preserve">Москва 202</w:t>
    </w:r>
    <w:r>
      <w:rPr>
        <w:rFonts w:ascii="Times New Roman" w:hAnsi="Times New Roman" w:cs="Times New Roman"/>
        <w:b/>
        <w:bCs/>
        <w:sz w:val="28"/>
        <w:szCs w:val="28"/>
      </w:rPr>
      <w:t xml:space="preserve">6</w:t>
    </w:r>
    <w:r>
      <w:rPr>
        <w:rFonts w:ascii="Times New Roman" w:hAnsi="Times New Roman" w:cs="Times New Roman"/>
        <w:b/>
        <w:bCs/>
        <w:sz w:val="28"/>
        <w:szCs w:val="2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22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spacing/>
        <w:ind w:hanging="360" w:left="121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3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65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37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9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81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53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25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971"/>
      </w:pPr>
      <w:rPr>
        <w:rFonts w:hint="default" w:ascii="Wingdings" w:hAnsi="Wingdings"/>
      </w:rPr>
      <w:start w:val="1"/>
      <w:suff w:val="tab"/>
    </w:lvl>
  </w:abstractNum>
  <w:abstractNum w:abstractNumId="8"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spacing/>
        <w:ind w:hanging="360" w:left="928"/>
      </w:pPr>
      <w:rPr>
        <w:rFonts w:hint="default"/>
        <w:b w:val="0"/>
        <w:b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284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462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640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800" w:left="7472"/>
      </w:pPr>
      <w:rPr>
        <w:rFonts w:hint="default"/>
      </w:rPr>
      <w:start w:val="1"/>
      <w:suff w:val="tab"/>
    </w:lvl>
  </w:abstractNum>
  <w:abstractNum w:abstractNumId="11"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1069"/>
      </w:pPr>
      <w:pStyle w:val="988"/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pStyle w:val="989"/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284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462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640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800" w:left="7472"/>
      </w:pPr>
      <w:rPr>
        <w:rFonts w:hint="default"/>
      </w:rPr>
      <w:start w:val="1"/>
      <w:suff w:val="tab"/>
    </w:lvl>
  </w:abstractNum>
  <w:abstractNum w:abstractNumId="1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284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462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640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800" w:left="7472"/>
      </w:pPr>
      <w:rPr>
        <w:rFonts w:hint="default"/>
      </w:rPr>
      <w:start w:val="1"/>
      <w:suff w:val="tab"/>
    </w:lvl>
  </w:abstractNum>
  <w:abstractNum w:abstractNumId="18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"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3">
    <w:lvl w:ilvl="0">
      <w:isLgl w:val="false"/>
      <w:lvlJc w:val="left"/>
      <w:lvlText w:val="%1."/>
      <w:numFmt w:val="decimal"/>
      <w:pPr>
        <w:pBdr/>
        <w:spacing/>
        <w:ind w:hanging="360" w:left="107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800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24">
    <w:lvl w:ilvl="0">
      <w:isLgl w:val="false"/>
      <w:lvlJc w:val="left"/>
      <w:lvlText w:val=""/>
      <w:numFmt w:val="bullet"/>
      <w:pPr>
        <w:pBdr/>
        <w:spacing/>
        <w:ind w:hanging="360" w:left="92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64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36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08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80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52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24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96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688"/>
      </w:pPr>
      <w:rPr>
        <w:rFonts w:hint="default" w:ascii="Wingdings" w:hAnsi="Wingdings"/>
      </w:rPr>
      <w:start w:val="1"/>
      <w:suff w:val="tab"/>
    </w:lvl>
  </w:abstractNum>
  <w:abstractNum w:abstractNumId="25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22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7"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8"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0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432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50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57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648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720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79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86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9360"/>
      </w:pPr>
      <w:rPr/>
      <w:start w:val="1"/>
      <w:suff w:val="tab"/>
    </w:lvl>
  </w:abstractNum>
  <w:abstractNum w:abstractNumId="3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lvl w:ilvl="0">
      <w:isLgl w:val="false"/>
      <w:lvlJc w:val="left"/>
      <w:lvlText w:val="%1."/>
      <w:numFmt w:val="decimal"/>
      <w:pPr>
        <w:pBdr/>
        <w:spacing/>
        <w:ind w:hanging="360" w:left="720"/>
      </w:pPr>
      <w:pStyle w:val="975"/>
      <w:rPr/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720" w:left="1434"/>
      </w:pPr>
      <w:rPr>
        <w:rFonts w:hint="default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788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1080" w:left="2502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440" w:left="3216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440" w:left="357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800" w:left="4284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2160" w:left="4998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2160" w:left="5352"/>
      </w:pPr>
      <w:rPr>
        <w:rFonts w:hint="default"/>
      </w:rPr>
      <w:start w:val="1"/>
      <w:suff w:val="tab"/>
    </w:lvl>
  </w:abstractNum>
  <w:abstractNum w:abstractNumId="3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5"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284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462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640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800" w:left="7472"/>
      </w:pPr>
      <w:rPr>
        <w:rFonts w:hint="default"/>
      </w:rPr>
      <w:start w:val="1"/>
      <w:suff w:val="tab"/>
    </w:lvl>
  </w:abstractNum>
  <w:abstractNum w:abstractNumId="36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432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50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57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648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720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79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86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9360"/>
      </w:pPr>
      <w:rPr/>
      <w:start w:val="1"/>
      <w:suff w:val="tab"/>
    </w:lvl>
  </w:abstractNum>
  <w:abstractNum w:abstractNumId="3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8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9"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0"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1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2"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3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7"/>
  </w:num>
  <w:num w:numId="2">
    <w:abstractNumId w:val="19"/>
  </w:num>
  <w:num w:numId="3">
    <w:abstractNumId w:val="37"/>
  </w:num>
  <w:num w:numId="4">
    <w:abstractNumId w:val="32"/>
  </w:num>
  <w:num w:numId="5">
    <w:abstractNumId w:val="32"/>
    <w:lvlOverride w:ilvl="0">
      <w:startOverride w:val="1"/>
    </w:lvlOverride>
  </w:num>
  <w:num w:numId="6">
    <w:abstractNumId w:val="23"/>
  </w:num>
  <w:num w:numId="7">
    <w:abstractNumId w:val="12"/>
  </w:num>
  <w:num w:numId="8">
    <w:abstractNumId w:val="5"/>
  </w:num>
  <w:num w:numId="9">
    <w:abstractNumId w:val="2"/>
  </w:num>
  <w:num w:numId="10">
    <w:abstractNumId w:val="24"/>
  </w:num>
  <w:num w:numId="11">
    <w:abstractNumId w:val="33"/>
  </w:num>
  <w:num w:numId="12">
    <w:abstractNumId w:val="9"/>
  </w:num>
  <w:num w:numId="13">
    <w:abstractNumId w:val="30"/>
  </w:num>
  <w:num w:numId="14">
    <w:abstractNumId w:val="11"/>
  </w:num>
  <w:num w:numId="15">
    <w:abstractNumId w:val="14"/>
  </w:num>
  <w:num w:numId="16">
    <w:abstractNumId w:val="22"/>
  </w:num>
  <w:num w:numId="17">
    <w:abstractNumId w:val="17"/>
  </w:num>
  <w:num w:numId="18">
    <w:abstractNumId w:val="10"/>
  </w:num>
  <w:num w:numId="19">
    <w:abstractNumId w:val="28"/>
  </w:num>
  <w:num w:numId="20">
    <w:abstractNumId w:val="15"/>
  </w:num>
  <w:num w:numId="21">
    <w:abstractNumId w:val="31"/>
  </w:num>
  <w:num w:numId="22">
    <w:abstractNumId w:val="41"/>
  </w:num>
  <w:num w:numId="23">
    <w:abstractNumId w:val="36"/>
  </w:num>
  <w:num w:numId="24">
    <w:abstractNumId w:val="18"/>
  </w:num>
  <w:num w:numId="25">
    <w:abstractNumId w:val="29"/>
  </w:num>
  <w:num w:numId="26">
    <w:abstractNumId w:val="35"/>
  </w:num>
  <w:num w:numId="27">
    <w:abstractNumId w:val="11"/>
    <w:lvlOverride w:ilvl="0">
      <w:startOverride w:val="2"/>
    </w:lvlOverride>
    <w:lvlOverride w:ilvl="1">
      <w:startOverride w:val="1"/>
    </w:lvlOverride>
  </w:num>
  <w:num w:numId="28">
    <w:abstractNumId w:val="43"/>
  </w:num>
  <w:num w:numId="29">
    <w:abstractNumId w:val="26"/>
  </w:num>
  <w:num w:numId="3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"/>
  </w:num>
  <w:num w:numId="33">
    <w:abstractNumId w:val="6"/>
  </w:num>
  <w:num w:numId="34">
    <w:abstractNumId w:val="34"/>
  </w:num>
  <w:num w:numId="35">
    <w:abstractNumId w:val="13"/>
  </w:num>
  <w:num w:numId="36">
    <w:abstractNumId w:val="20"/>
  </w:num>
  <w:num w:numId="37">
    <w:abstractNumId w:val="40"/>
  </w:num>
  <w:num w:numId="38">
    <w:abstractNumId w:val="4"/>
  </w:num>
  <w:num w:numId="39">
    <w:abstractNumId w:val="1"/>
  </w:num>
  <w:num w:numId="40">
    <w:abstractNumId w:val="8"/>
  </w:num>
  <w:num w:numId="41">
    <w:abstractNumId w:val="42"/>
  </w:num>
  <w:num w:numId="42">
    <w:abstractNumId w:val="39"/>
  </w:num>
  <w:num w:numId="43">
    <w:abstractNumId w:val="27"/>
  </w:num>
  <w:num w:numId="44">
    <w:abstractNumId w:val="38"/>
  </w:num>
  <w:num w:numId="45">
    <w:abstractNumId w:val="0"/>
  </w:num>
  <w:num w:numId="46">
    <w:abstractNumId w:val="21"/>
  </w:num>
  <w:num w:numId="47">
    <w:abstractNumId w:val="16"/>
  </w:num>
  <w:num w:numId="4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Plain Table 1"/>
    <w:basedOn w:val="79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79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2 Char"/>
    <w:basedOn w:val="798"/>
    <w:link w:val="7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798"/>
    <w:link w:val="7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798"/>
    <w:link w:val="79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798"/>
    <w:link w:val="7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798"/>
    <w:link w:val="79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798"/>
    <w:link w:val="79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798"/>
    <w:link w:val="79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798"/>
    <w:link w:val="79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798"/>
    <w:link w:val="95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1">
    <w:name w:val="Subtitle Char"/>
    <w:basedOn w:val="798"/>
    <w:link w:val="9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3">
    <w:name w:val="Quote Char"/>
    <w:basedOn w:val="798"/>
    <w:link w:val="93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7">
    <w:name w:val="Intense Quote Char"/>
    <w:basedOn w:val="798"/>
    <w:link w:val="94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81">
    <w:name w:val="Footnote Text Char"/>
    <w:basedOn w:val="798"/>
    <w:link w:val="949"/>
    <w:uiPriority w:val="99"/>
    <w:semiHidden/>
    <w:pPr>
      <w:pBdr/>
      <w:spacing/>
      <w:ind/>
    </w:pPr>
    <w:rPr>
      <w:sz w:val="20"/>
      <w:szCs w:val="20"/>
    </w:rPr>
  </w:style>
  <w:style w:type="character" w:styleId="184">
    <w:name w:val="Endnote Text Char"/>
    <w:basedOn w:val="798"/>
    <w:link w:val="952"/>
    <w:uiPriority w:val="99"/>
    <w:semiHidden/>
    <w:pPr>
      <w:pBdr/>
      <w:spacing/>
      <w:ind/>
    </w:pPr>
    <w:rPr>
      <w:sz w:val="20"/>
      <w:szCs w:val="20"/>
    </w:rPr>
  </w:style>
  <w:style w:type="paragraph" w:styleId="788" w:default="1">
    <w:name w:val="Normal"/>
    <w:qFormat/>
    <w:pPr>
      <w:pBdr/>
      <w:spacing/>
      <w:ind/>
    </w:pPr>
  </w:style>
  <w:style w:type="paragraph" w:styleId="789">
    <w:name w:val="Heading 1"/>
    <w:basedOn w:val="788"/>
    <w:next w:val="788"/>
    <w:link w:val="976"/>
    <w:qFormat/>
    <w:pPr>
      <w:pBdr/>
      <w:spacing w:afterAutospacing="1" w:beforeAutospacing="1"/>
      <w:ind/>
      <w:outlineLvl w:val="0"/>
    </w:pPr>
    <w:rPr>
      <w:sz w:val="40"/>
    </w:rPr>
  </w:style>
  <w:style w:type="paragraph" w:styleId="790">
    <w:name w:val="Heading 2"/>
    <w:basedOn w:val="788"/>
    <w:next w:val="788"/>
    <w:link w:val="927"/>
    <w:qFormat/>
    <w:pPr>
      <w:pBdr/>
      <w:spacing w:afterAutospacing="1" w:beforeAutospacing="1"/>
      <w:ind/>
      <w:outlineLvl w:val="1"/>
    </w:pPr>
    <w:rPr>
      <w:sz w:val="32"/>
    </w:rPr>
  </w:style>
  <w:style w:type="paragraph" w:styleId="791">
    <w:name w:val="Heading 3"/>
    <w:basedOn w:val="788"/>
    <w:next w:val="788"/>
    <w:link w:val="928"/>
    <w:qFormat/>
    <w:pPr>
      <w:pBdr/>
      <w:spacing w:afterAutospacing="1" w:beforeAutospacing="1"/>
      <w:ind/>
      <w:outlineLvl w:val="2"/>
    </w:pPr>
    <w:rPr>
      <w:sz w:val="28"/>
    </w:rPr>
  </w:style>
  <w:style w:type="paragraph" w:styleId="792">
    <w:name w:val="Heading 4"/>
    <w:basedOn w:val="788"/>
    <w:next w:val="788"/>
    <w:link w:val="92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2f5496" w:themeColor="accent1" w:themeShade="BF"/>
    </w:rPr>
  </w:style>
  <w:style w:type="paragraph" w:styleId="793">
    <w:name w:val="Heading 5"/>
    <w:basedOn w:val="788"/>
    <w:next w:val="788"/>
    <w:link w:val="93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2f5496" w:themeColor="accent1" w:themeShade="BF"/>
    </w:rPr>
  </w:style>
  <w:style w:type="paragraph" w:styleId="794">
    <w:name w:val="Heading 6"/>
    <w:basedOn w:val="788"/>
    <w:next w:val="788"/>
    <w:link w:val="93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95">
    <w:name w:val="Heading 7"/>
    <w:basedOn w:val="788"/>
    <w:next w:val="788"/>
    <w:link w:val="93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96">
    <w:name w:val="Heading 8"/>
    <w:basedOn w:val="788"/>
    <w:next w:val="788"/>
    <w:link w:val="93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97">
    <w:name w:val="Heading 9"/>
    <w:basedOn w:val="788"/>
    <w:next w:val="788"/>
    <w:link w:val="93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98" w:default="1">
    <w:name w:val="Default Paragraph Font"/>
    <w:uiPriority w:val="1"/>
    <w:semiHidden/>
    <w:unhideWhenUsed/>
    <w:pPr>
      <w:pBdr/>
      <w:spacing/>
      <w:ind/>
    </w:pPr>
  </w:style>
  <w:style w:type="table" w:styleId="799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0" w:default="1">
    <w:name w:val="No List"/>
    <w:uiPriority w:val="99"/>
    <w:semiHidden/>
    <w:unhideWhenUsed/>
    <w:pPr>
      <w:pBdr/>
      <w:spacing/>
      <w:ind/>
    </w:pPr>
  </w:style>
  <w:style w:type="table" w:styleId="801" w:customStyle="1">
    <w:name w:val="Table Grid Light"/>
    <w:basedOn w:val="799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Таблица простая 11"/>
    <w:basedOn w:val="799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 w:customStyle="1">
    <w:name w:val="Таблица простая 21"/>
    <w:basedOn w:val="799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 w:customStyle="1">
    <w:name w:val="Таблица простая 3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Таблица простая 4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 w:customStyle="1">
    <w:name w:val="Таблица простая 5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 w:customStyle="1">
    <w:name w:val="Таблица-сетка 1 светлая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Grid Table 1 Light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Grid Table 1 Light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Grid Table 1 Light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Grid Table 1 Light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Grid Table 1 Light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Grid Table 1 Light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Таблица-сетка 2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Grid Table 2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Grid Table 2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Grid Table 2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Grid Table 2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Grid Table 2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Grid Table 2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Таблица-сетка 3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Grid Table 3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Grid Table 3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Grid Table 3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Grid Table 3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Grid Table 3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Grid Table 3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Таблица-сетка 41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Grid Table 4 - Accent 1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37dc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Grid Table 4 - Accent 2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Grid Table 4 - Accent 3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Grid Table 4 - Accent 4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Grid Table 4 - Accent 5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Grid Table 4 - Accent 6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Таблица-сетка 5 темная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Grid Table 5 Dark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5 Dark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Grid Table 5 Dark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Grid Table 5 Dark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5 Dark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Grid Table 5 Dark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Таблица-сетка 6 цветная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Grid Table 6 Colorful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Grid Table 6 Colorful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Grid Table 6 Colorful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Grid Table 6 Colorful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Grid Table 6 Colorful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Grid Table 6 Colorful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Таблица-сетка 7 цветная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Grid Table 7 Colorful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0b7e1" w:themeColor="accent1" w:themeTint="80" w:sz="4" w:space="0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0b7e1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0b7e1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0b7e1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Grid Table 7 Colorful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Grid Table 7 Colorful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Grid Table 7 Colorful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Grid Table 7 Colorful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2c6e7" w:themeColor="accent5" w:themeTint="90" w:sz="4" w:space="0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2c6e7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2c6e7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Grid Table 7 Colorful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Список-таблица 1 светлая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List Table 1 Light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List Table 1 Light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List Table 1 Light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List Table 1 Light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List Table 1 Light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List Table 1 Light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Список-таблица 2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List Table 2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List Table 2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List Table 2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List Table 2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List Table 2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List Table 2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Список-таблица 3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List Table 3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List Table 3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List Table 3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List Table 3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List Table 3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List Table 3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Список-таблица 4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List Table 4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List Table 4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List Table 4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st Table 4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List Table 4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st Table 4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Список-таблица 5 темная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st Table 5 Dark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List Table 5 Dark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List Table 5 Dark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List Table 5 Dark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List Table 5 Dark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List Table 5 Dark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Список-таблица 6 цветная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List Table 6 Colorful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List Table 6 Colorful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List Table 6 Colorful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List Table 6 Colorful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List Table 6 Colorful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List Table 6 Colorful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Список-таблица 7 цветная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List Table 7 Colorful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472c4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List Table 7 Colorful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List Table 7 Colorful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List Table 7 Colorful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List Table 7 Colorful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c2e5" w:themeColor="accent5" w:themeTint="9A" w:sz="4" w:space="0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c2e5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c2e5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c2e5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List Table 7 Colorful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Lined - Accent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ned - Accent 1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ned - Accent 2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ned - Accent 3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ned - Accent 4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ned - Accent 5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ned - Accent 6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Bordered &amp; Lined - Accent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Bordered &amp; Lined - Accent 1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Bordered &amp; Lined - Accent 2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Bordered &amp; Lined - Accent 3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Bordered &amp; Lined - Accent 4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Bordered &amp; Lined - Accent 5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Bordered &amp; Lined - Accent 6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Bordered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Bordered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Bordered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Bordered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Bordered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Bordered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Bordered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26" w:customStyle="1">
    <w:name w:val="Heading 1 Char"/>
    <w:basedOn w:val="798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40"/>
      <w:szCs w:val="40"/>
    </w:rPr>
  </w:style>
  <w:style w:type="character" w:styleId="927" w:customStyle="1">
    <w:name w:val="Заголовок 2 Знак"/>
    <w:basedOn w:val="798"/>
    <w:link w:val="790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32"/>
      <w:szCs w:val="32"/>
    </w:rPr>
  </w:style>
  <w:style w:type="character" w:styleId="928" w:customStyle="1">
    <w:name w:val="Заголовок 3 Знак"/>
    <w:basedOn w:val="798"/>
    <w:link w:val="791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28"/>
      <w:szCs w:val="28"/>
    </w:rPr>
  </w:style>
  <w:style w:type="character" w:styleId="929" w:customStyle="1">
    <w:name w:val="Заголовок 4 Знак"/>
    <w:basedOn w:val="798"/>
    <w:link w:val="792"/>
    <w:uiPriority w:val="9"/>
    <w:pPr>
      <w:pBdr/>
      <w:spacing/>
      <w:ind/>
    </w:pPr>
    <w:rPr>
      <w:rFonts w:ascii="Arial" w:hAnsi="Arial" w:eastAsia="Arial" w:cs="Arial"/>
      <w:i/>
      <w:iCs/>
      <w:color w:val="2f5496" w:themeColor="accent1" w:themeShade="BF"/>
    </w:rPr>
  </w:style>
  <w:style w:type="character" w:styleId="930" w:customStyle="1">
    <w:name w:val="Заголовок 5 Знак"/>
    <w:basedOn w:val="798"/>
    <w:link w:val="793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</w:rPr>
  </w:style>
  <w:style w:type="character" w:styleId="931" w:customStyle="1">
    <w:name w:val="Заголовок 6 Знак"/>
    <w:basedOn w:val="798"/>
    <w:link w:val="79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32" w:customStyle="1">
    <w:name w:val="Заголовок 7 Знак"/>
    <w:basedOn w:val="798"/>
    <w:link w:val="79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33" w:customStyle="1">
    <w:name w:val="Заголовок 8 Знак"/>
    <w:basedOn w:val="798"/>
    <w:link w:val="79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4" w:customStyle="1">
    <w:name w:val="Заголовок 9 Знак"/>
    <w:basedOn w:val="798"/>
    <w:link w:val="79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5" w:customStyle="1">
    <w:name w:val="Заголовок Знак"/>
    <w:basedOn w:val="798"/>
    <w:link w:val="95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36" w:customStyle="1">
    <w:name w:val="Подзаголовок Знак"/>
    <w:basedOn w:val="798"/>
    <w:link w:val="9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37">
    <w:name w:val="Quote"/>
    <w:basedOn w:val="788"/>
    <w:next w:val="788"/>
    <w:link w:val="93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38" w:customStyle="1">
    <w:name w:val="Цитата 2 Знак"/>
    <w:basedOn w:val="798"/>
    <w:link w:val="93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39">
    <w:name w:val="Intense Emphasis"/>
    <w:basedOn w:val="798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940">
    <w:name w:val="Intense Quote"/>
    <w:basedOn w:val="788"/>
    <w:next w:val="788"/>
    <w:link w:val="941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941" w:customStyle="1">
    <w:name w:val="Выделенная цитата Знак"/>
    <w:basedOn w:val="798"/>
    <w:link w:val="940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942">
    <w:name w:val="Intense Reference"/>
    <w:basedOn w:val="798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paragraph" w:styleId="943">
    <w:name w:val="No Spacing"/>
    <w:basedOn w:val="788"/>
    <w:uiPriority w:val="1"/>
    <w:qFormat/>
    <w:pPr>
      <w:pBdr/>
      <w:spacing w:after="0" w:line="240" w:lineRule="auto"/>
      <w:ind/>
    </w:pPr>
  </w:style>
  <w:style w:type="character" w:styleId="944">
    <w:name w:val="Subtle Emphasis"/>
    <w:basedOn w:val="79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45">
    <w:name w:val="Subtle Reference"/>
    <w:basedOn w:val="79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46">
    <w:name w:val="Book Title"/>
    <w:basedOn w:val="79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47" w:customStyle="1">
    <w:name w:val="Header Char"/>
    <w:basedOn w:val="798"/>
    <w:uiPriority w:val="99"/>
    <w:pPr>
      <w:pBdr/>
      <w:spacing/>
      <w:ind/>
    </w:pPr>
  </w:style>
  <w:style w:type="character" w:styleId="948" w:customStyle="1">
    <w:name w:val="Footer Char"/>
    <w:basedOn w:val="798"/>
    <w:uiPriority w:val="99"/>
    <w:pPr>
      <w:pBdr/>
      <w:spacing/>
      <w:ind/>
    </w:pPr>
  </w:style>
  <w:style w:type="paragraph" w:styleId="949">
    <w:name w:val="footnote text"/>
    <w:basedOn w:val="788"/>
    <w:link w:val="95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0" w:customStyle="1">
    <w:name w:val="Текст сноски Знак"/>
    <w:basedOn w:val="798"/>
    <w:link w:val="949"/>
    <w:uiPriority w:val="99"/>
    <w:semiHidden/>
    <w:pPr>
      <w:pBdr/>
      <w:spacing/>
      <w:ind/>
    </w:pPr>
    <w:rPr>
      <w:sz w:val="20"/>
      <w:szCs w:val="20"/>
    </w:rPr>
  </w:style>
  <w:style w:type="character" w:styleId="951">
    <w:name w:val="footnote reference"/>
    <w:basedOn w:val="798"/>
    <w:uiPriority w:val="99"/>
    <w:semiHidden/>
    <w:unhideWhenUsed/>
    <w:pPr>
      <w:pBdr/>
      <w:spacing/>
      <w:ind/>
    </w:pPr>
    <w:rPr>
      <w:vertAlign w:val="superscript"/>
    </w:rPr>
  </w:style>
  <w:style w:type="paragraph" w:styleId="952">
    <w:name w:val="endnote text"/>
    <w:basedOn w:val="788"/>
    <w:link w:val="95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3" w:customStyle="1">
    <w:name w:val="Текст концевой сноски Знак"/>
    <w:basedOn w:val="798"/>
    <w:link w:val="952"/>
    <w:uiPriority w:val="99"/>
    <w:semiHidden/>
    <w:pPr>
      <w:pBdr/>
      <w:spacing/>
      <w:ind/>
    </w:pPr>
    <w:rPr>
      <w:sz w:val="20"/>
      <w:szCs w:val="20"/>
    </w:rPr>
  </w:style>
  <w:style w:type="character" w:styleId="954">
    <w:name w:val="endnote reference"/>
    <w:basedOn w:val="798"/>
    <w:uiPriority w:val="99"/>
    <w:semiHidden/>
    <w:unhideWhenUsed/>
    <w:pPr>
      <w:pBdr/>
      <w:spacing/>
      <w:ind/>
    </w:pPr>
    <w:rPr>
      <w:vertAlign w:val="superscript"/>
    </w:rPr>
  </w:style>
  <w:style w:type="paragraph" w:styleId="955">
    <w:name w:val="table of figures"/>
    <w:basedOn w:val="788"/>
    <w:next w:val="788"/>
    <w:uiPriority w:val="99"/>
    <w:unhideWhenUsed/>
    <w:pPr>
      <w:pBdr/>
      <w:spacing w:after="0"/>
      <w:ind/>
    </w:pPr>
  </w:style>
  <w:style w:type="paragraph" w:styleId="956">
    <w:name w:val="Subtitle"/>
    <w:basedOn w:val="788"/>
    <w:next w:val="788"/>
    <w:link w:val="936"/>
    <w:qFormat/>
    <w:pPr>
      <w:pBdr/>
      <w:spacing w:afterAutospacing="1"/>
      <w:ind/>
    </w:pPr>
    <w:rPr>
      <w:color w:val="808080"/>
      <w:sz w:val="30"/>
    </w:rPr>
  </w:style>
  <w:style w:type="paragraph" w:styleId="957">
    <w:name w:val="Title"/>
    <w:basedOn w:val="788"/>
    <w:next w:val="788"/>
    <w:link w:val="935"/>
    <w:qFormat/>
    <w:pPr>
      <w:pBdr/>
      <w:spacing w:afterAutospacing="1"/>
      <w:ind/>
    </w:pPr>
    <w:rPr>
      <w:sz w:val="52"/>
    </w:rPr>
  </w:style>
  <w:style w:type="paragraph" w:styleId="958" w:customStyle="1">
    <w:name w:val="ВКР заголовок"/>
    <w:basedOn w:val="788"/>
    <w:link w:val="959"/>
    <w:qFormat/>
    <w:pPr>
      <w:pBdr/>
      <w:spacing/>
      <w:ind/>
    </w:pPr>
    <w:rPr>
      <w:rFonts w:ascii="Times New Roman" w:hAnsi="Times New Roman" w:cs="Times New Roman"/>
      <w:sz w:val="24"/>
      <w:szCs w:val="24"/>
    </w:rPr>
  </w:style>
  <w:style w:type="character" w:styleId="959" w:customStyle="1">
    <w:name w:val="ВКР заголовок Знак"/>
    <w:basedOn w:val="798"/>
    <w:link w:val="958"/>
    <w:pPr>
      <w:pBdr/>
      <w:spacing/>
      <w:ind/>
    </w:pPr>
    <w:rPr>
      <w:rFonts w:ascii="Times New Roman" w:hAnsi="Times New Roman" w:cs="Times New Roman"/>
      <w:sz w:val="24"/>
      <w:szCs w:val="24"/>
    </w:rPr>
  </w:style>
  <w:style w:type="paragraph" w:styleId="960">
    <w:name w:val="List Paragraph"/>
    <w:basedOn w:val="788"/>
    <w:link w:val="990"/>
    <w:uiPriority w:val="34"/>
    <w:qFormat/>
    <w:pPr>
      <w:pBdr/>
      <w:spacing/>
      <w:ind w:left="720"/>
      <w:contextualSpacing w:val="true"/>
    </w:pPr>
  </w:style>
  <w:style w:type="paragraph" w:styleId="961" w:customStyle="1">
    <w:name w:val="ds-markdown-paragraph"/>
    <w:basedOn w:val="788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62">
    <w:name w:val="Strong"/>
    <w:basedOn w:val="798"/>
    <w:uiPriority w:val="22"/>
    <w:qFormat/>
    <w:pPr>
      <w:pBdr/>
      <w:spacing/>
      <w:ind/>
    </w:pPr>
    <w:rPr>
      <w:b/>
      <w:bCs/>
    </w:rPr>
  </w:style>
  <w:style w:type="paragraph" w:styleId="963">
    <w:name w:val="Normal (Web)"/>
    <w:basedOn w:val="788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64">
    <w:name w:val="Hyperlink"/>
    <w:basedOn w:val="798"/>
    <w:uiPriority w:val="99"/>
    <w:unhideWhenUsed/>
    <w:pPr>
      <w:pBdr/>
      <w:spacing/>
      <w:ind/>
    </w:pPr>
    <w:rPr>
      <w:color w:val="0000ff"/>
      <w:u w:val="single"/>
    </w:rPr>
  </w:style>
  <w:style w:type="table" w:styleId="965">
    <w:name w:val="Table Grid"/>
    <w:basedOn w:val="799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66">
    <w:name w:val="FollowedHyperlink"/>
    <w:basedOn w:val="79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967">
    <w:name w:val="Emphasis"/>
    <w:basedOn w:val="798"/>
    <w:uiPriority w:val="20"/>
    <w:qFormat/>
    <w:pPr>
      <w:pBdr/>
      <w:spacing/>
      <w:ind/>
    </w:pPr>
    <w:rPr>
      <w:i/>
      <w:iCs/>
    </w:rPr>
  </w:style>
  <w:style w:type="character" w:styleId="968" w:customStyle="1">
    <w:name w:val="Неразрешенное упоминание1"/>
    <w:basedOn w:val="798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969">
    <w:name w:val="annotation text"/>
    <w:basedOn w:val="788"/>
    <w:link w:val="970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70" w:customStyle="1">
    <w:name w:val="Текст примечания Знак"/>
    <w:basedOn w:val="798"/>
    <w:link w:val="969"/>
    <w:semiHidden/>
    <w:pPr>
      <w:pBdr/>
      <w:spacing/>
      <w:ind/>
    </w:pPr>
    <w:rPr>
      <w:sz w:val="20"/>
      <w:szCs w:val="20"/>
    </w:rPr>
  </w:style>
  <w:style w:type="character" w:styleId="971">
    <w:name w:val="annotation reference"/>
    <w:basedOn w:val="798"/>
    <w:semiHidden/>
    <w:unhideWhenUsed/>
    <w:pPr>
      <w:pBdr/>
      <w:spacing/>
      <w:ind/>
    </w:pPr>
    <w:rPr>
      <w:sz w:val="16"/>
      <w:szCs w:val="16"/>
    </w:rPr>
  </w:style>
  <w:style w:type="paragraph" w:styleId="972">
    <w:name w:val="annotation subject"/>
    <w:basedOn w:val="969"/>
    <w:next w:val="969"/>
    <w:link w:val="973"/>
    <w:semiHidden/>
    <w:unhideWhenUsed/>
    <w:pPr>
      <w:pBdr/>
      <w:spacing/>
      <w:ind/>
    </w:pPr>
    <w:rPr>
      <w:b/>
      <w:bCs/>
    </w:rPr>
  </w:style>
  <w:style w:type="character" w:styleId="973" w:customStyle="1">
    <w:name w:val="Тема примечания Знак"/>
    <w:basedOn w:val="970"/>
    <w:link w:val="972"/>
    <w:semiHidden/>
    <w:pPr>
      <w:pBdr/>
      <w:spacing/>
      <w:ind/>
    </w:pPr>
    <w:rPr>
      <w:b/>
      <w:bCs/>
      <w:sz w:val="20"/>
      <w:szCs w:val="20"/>
    </w:rPr>
  </w:style>
  <w:style w:type="character" w:styleId="974">
    <w:name w:val="HTML Code"/>
    <w:basedOn w:val="798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paragraph" w:styleId="975" w:customStyle="1">
    <w:name w:val="Стиль1"/>
    <w:basedOn w:val="789"/>
    <w:link w:val="977"/>
    <w:qFormat/>
    <w:pPr>
      <w:numPr>
        <w:numId w:val="4"/>
      </w:numPr>
      <w:pBdr/>
      <w:spacing w:after="440" w:afterAutospacing="0" w:beforeAutospacing="0" w:line="276" w:lineRule="auto"/>
      <w:ind/>
      <w:jc w:val="center"/>
    </w:pPr>
    <w:rPr>
      <w:rFonts w:ascii="Times New Roman" w:hAnsi="Times New Roman" w:cs="Times New Roman"/>
      <w:b/>
      <w:bCs/>
      <w:sz w:val="32"/>
      <w:szCs w:val="32"/>
    </w:rPr>
  </w:style>
  <w:style w:type="character" w:styleId="976" w:customStyle="1">
    <w:name w:val="Заголовок 1 Знак"/>
    <w:basedOn w:val="798"/>
    <w:link w:val="789"/>
    <w:pPr>
      <w:pBdr/>
      <w:spacing/>
      <w:ind/>
    </w:pPr>
    <w:rPr>
      <w:sz w:val="40"/>
    </w:rPr>
  </w:style>
  <w:style w:type="character" w:styleId="977" w:customStyle="1">
    <w:name w:val="Стиль1 Знак"/>
    <w:basedOn w:val="976"/>
    <w:link w:val="975"/>
    <w:pPr>
      <w:pBdr/>
      <w:spacing/>
      <w:ind/>
    </w:pPr>
    <w:rPr>
      <w:rFonts w:ascii="Times New Roman" w:hAnsi="Times New Roman" w:cs="Times New Roman"/>
      <w:b/>
      <w:bCs/>
      <w:sz w:val="32"/>
      <w:szCs w:val="32"/>
    </w:rPr>
  </w:style>
  <w:style w:type="paragraph" w:styleId="978">
    <w:name w:val="Caption"/>
    <w:basedOn w:val="788"/>
    <w:next w:val="788"/>
    <w:link w:val="981"/>
    <w:uiPriority w:val="35"/>
    <w:unhideWhenUsed/>
    <w:qFormat/>
    <w:pPr>
      <w:pBdr/>
      <w:spacing w:after="200" w:line="240" w:lineRule="auto"/>
      <w:ind/>
    </w:pPr>
    <w:rPr>
      <w:i/>
      <w:iCs/>
      <w:color w:val="44546a" w:themeColor="text2"/>
      <w:sz w:val="18"/>
      <w:szCs w:val="18"/>
    </w:rPr>
  </w:style>
  <w:style w:type="paragraph" w:styleId="979" w:customStyle="1">
    <w:name w:val="Рисунки"/>
    <w:basedOn w:val="978"/>
    <w:link w:val="982"/>
    <w:qFormat/>
    <w:pPr>
      <w:pBdr/>
      <w:spacing w:after="360"/>
      <w:ind/>
      <w:jc w:val="center"/>
    </w:pPr>
    <w:rPr>
      <w:rFonts w:ascii="Times New Roman" w:hAnsi="Times New Roman" w:cs="Times New Roman"/>
      <w:color w:val="000000" w:themeColor="text1"/>
      <w:sz w:val="24"/>
      <w:szCs w:val="24"/>
    </w:rPr>
  </w:style>
  <w:style w:type="paragraph" w:styleId="980">
    <w:name w:val="Header"/>
    <w:basedOn w:val="788"/>
    <w:link w:val="983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981" w:customStyle="1">
    <w:name w:val="Название объекта Знак"/>
    <w:basedOn w:val="798"/>
    <w:link w:val="978"/>
    <w:uiPriority w:val="35"/>
    <w:pPr>
      <w:pBdr/>
      <w:spacing/>
      <w:ind/>
    </w:pPr>
    <w:rPr>
      <w:i/>
      <w:iCs/>
      <w:color w:val="44546a" w:themeColor="text2"/>
      <w:sz w:val="18"/>
      <w:szCs w:val="18"/>
    </w:rPr>
  </w:style>
  <w:style w:type="character" w:styleId="982" w:customStyle="1">
    <w:name w:val="Рисунки Знак"/>
    <w:basedOn w:val="981"/>
    <w:link w:val="979"/>
    <w:pPr>
      <w:pBdr/>
      <w:spacing/>
      <w:ind/>
    </w:pPr>
    <w:rPr>
      <w:rFonts w:ascii="Times New Roman" w:hAnsi="Times New Roman" w:cs="Times New Roman"/>
      <w:i/>
      <w:iCs/>
      <w:color w:val="000000" w:themeColor="text1"/>
      <w:sz w:val="24"/>
      <w:szCs w:val="24"/>
    </w:rPr>
  </w:style>
  <w:style w:type="character" w:styleId="983" w:customStyle="1">
    <w:name w:val="Верхний колонтитул Знак"/>
    <w:basedOn w:val="798"/>
    <w:link w:val="980"/>
    <w:uiPriority w:val="99"/>
    <w:pPr>
      <w:pBdr/>
      <w:spacing/>
      <w:ind/>
    </w:pPr>
  </w:style>
  <w:style w:type="paragraph" w:styleId="984">
    <w:name w:val="Footer"/>
    <w:basedOn w:val="788"/>
    <w:link w:val="985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985" w:customStyle="1">
    <w:name w:val="Нижний колонтитул Знак"/>
    <w:basedOn w:val="798"/>
    <w:link w:val="984"/>
    <w:pPr>
      <w:pBdr/>
      <w:spacing/>
      <w:ind/>
    </w:pPr>
  </w:style>
  <w:style w:type="paragraph" w:styleId="986" w:customStyle="1">
    <w:name w:val="ОБЫЧНЫЙ"/>
    <w:basedOn w:val="975"/>
    <w:link w:val="987"/>
    <w:qFormat/>
    <w:pPr>
      <w:numPr>
        <w:numId w:val="0"/>
      </w:numPr>
      <w:pBdr/>
      <w:spacing w:after="0"/>
      <w:ind/>
      <w:jc w:val="both"/>
    </w:pPr>
    <w:rPr>
      <w:b w:val="0"/>
      <w:bCs w:val="0"/>
      <w:sz w:val="24"/>
      <w:szCs w:val="24"/>
    </w:rPr>
  </w:style>
  <w:style w:type="character" w:styleId="987" w:customStyle="1">
    <w:name w:val="ОБЫЧНЫЙ Знак"/>
    <w:basedOn w:val="977"/>
    <w:link w:val="986"/>
    <w:pPr>
      <w:pBdr/>
      <w:spacing/>
      <w:ind/>
    </w:pPr>
    <w:rPr>
      <w:rFonts w:ascii="Times New Roman" w:hAnsi="Times New Roman" w:cs="Times New Roman"/>
      <w:b w:val="0"/>
      <w:bCs w:val="0"/>
      <w:sz w:val="24"/>
      <w:szCs w:val="24"/>
    </w:rPr>
  </w:style>
  <w:style w:type="paragraph" w:styleId="988" w:customStyle="1">
    <w:name w:val="Стиль2"/>
    <w:basedOn w:val="960"/>
    <w:link w:val="991"/>
    <w:qFormat/>
    <w:pPr>
      <w:numPr>
        <w:ilvl w:val="1"/>
        <w:numId w:val="14"/>
      </w:numPr>
      <w:pBdr/>
      <w:tabs>
        <w:tab w:val="left" w:leader="none" w:pos="0"/>
        <w:tab w:val="left" w:leader="none" w:pos="709"/>
        <w:tab w:val="left" w:leader="none" w:pos="2674"/>
      </w:tabs>
      <w:spacing w:after="440" w:line="276" w:lineRule="auto"/>
      <w:ind w:firstLine="567" w:left="709"/>
      <w:jc w:val="both"/>
    </w:pPr>
    <w:rPr>
      <w:rFonts w:ascii="Times New Roman" w:hAnsi="Times New Roman" w:cs="Times New Roman"/>
      <w:b/>
      <w:bCs/>
      <w:sz w:val="28"/>
      <w:szCs w:val="28"/>
    </w:rPr>
  </w:style>
  <w:style w:type="paragraph" w:styleId="989" w:customStyle="1">
    <w:name w:val="Стиль3"/>
    <w:basedOn w:val="988"/>
    <w:link w:val="992"/>
    <w:qFormat/>
    <w:pPr>
      <w:numPr>
        <w:ilvl w:val="2"/>
      </w:numPr>
      <w:pBdr/>
      <w:spacing/>
      <w:ind/>
    </w:pPr>
    <w:rPr>
      <w:sz w:val="24"/>
      <w:szCs w:val="24"/>
      <w:lang w:eastAsia="ru-RU"/>
    </w:rPr>
  </w:style>
  <w:style w:type="character" w:styleId="990" w:customStyle="1">
    <w:name w:val="Абзац списка Знак"/>
    <w:basedOn w:val="798"/>
    <w:link w:val="960"/>
    <w:uiPriority w:val="34"/>
    <w:pPr>
      <w:pBdr/>
      <w:spacing/>
      <w:ind/>
    </w:pPr>
  </w:style>
  <w:style w:type="character" w:styleId="991" w:customStyle="1">
    <w:name w:val="Стиль2 Знак"/>
    <w:basedOn w:val="990"/>
    <w:link w:val="988"/>
    <w:pPr>
      <w:pBdr/>
      <w:spacing/>
      <w:ind/>
    </w:pPr>
    <w:rPr>
      <w:rFonts w:ascii="Times New Roman" w:hAnsi="Times New Roman" w:cs="Times New Roman"/>
      <w:b/>
      <w:bCs/>
      <w:sz w:val="28"/>
      <w:szCs w:val="28"/>
    </w:rPr>
  </w:style>
  <w:style w:type="character" w:styleId="992" w:customStyle="1">
    <w:name w:val="Стиль3 Знак"/>
    <w:basedOn w:val="991"/>
    <w:link w:val="989"/>
    <w:pPr>
      <w:pBdr/>
      <w:spacing/>
      <w:ind/>
    </w:pPr>
    <w:rPr>
      <w:rFonts w:ascii="Times New Roman" w:hAnsi="Times New Roman" w:cs="Times New Roman"/>
      <w:b/>
      <w:bCs/>
      <w:sz w:val="24"/>
      <w:szCs w:val="24"/>
      <w:lang w:eastAsia="ru-RU"/>
    </w:rPr>
  </w:style>
  <w:style w:type="paragraph" w:styleId="993">
    <w:name w:val="TOC Heading"/>
    <w:basedOn w:val="789"/>
    <w:next w:val="788"/>
    <w:uiPriority w:val="39"/>
    <w:unhideWhenUsed/>
    <w:qFormat/>
    <w:pPr>
      <w:keepNext w:val="true"/>
      <w:keepLines w:val="true"/>
      <w:pBdr/>
      <w:spacing w:after="0" w:afterAutospacing="0" w:before="240" w:beforeAutospacing="0"/>
      <w:ind/>
      <w:outlineLvl w:val="9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  <w:lang w:eastAsia="ru-RU"/>
    </w:rPr>
  </w:style>
  <w:style w:type="paragraph" w:styleId="994">
    <w:name w:val="toc 1"/>
    <w:basedOn w:val="788"/>
    <w:next w:val="788"/>
    <w:uiPriority w:val="39"/>
    <w:unhideWhenUsed/>
    <w:pPr>
      <w:pBdr/>
      <w:spacing w:after="100"/>
      <w:ind/>
    </w:pPr>
  </w:style>
  <w:style w:type="paragraph" w:styleId="995">
    <w:name w:val="toc 2"/>
    <w:basedOn w:val="788"/>
    <w:next w:val="788"/>
    <w:uiPriority w:val="39"/>
    <w:unhideWhenUsed/>
    <w:pPr>
      <w:pBdr/>
      <w:spacing w:after="100"/>
      <w:ind w:left="220"/>
    </w:pPr>
    <w:rPr>
      <w:rFonts w:eastAsiaTheme="minorEastAsia"/>
      <w:lang w:eastAsia="ru-RU"/>
    </w:rPr>
  </w:style>
  <w:style w:type="paragraph" w:styleId="996">
    <w:name w:val="toc 3"/>
    <w:basedOn w:val="788"/>
    <w:next w:val="788"/>
    <w:uiPriority w:val="39"/>
    <w:unhideWhenUsed/>
    <w:pPr>
      <w:pBdr/>
      <w:spacing w:after="100"/>
      <w:ind w:left="440"/>
    </w:pPr>
    <w:rPr>
      <w:rFonts w:eastAsiaTheme="minorEastAsia"/>
      <w:lang w:eastAsia="ru-RU"/>
    </w:rPr>
  </w:style>
  <w:style w:type="paragraph" w:styleId="997">
    <w:name w:val="toc 4"/>
    <w:basedOn w:val="788"/>
    <w:next w:val="788"/>
    <w:uiPriority w:val="39"/>
    <w:unhideWhenUsed/>
    <w:pPr>
      <w:pBdr/>
      <w:spacing w:after="100"/>
      <w:ind w:left="660"/>
    </w:pPr>
    <w:rPr>
      <w:rFonts w:eastAsiaTheme="minorEastAsia"/>
      <w:lang w:eastAsia="ru-RU"/>
    </w:rPr>
  </w:style>
  <w:style w:type="paragraph" w:styleId="998">
    <w:name w:val="toc 5"/>
    <w:basedOn w:val="788"/>
    <w:next w:val="788"/>
    <w:uiPriority w:val="39"/>
    <w:unhideWhenUsed/>
    <w:pPr>
      <w:pBdr/>
      <w:spacing w:after="100"/>
      <w:ind w:left="880"/>
    </w:pPr>
    <w:rPr>
      <w:rFonts w:eastAsiaTheme="minorEastAsia"/>
      <w:lang w:eastAsia="ru-RU"/>
    </w:rPr>
  </w:style>
  <w:style w:type="paragraph" w:styleId="999">
    <w:name w:val="toc 6"/>
    <w:basedOn w:val="788"/>
    <w:next w:val="788"/>
    <w:uiPriority w:val="39"/>
    <w:unhideWhenUsed/>
    <w:pPr>
      <w:pBdr/>
      <w:spacing w:after="100"/>
      <w:ind w:left="1100"/>
    </w:pPr>
    <w:rPr>
      <w:rFonts w:eastAsiaTheme="minorEastAsia"/>
      <w:lang w:eastAsia="ru-RU"/>
    </w:rPr>
  </w:style>
  <w:style w:type="paragraph" w:styleId="1000">
    <w:name w:val="toc 7"/>
    <w:basedOn w:val="788"/>
    <w:next w:val="788"/>
    <w:uiPriority w:val="39"/>
    <w:unhideWhenUsed/>
    <w:pPr>
      <w:pBdr/>
      <w:spacing w:after="100"/>
      <w:ind w:left="1320"/>
    </w:pPr>
    <w:rPr>
      <w:rFonts w:eastAsiaTheme="minorEastAsia"/>
      <w:lang w:eastAsia="ru-RU"/>
    </w:rPr>
  </w:style>
  <w:style w:type="paragraph" w:styleId="1001">
    <w:name w:val="toc 8"/>
    <w:basedOn w:val="788"/>
    <w:next w:val="788"/>
    <w:uiPriority w:val="39"/>
    <w:unhideWhenUsed/>
    <w:pPr>
      <w:pBdr/>
      <w:spacing w:after="100"/>
      <w:ind w:left="1540"/>
    </w:pPr>
    <w:rPr>
      <w:rFonts w:eastAsiaTheme="minorEastAsia"/>
      <w:lang w:eastAsia="ru-RU"/>
    </w:rPr>
  </w:style>
  <w:style w:type="paragraph" w:styleId="1002">
    <w:name w:val="toc 9"/>
    <w:basedOn w:val="788"/>
    <w:next w:val="788"/>
    <w:uiPriority w:val="39"/>
    <w:unhideWhenUsed/>
    <w:pPr>
      <w:pBdr/>
      <w:spacing w:after="100"/>
      <w:ind w:left="1760"/>
    </w:pPr>
    <w:rPr>
      <w:rFonts w:eastAsiaTheme="minorEastAsia"/>
      <w:lang w:eastAsia="ru-RU"/>
    </w:rPr>
  </w:style>
  <w:style w:type="character" w:styleId="1003" w:customStyle="1">
    <w:name w:val="Неразрешенное упоминание2"/>
    <w:basedOn w:val="798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1004">
    <w:name w:val="Balloon Text"/>
    <w:basedOn w:val="788"/>
    <w:link w:val="1005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1005" w:customStyle="1">
    <w:name w:val="Текст выноски Знак"/>
    <w:basedOn w:val="798"/>
    <w:link w:val="1004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hyperlink" Target="https://www.kommersant.ru/doc/7606620" TargetMode="External"/><Relationship Id="rId29" Type="http://schemas.openxmlformats.org/officeDocument/2006/relationships/hyperlink" Target="https://expert.ru/intervyu/aleksey-yakovlev-dlya-tsfa-nuzhno-rasshiryat-likvidnost/" TargetMode="External"/><Relationship Id="rId30" Type="http://schemas.openxmlformats.org/officeDocument/2006/relationships/hyperlink" Target="https://xn--80a3bf.xn--p1ai/intervyu-ilya-habarov-sinara.html" TargetMode="External"/><Relationship Id="rId31" Type="http://schemas.openxmlformats.org/officeDocument/2006/relationships/hyperlink" Target="https://cbr.ru/finm_infrastructure/digital_oper/" TargetMode="External"/><Relationship Id="rId32" Type="http://schemas.openxmlformats.org/officeDocument/2006/relationships/hyperlink" Target="https://www.moex.com/n90971" TargetMode="External"/><Relationship Id="rId33" Type="http://schemas.openxmlformats.org/officeDocument/2006/relationships/hyperlink" Target="https://www.moex.com/ru/digital-assets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ibliography:Sources xmlns:bibliography="http://schemas.openxmlformats.org/officeDocument/2006/bibliography" SelectedStyle="\APASixthEditionOfficeOnline.xsl" StyleName="APA" Version="6">
  <bibliography:Source>
    <bibliography:Tag>DLPсистемаСёрчИнформКИБ</bibliography:Tag>
    <bibliography:SourceType>InternetSite</bibliography:SourceType>
    <bibliography:Guid>{DDCC2B72-713D-4DF4-AF19-D604BEB7B1EE}</bibliography:Guid>
    <bibliography:InternetSiteTitle>DLP-система «СёрчИнформ КИБ»</bibliography:InternetSiteTitle>
    <bibliography:URL>https://searchinform.ru/products/kib/</bibliography:URL>
    <bibliography:RefOrder>1</bibliography:RefOrder>
  </bibliography:Source>
</bibliography:Sources>
</file>

<file path=customXml/itemProps1.xml><?xml version="1.0" encoding="utf-8"?>
<ds:datastoreItem xmlns:ds="http://schemas.openxmlformats.org/officeDocument/2006/customXml" ds:itemID="{17AFDA2E-8A24-4CC9-A410-D23540818F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  <Company>NSPK JSC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пк</dc:creator>
  <cp:revision>19</cp:revision>
  <dcterms:created xsi:type="dcterms:W3CDTF">2026-01-07T10:50:00Z</dcterms:created>
  <dcterms:modified xsi:type="dcterms:W3CDTF">2026-01-11T20:12:29Z</dcterms:modified>
</cp:coreProperties>
</file>