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Сибирский государственный университет телекоммуникаций и информатики</w:t>
      </w:r>
    </w:p>
    <w:p w14:paraId="00000002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Национальная система платёжных карт</w:t>
      </w:r>
    </w:p>
    <w:p w14:paraId="00000003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4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5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6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7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8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9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A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B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C">
      <w:pPr>
        <w:pStyle w:val="Normal"/>
        <w:ind w:left="0" w:firstLine="0"/>
        <w:jc w:val="center"/>
        <w:rPr>
          <w:b/>
          <w:bCs/>
          <w:sz w:val="36"/>
          <w:szCs w:val="36"/>
          <w:lang w:val="ru-RU"/>
        </w:rPr>
      </w:pPr>
    </w:p>
    <w:p w14:paraId="0000000D">
      <w:pPr>
        <w:pStyle w:val="Normal"/>
        <w:spacing w:line="360"/>
        <w:ind w:left="0"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Обоснование реализации сервиса</w:t>
      </w:r>
    </w:p>
    <w:p w14:paraId="0000000E">
      <w:pPr>
        <w:pStyle w:val="Normal"/>
        <w:spacing w:after="240"/>
        <w:ind w:left="0"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48"/>
          <w:szCs w:val="48"/>
          <w:lang w:val="ru-RU"/>
        </w:rPr>
        <w:t>СпортЯчейка</w:t>
      </w:r>
    </w:p>
    <w:p w14:paraId="0000000F">
      <w:pPr>
        <w:pStyle w:val="Normal"/>
        <w:spacing w:line="360"/>
        <w:ind w:left="0" w:firstLine="0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Вахаренко Владислав Юрьевич</w:t>
      </w:r>
    </w:p>
    <w:p w14:paraId="00000010">
      <w:pPr>
        <w:pStyle w:val="Normal"/>
        <w:spacing w:line="360"/>
        <w:ind w:left="0"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24"/>
          <w:szCs w:val="24"/>
          <w:lang w:val="ru-RU"/>
        </w:rPr>
        <w:t>Институт информатики и вычислительной техники (ИВТ)</w:t>
      </w:r>
    </w:p>
    <w:p w14:paraId="00000011">
      <w:pPr>
        <w:pStyle w:val="Normal"/>
        <w:spacing w:line="360"/>
        <w:ind w:left="0" w:firstLine="0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Бакалавриат, четвёртый курс</w:t>
      </w:r>
    </w:p>
    <w:p w14:paraId="00000012">
      <w:pPr>
        <w:pStyle w:val="Normal"/>
        <w:spacing w:line="360"/>
        <w:ind w:left="0" w:firstLine="0"/>
        <w:jc w:val="center"/>
        <w:rPr>
          <w:b/>
          <w:bCs/>
          <w:sz w:val="24"/>
          <w:szCs w:val="24"/>
          <w:lang w:val="ru-RU"/>
        </w:rPr>
      </w:pPr>
    </w:p>
    <w:p w14:paraId="00000013">
      <w:pPr>
        <w:pStyle w:val="Normal"/>
        <w:spacing w:line="360"/>
        <w:ind w:left="0"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24"/>
          <w:szCs w:val="24"/>
          <w:lang w:val="ru-RU"/>
        </w:rPr>
        <w:t>Версия 0.0.0 от 10.01.2026</w:t>
      </w:r>
    </w:p>
    <w:p w14:paraId="00000014">
      <w:pPr>
        <w:pStyle w:val="Normal"/>
        <w:ind w:left="0"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00000015">
      <w:pPr>
        <w:pStyle w:val="Heading1"/>
        <w:rPr>
          <w:lang w:val="ru-RU"/>
        </w:rPr>
      </w:pPr>
      <w:bookmarkStart w:id="0" w:name="_Toc1"/>
      <w:r>
        <w:rPr>
          <w:lang w:val="ru-RU"/>
        </w:rPr>
        <w:t>Резюме</w:t>
      </w:r>
      <w:bookmarkEnd w:id="0"/>
      <w:r>
        <w:rPr>
          <w:lang w:val="ru-RU"/>
        </w:rPr>
        <w:br w:type="page"/>
      </w:r>
    </w:p>
    <w:p w14:paraId="00000016">
      <w:pPr>
        <w:pStyle w:val="TOCHeading"/>
        <w:rPr>
          <w:sz w:val="24"/>
          <w:szCs w:val="24"/>
          <w:lang w:val="ru-RU"/>
        </w:rPr>
      </w:pPr>
      <w:r>
        <w:rPr>
          <w:b/>
          <w:bCs/>
          <w:sz w:val="32"/>
          <w:szCs w:val="32"/>
          <w:lang w:val="ru-RU"/>
        </w:rPr>
        <w:fldChar w:fldCharType="begin"/>
      </w:r>
      <w:r>
        <w:rPr>
          <w:b/>
          <w:bCs/>
          <w:sz w:val="32"/>
          <w:szCs w:val="32"/>
          <w:lang w:val="ru-RU"/>
        </w:rPr>
        <w:instrText xml:space="preserve">TOC \o "1 - 3" \h \u</w:instrText>
      </w:r>
      <w:r>
        <w:rPr>
          <w:b/>
          <w:bCs/>
          <w:sz w:val="32"/>
          <w:szCs w:val="32"/>
          <w:lang w:val="ru-RU"/>
        </w:rPr>
        <w:fldChar w:fldCharType="separate"/>
      </w:r>
      <w:r>
        <w:rPr>
          <w:b/>
          <w:bCs/>
          <w:sz w:val="32"/>
          <w:szCs w:val="32"/>
          <w:lang w:val="ru-RU"/>
        </w:rPr>
        <w:t>Оглавление</w:t>
      </w:r>
    </w:p>
    <w:p w14:paraId="00000017">
      <w:pPr>
        <w:pStyle w:val="Toc1"/>
        <w:tabs>
          <w:tab w:val="right" w:leader="dot" w:pos="9345"/>
        </w:tabs>
        <w:rPr>
          <w:lang w:val="ru-RU"/>
        </w:rPr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"_Toc1"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Резюме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_Toc1 \h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fldChar w:fldCharType="end"/>
      </w:r>
    </w:p>
    <w:p w14:paraId="00000018">
      <w:pPr>
        <w:pStyle w:val="Toc1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"_Toc3"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История изменений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_Toc3 \h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fldChar w:fldCharType="end"/>
      </w:r>
      <w:r>
        <w:fldChar w:fldCharType="end"/>
      </w:r>
    </w:p>
    <w:p w14:paraId="00000019">
      <w:pPr>
        <w:pStyle w:val="Toc1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"_Toc4"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Термины, определения и сокращения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_Toc4 \h</w:instrText>
      </w:r>
      <w:r>
        <w:rPr>
          <w:lang w:val="ru-RU"/>
        </w:rPr>
        <w:fldChar w:fldCharType="separate"/>
      </w:r>
      <w:r>
        <w:rPr>
          <w:lang w:val="ru-RU"/>
        </w:rPr>
        <w:t>6</w:t>
      </w:r>
      <w:r>
        <w:fldChar w:fldCharType="end"/>
      </w:r>
      <w:r>
        <w:fldChar w:fldCharType="end"/>
      </w:r>
    </w:p>
    <w:p w14:paraId="0000001A">
      <w:pPr>
        <w:pStyle w:val="Toc1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"_Toc2"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 Описание сервиса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_Toc2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1B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"_Toc6"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1.1. Идея сервиса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_Toc6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1C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"_Toc7"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1.2. Акторы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_Toc7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1D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"_Toc8"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1.2.1. Описание акторов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_Toc8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1E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"_Toc9"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1.2.2. Функции акторов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_Toc9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1F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"_Toc10"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1.3. Архитектурные схемы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_Toc10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20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"_Toc11"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1.3.1. Схема «До» сервиса с описанием внешних процессов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_Toc11 \h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fldChar w:fldCharType="end"/>
      </w:r>
      <w:r>
        <w:fldChar w:fldCharType="end"/>
      </w:r>
    </w:p>
    <w:p w14:paraId="00000021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"_Toc12"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1.3.2. Схема «После» внедрения сервиса с описанием внешних процессов</w:t>
        <w:tab/>
      </w:r>
      <w:r>
        <w:rPr>
          <w:lang w:val="ru-RU"/>
        </w:rPr>
        <w:fldChar w:fldCharType="begin"/>
      </w:r>
      <w:r>
        <w:rPr>
          <w:lang w:val="ru-RU"/>
        </w:rPr>
        <w:instrText xml:space="preserve">PAGEREF _Toc12 \h</w:instrText>
      </w:r>
      <w:r>
        <w:rPr>
          <w:lang w:val="ru-RU"/>
        </w:rPr>
        <w:fldChar w:fldCharType="separate"/>
      </w:r>
      <w:r>
        <w:rPr>
          <w:lang w:val="ru-RU"/>
        </w:rPr>
        <w:t>8</w:t>
      </w:r>
      <w:r>
        <w:fldChar w:fldCharType="end"/>
      </w:r>
      <w:r>
        <w:fldChar w:fldCharType="end"/>
      </w:r>
    </w:p>
    <w:p w14:paraId="00000022">
      <w:pPr>
        <w:pStyle w:val="Toc2"/>
        <w:tabs>
          <w:tab w:val="right" w:leader="dot" w:pos="9345"/>
        </w:tabs>
        <w:rPr/>
      </w:pP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\l "_Toc13"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1.4. Пользовательские сценарии (UML Use-case diagram)</w:t>
        <w:tab/>
      </w: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PAGEREF _Toc13 \h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10</w:t>
      </w:r>
      <w:r>
        <w:fldChar w:fldCharType="end"/>
      </w:r>
      <w:r>
        <w:fldChar w:fldCharType="end"/>
      </w:r>
    </w:p>
    <w:p w14:paraId="00000023">
      <w:pPr>
        <w:pStyle w:val="Toc2"/>
        <w:tabs>
          <w:tab w:val="right" w:leader="dot" w:pos="9345"/>
        </w:tabs>
        <w:rPr/>
      </w:pP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HYPERLINK \l "_Toc14"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1.4.1. &lt;Название пользовательского сценария 1&gt; (UML Activity diagram)</w:t>
        <w:tab/>
      </w: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PAGEREF _Toc14 \h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10</w:t>
      </w:r>
      <w:r>
        <w:fldChar w:fldCharType="end"/>
      </w:r>
      <w:r>
        <w:fldChar w:fldCharType="end"/>
      </w:r>
    </w:p>
    <w:p w14:paraId="00000024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"_Toc16"</w:instrText>
      </w:r>
      <w:r>
        <w:rPr>
          <w:rStyle w:val="Hyperlink"/>
        </w:rPr>
        <w:fldChar w:fldCharType="separate"/>
      </w:r>
      <w:r>
        <w:rPr>
          <w:rStyle w:val="Hyperlink"/>
        </w:rPr>
        <w:t>1.4.2. &lt;Название пользовательского сценария 2&gt; (UML Activity diagram)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_Toc16 \h</w:instrText>
      </w:r>
      <w:r>
        <w:rPr>
          <w:rStyle w:val="Hyperlink"/>
        </w:rP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 w14:paraId="00000025">
      <w:pPr>
        <w:pStyle w:val="Toc2"/>
        <w:tabs>
          <w:tab w:val="right" w:leader="dot" w:pos="9345"/>
        </w:tabs>
        <w:rPr/>
      </w:pP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HYPERLINK \l "_Toc61"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1.4.3. &lt;Название пользовательского сценария 3&gt; (UML Activity diagram)</w:t>
        <w:tab/>
      </w: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PAGEREF _Toc61 \h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10</w:t>
      </w:r>
      <w:r>
        <w:fldChar w:fldCharType="end"/>
      </w:r>
      <w:r>
        <w:fldChar w:fldCharType="end"/>
      </w:r>
    </w:p>
    <w:p w14:paraId="00000026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"_Toc18"</w:instrText>
      </w:r>
      <w:r>
        <w:rPr>
          <w:rStyle w:val="Hyperlink"/>
        </w:rPr>
        <w:fldChar w:fldCharType="separate"/>
      </w:r>
      <w:r>
        <w:rPr>
          <w:rStyle w:val="Hyperlink"/>
        </w:rPr>
        <w:t>1.5. Схема внутренней логики работы сервиса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_Toc18 \h</w:instrText>
      </w:r>
      <w:r>
        <w:rPr>
          <w:rStyle w:val="Hyperlink"/>
        </w:rP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 w14:paraId="00000027">
      <w:pPr>
        <w:pStyle w:val="Toc1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"_Toc19"</w:instrText>
      </w:r>
      <w:r>
        <w:rPr>
          <w:rStyle w:val="Hyperlink"/>
        </w:rPr>
        <w:fldChar w:fldCharType="separate"/>
      </w:r>
      <w:r>
        <w:rPr>
          <w:rStyle w:val="Hyperlink"/>
        </w:rPr>
        <w:t>2. Маркетинг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_Toc19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8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"_Toc20"</w:instrText>
      </w:r>
      <w:r>
        <w:rPr>
          <w:rStyle w:val="Hyperlink"/>
        </w:rPr>
        <w:fldChar w:fldCharType="separate"/>
      </w:r>
      <w:r>
        <w:rPr>
          <w:rStyle w:val="Hyperlink"/>
        </w:rPr>
        <w:t>2.1. Рынок Сервиса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_Toc20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9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"_Toc21"</w:instrText>
      </w:r>
      <w:r>
        <w:rPr>
          <w:rStyle w:val="Hyperlink"/>
        </w:rPr>
        <w:fldChar w:fldCharType="separate"/>
      </w:r>
      <w:r>
        <w:rPr>
          <w:rStyle w:val="Hyperlink"/>
        </w:rPr>
        <w:t>2.1.1. Прогноз объема рынка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_Toc21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A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"_Toc22"</w:instrText>
      </w:r>
      <w:r>
        <w:rPr>
          <w:rStyle w:val="Hyperlink"/>
        </w:rPr>
        <w:fldChar w:fldCharType="separate"/>
      </w:r>
      <w:r>
        <w:rPr>
          <w:rStyle w:val="Hyperlink"/>
        </w:rPr>
        <w:t>2.1.2. Ситуационный анализ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_Toc22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B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"_Toc25"</w:instrText>
      </w:r>
      <w:r>
        <w:rPr>
          <w:rStyle w:val="Hyperlink"/>
        </w:rPr>
        <w:fldChar w:fldCharType="separate"/>
      </w:r>
      <w:r>
        <w:rPr>
          <w:rStyle w:val="Hyperlink"/>
        </w:rPr>
        <w:t>2.2. Анализ потребителей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_Toc25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C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"_Toc26"</w:instrText>
      </w:r>
      <w:r>
        <w:rPr>
          <w:rStyle w:val="Hyperlink"/>
        </w:rPr>
        <w:fldChar w:fldCharType="separate"/>
      </w:r>
      <w:r>
        <w:rPr>
          <w:rStyle w:val="Hyperlink"/>
        </w:rPr>
        <w:t>2.2.1. Определение целевой аудитории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_Toc26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D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"_Toc27"</w:instrText>
      </w:r>
      <w:r>
        <w:rPr>
          <w:rStyle w:val="Hyperlink"/>
        </w:rPr>
        <w:fldChar w:fldCharType="separate"/>
      </w:r>
      <w:r>
        <w:rPr>
          <w:rStyle w:val="Hyperlink"/>
        </w:rPr>
        <w:t>2.3. Customer Development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_Toc27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E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"_Toc28"</w:instrText>
      </w:r>
      <w:r>
        <w:rPr>
          <w:rStyle w:val="Hyperlink"/>
        </w:rPr>
        <w:fldChar w:fldCharType="separate"/>
      </w:r>
      <w:r>
        <w:rPr>
          <w:rStyle w:val="Hyperlink"/>
        </w:rPr>
        <w:t>2.3.1. Формирование гипотез для поиска целевой аудитории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_Toc28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2F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"_Toc29"</w:instrText>
      </w:r>
      <w:r>
        <w:rPr>
          <w:rStyle w:val="Hyperlink"/>
        </w:rPr>
        <w:fldChar w:fldCharType="separate"/>
      </w:r>
      <w:r>
        <w:rPr>
          <w:rStyle w:val="Hyperlink"/>
        </w:rPr>
        <w:t>2.3.2. Составление опроса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_Toc29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0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"_Toc30"</w:instrText>
      </w:r>
      <w:r>
        <w:rPr>
          <w:rStyle w:val="Hyperlink"/>
        </w:rPr>
        <w:fldChar w:fldCharType="separate"/>
      </w:r>
      <w:r>
        <w:rPr>
          <w:rStyle w:val="Hyperlink"/>
        </w:rPr>
        <w:t>2.3.3. Вывод по результатам исследования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_Toc30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1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"_Toc31"</w:instrText>
      </w:r>
      <w:r>
        <w:rPr>
          <w:rStyle w:val="Hyperlink"/>
        </w:rPr>
        <w:fldChar w:fldCharType="separate"/>
      </w:r>
      <w:r>
        <w:rPr>
          <w:rStyle w:val="Hyperlink"/>
        </w:rPr>
        <w:t>2.4. Разработка продуктовой стратегии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_Toc31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2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"_Toc32"</w:instrText>
      </w:r>
      <w:r>
        <w:rPr>
          <w:rStyle w:val="Hyperlink"/>
        </w:rPr>
        <w:fldChar w:fldCharType="separate"/>
      </w:r>
      <w:r>
        <w:rPr>
          <w:rStyle w:val="Hyperlink"/>
        </w:rPr>
        <w:t>2.4.1. SWOT-анализ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_Toc32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3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"_Toc33"</w:instrText>
      </w:r>
      <w:r>
        <w:rPr>
          <w:rStyle w:val="Hyperlink"/>
        </w:rPr>
        <w:fldChar w:fldCharType="separate"/>
      </w:r>
      <w:r>
        <w:rPr>
          <w:rStyle w:val="Hyperlink"/>
        </w:rPr>
        <w:t>2.4.2. Методика STP – сегментация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_Toc33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4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"_Toc34"</w:instrText>
      </w:r>
      <w:r>
        <w:rPr>
          <w:rStyle w:val="Hyperlink"/>
        </w:rPr>
        <w:fldChar w:fldCharType="separate"/>
      </w:r>
      <w:r>
        <w:rPr>
          <w:rStyle w:val="Hyperlink"/>
        </w:rPr>
        <w:t>2.4.3. Методика STP – позиционирование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_Toc34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5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"_Toc35"</w:instrText>
      </w:r>
      <w:r>
        <w:rPr>
          <w:rStyle w:val="Hyperlink"/>
        </w:rPr>
        <w:fldChar w:fldCharType="separate"/>
      </w:r>
      <w:r>
        <w:rPr>
          <w:rStyle w:val="Hyperlink"/>
        </w:rPr>
        <w:t>2.5. Формирование основы расчета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_Toc35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6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"_Toc36"</w:instrText>
      </w:r>
      <w:r>
        <w:rPr>
          <w:rStyle w:val="Hyperlink"/>
        </w:rPr>
        <w:fldChar w:fldCharType="separate"/>
      </w:r>
      <w:r>
        <w:rPr>
          <w:rStyle w:val="Hyperlink"/>
        </w:rPr>
        <w:t>2.5.1. Маркетинг Микс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_Toc36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7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"_Toc41"</w:instrText>
      </w:r>
      <w:r>
        <w:rPr>
          <w:rStyle w:val="Hyperlink"/>
        </w:rPr>
        <w:fldChar w:fldCharType="separate"/>
      </w:r>
      <w:r>
        <w:rPr>
          <w:rStyle w:val="Hyperlink"/>
        </w:rPr>
        <w:t>2.5.2. Lean Canvas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_Toc41 \h</w:instrText>
      </w:r>
      <w:r>
        <w:rPr>
          <w:rStyle w:val="Hyperlink"/>
        </w:rP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 w14:paraId="00000038">
      <w:pPr>
        <w:pStyle w:val="Toc1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"_Toc42"</w:instrText>
      </w:r>
      <w:r>
        <w:rPr>
          <w:rStyle w:val="Hyperlink"/>
        </w:rPr>
        <w:fldChar w:fldCharType="separate"/>
      </w:r>
      <w:r>
        <w:rPr>
          <w:rStyle w:val="Hyperlink"/>
        </w:rPr>
        <w:t>3. Экономическая составляющая сервиса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_Toc42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9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"_Toc43"</w:instrText>
      </w:r>
      <w:r>
        <w:rPr>
          <w:rStyle w:val="Hyperlink"/>
        </w:rPr>
        <w:fldChar w:fldCharType="separate"/>
      </w:r>
      <w:r>
        <w:rPr>
          <w:rStyle w:val="Hyperlink"/>
        </w:rPr>
        <w:t>3.1. Расчет ставки дисконтирования, доходов, расходов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_Toc43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A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"_Toc44"</w:instrText>
      </w:r>
      <w:r>
        <w:rPr>
          <w:rStyle w:val="Hyperlink"/>
        </w:rPr>
        <w:fldChar w:fldCharType="separate"/>
      </w:r>
      <w:r>
        <w:rPr>
          <w:rStyle w:val="Hyperlink"/>
        </w:rPr>
        <w:t>3.1.1. Расчет ставки дисконтирования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_Toc44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B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"_Toc45"</w:instrText>
      </w:r>
      <w:r>
        <w:rPr>
          <w:rStyle w:val="Hyperlink"/>
        </w:rPr>
        <w:fldChar w:fldCharType="separate"/>
      </w:r>
      <w:r>
        <w:rPr>
          <w:rStyle w:val="Hyperlink"/>
        </w:rPr>
        <w:t>3.1.2. Выбор режима налогообложения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_Toc45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C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"_Toc46"</w:instrText>
      </w:r>
      <w:r>
        <w:rPr>
          <w:rStyle w:val="Hyperlink"/>
        </w:rPr>
        <w:fldChar w:fldCharType="separate"/>
      </w:r>
      <w:r>
        <w:rPr>
          <w:rStyle w:val="Hyperlink"/>
        </w:rPr>
        <w:t>3.1.3. Расчет свободного денежного потока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_Toc46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D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"_Toc47"</w:instrText>
      </w:r>
      <w:r>
        <w:rPr>
          <w:rStyle w:val="Hyperlink"/>
        </w:rPr>
        <w:fldChar w:fldCharType="separate"/>
      </w:r>
      <w:r>
        <w:rPr>
          <w:rStyle w:val="Hyperlink"/>
        </w:rPr>
        <w:t>3.2. Построение финансовой модели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_Toc47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E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"_Toc48"</w:instrText>
      </w:r>
      <w:r>
        <w:rPr>
          <w:rStyle w:val="Hyperlink"/>
        </w:rPr>
        <w:fldChar w:fldCharType="separate"/>
      </w:r>
      <w:r>
        <w:rPr>
          <w:rStyle w:val="Hyperlink"/>
        </w:rPr>
        <w:t>3.2.1. Определение предпосылок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_Toc48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3F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"_Toc49"</w:instrText>
      </w:r>
      <w:r>
        <w:rPr>
          <w:rStyle w:val="Hyperlink"/>
        </w:rPr>
        <w:fldChar w:fldCharType="separate"/>
      </w:r>
      <w:r>
        <w:rPr>
          <w:rStyle w:val="Hyperlink"/>
        </w:rPr>
        <w:t>3.3. Формирование денежных потоков в Excel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_Toc49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40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"_Toc50"</w:instrText>
      </w:r>
      <w:r>
        <w:rPr>
          <w:rStyle w:val="Hyperlink"/>
        </w:rPr>
        <w:fldChar w:fldCharType="separate"/>
      </w:r>
      <w:r>
        <w:rPr>
          <w:rStyle w:val="Hyperlink"/>
        </w:rPr>
        <w:t>3.3.1. Расчет показателей экономической эффективности проекта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_Toc50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41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"_Toc51"</w:instrText>
      </w:r>
      <w:r>
        <w:rPr>
          <w:rStyle w:val="Hyperlink"/>
        </w:rPr>
        <w:fldChar w:fldCharType="separate"/>
      </w:r>
      <w:r>
        <w:rPr>
          <w:rStyle w:val="Hyperlink"/>
        </w:rPr>
        <w:t>3.3.2. Расчет Юнит - экономики проекта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_Toc51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42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"_Toc52"</w:instrText>
      </w:r>
      <w:r>
        <w:rPr>
          <w:rStyle w:val="Hyperlink"/>
        </w:rPr>
        <w:fldChar w:fldCharType="separate"/>
      </w:r>
      <w:r>
        <w:rPr>
          <w:rStyle w:val="Hyperlink"/>
        </w:rPr>
        <w:t>3.3.3. Анализ рисков проекта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_Toc52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43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"_Toc53"</w:instrText>
      </w:r>
      <w:r>
        <w:rPr>
          <w:rStyle w:val="Hyperlink"/>
        </w:rPr>
        <w:fldChar w:fldCharType="separate"/>
      </w:r>
      <w:r>
        <w:rPr>
          <w:rStyle w:val="Hyperlink"/>
        </w:rPr>
        <w:t>3.3.4. Аналитическая записка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_Toc53 \h</w:instrText>
      </w:r>
      <w:r>
        <w:rPr>
          <w:rStyle w:val="Hyperlink"/>
        </w:rP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 w14:paraId="00000044">
      <w:pPr>
        <w:pStyle w:val="Toc1"/>
        <w:tabs>
          <w:tab w:val="right" w:leader="dot" w:pos="9345"/>
        </w:tabs>
        <w:rPr/>
      </w:pP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HYPERLINK \l "_Toc54"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4. Спецификации</w:t>
        <w:tab/>
      </w:r>
      <w:r>
        <w:rPr>
          <w:rStyle w:val="Hyperlink"/>
          <w:lang w:val="en-US"/>
        </w:rPr>
        <w:fldChar w:fldCharType="begin"/>
      </w:r>
      <w:r>
        <w:rPr>
          <w:rStyle w:val="Hyperlink"/>
          <w:lang w:val="en-US"/>
        </w:rPr>
        <w:instrText xml:space="preserve">PAGEREF _Toc54 \h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13</w:t>
      </w:r>
      <w:r>
        <w:fldChar w:fldCharType="end"/>
      </w:r>
      <w:r>
        <w:fldChar w:fldCharType="end"/>
      </w:r>
    </w:p>
    <w:p w14:paraId="00000045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"_Toc55"</w:instrText>
      </w:r>
      <w:r>
        <w:rPr>
          <w:rStyle w:val="Hyperlink"/>
        </w:rPr>
        <w:fldChar w:fldCharType="separate"/>
      </w:r>
      <w:r>
        <w:rPr>
          <w:rStyle w:val="Hyperlink"/>
        </w:rPr>
        <w:t>4.1. Требования к пошаговой обработке информационных потоков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_Toc55 \h</w:instrText>
      </w:r>
      <w:r>
        <w:rPr>
          <w:rStyle w:val="Hyperlink"/>
        </w:rP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14:paraId="00000046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"_Toc56"</w:instrText>
      </w:r>
      <w:r>
        <w:rPr>
          <w:rStyle w:val="Hyperlink"/>
        </w:rPr>
        <w:fldChar w:fldCharType="separate"/>
      </w:r>
      <w:r>
        <w:rPr>
          <w:rStyle w:val="Hyperlink"/>
        </w:rPr>
        <w:t>4.2. Сводный перечень элементов бизнес-данных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_Toc56 \h</w:instrText>
      </w:r>
      <w:r>
        <w:rPr>
          <w:rStyle w:val="Hyperlink"/>
        </w:rP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14:paraId="00000047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"_Toc62"</w:instrText>
      </w:r>
      <w:r>
        <w:rPr>
          <w:rStyle w:val="Hyperlink"/>
        </w:rPr>
        <w:fldChar w:fldCharType="separate"/>
      </w:r>
      <w:r>
        <w:rPr>
          <w:rStyle w:val="Hyperlink"/>
        </w:rPr>
        <w:t>4.3. Справочник элементов бизнес-данных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_Toc62 \h</w:instrText>
      </w:r>
      <w:r>
        <w:rPr>
          <w:rStyle w:val="Hyperlink"/>
        </w:rP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14:paraId="00000048">
      <w:pPr>
        <w:pStyle w:val="Toc2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"_Toc63"</w:instrText>
      </w:r>
      <w:r>
        <w:rPr>
          <w:rStyle w:val="Hyperlink"/>
        </w:rPr>
        <w:fldChar w:fldCharType="separate"/>
      </w:r>
      <w:r>
        <w:rPr>
          <w:rStyle w:val="Hyperlink"/>
        </w:rPr>
        <w:t>4.4. Правила применения элементов бизнес-данных в сообщениях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_Toc63 \h</w:instrText>
      </w:r>
      <w:r>
        <w:rPr>
          <w:rStyle w:val="Hyperlink"/>
        </w:rP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14:paraId="00000049">
      <w:pPr>
        <w:pStyle w:val="Toc1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"_Toc59"</w:instrText>
      </w:r>
      <w:r>
        <w:rPr>
          <w:rStyle w:val="Hyperlink"/>
        </w:rPr>
        <w:fldChar w:fldCharType="separate"/>
      </w:r>
      <w:r>
        <w:rPr>
          <w:rStyle w:val="Hyperlink"/>
        </w:rPr>
        <w:t>5. Заключение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_Toc59 \h</w:instrText>
      </w:r>
      <w:r>
        <w:rPr>
          <w:rStyle w:val="Hyperlink"/>
        </w:rP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14:paraId="0000004A">
      <w:pPr>
        <w:pStyle w:val="Toc1"/>
        <w:tabs>
          <w:tab w:val="right" w:leader="dot" w:pos="9345"/>
        </w:tabs>
        <w:rPr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"_Toc60"</w:instrText>
      </w:r>
      <w:r>
        <w:rPr>
          <w:rStyle w:val="Hyperlink"/>
        </w:rPr>
        <w:fldChar w:fldCharType="separate"/>
      </w:r>
      <w:r>
        <w:rPr>
          <w:rStyle w:val="Hyperlink"/>
        </w:rPr>
        <w:t>Список использованных источников</w:t>
        <w:tab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PAGEREF _Toc60 \h</w:instrText>
      </w:r>
      <w:r>
        <w:rPr>
          <w:rStyle w:val="Hyperlink"/>
        </w:rP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 w14:paraId="0000004B">
      <w:pPr>
        <w:pStyle w:val="Normal"/>
        <w:tabs>
          <w:tab w:val="right" w:leader="dot" w:pos="9345"/>
        </w:tabs>
        <w:rPr/>
      </w:pPr>
    </w:p>
    <w:p w14:paraId="0000004C">
      <w:pPr>
        <w:pStyle w:val="Heading1"/>
        <w:rPr>
          <w:lang w:val="ru-RU"/>
        </w:rPr>
      </w:pPr>
      <w:r>
        <w:rPr>
          <w:lang w:val="ru-RU"/>
        </w:rPr>
        <w:fldChar w:fldCharType="end"/>
      </w:r>
      <w:r>
        <w:rPr>
          <w:lang w:val="ru-RU"/>
        </w:rPr>
        <w:br w:type="page"/>
      </w:r>
    </w:p>
    <w:p w14:paraId="0000004D">
      <w:pPr>
        <w:pStyle w:val="Heading1"/>
        <w:rPr>
          <w:lang w:val="ru-RU"/>
        </w:rPr>
      </w:pPr>
      <w:bookmarkStart w:id="1" w:name="_Toc3"/>
      <w:r>
        <w:rPr>
          <w:lang w:val="ru-RU"/>
        </w:rPr>
        <w:t>История изменений</w:t>
      </w:r>
      <w:bookmarkEnd w:id="1"/>
    </w:p>
    <w:tbl>
      <w:tblPr>
        <w:tblW w:w="949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/>
      </w:tblPr>
      <w:tblGrid>
        <w:gridCol w:w="1413"/>
        <w:gridCol w:w="1843"/>
        <w:gridCol w:w="4394"/>
        <w:gridCol w:w="1843"/>
      </w:tblGrid>
      <w:tr>
        <w:trPr>
          <w:jc w:val="center"/>
        </w:trPr>
        <w:tc>
          <w:tcPr>
            <w:cnfStyle w:val="101000000000"/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 w14:paraId="0000004E">
            <w:pPr>
              <w:spacing w:after="0"/>
              <w:ind w:firstLine="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№ версии</w:t>
            </w:r>
          </w:p>
        </w:tc>
        <w:tc>
          <w:tcPr>
            <w:cnfStyle w:val="100010000000"/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 w14:paraId="0000004F">
            <w:pPr>
              <w:spacing w:after="0"/>
              <w:ind w:firstLine="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Дата обновления</w:t>
            </w:r>
          </w:p>
        </w:tc>
        <w:tc>
          <w:tcPr>
            <w:cnfStyle w:val="100001000000"/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 w14:paraId="00000050">
            <w:pPr>
              <w:spacing w:after="0"/>
              <w:ind w:firstLine="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Краткое описание изменения</w:t>
            </w:r>
          </w:p>
        </w:tc>
        <w:tc>
          <w:tcPr>
            <w:cnfStyle w:val="100100000000"/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  <w:vAlign w:val="center"/>
          </w:tcPr>
          <w:p w14:paraId="00000051">
            <w:pPr>
              <w:spacing w:after="0"/>
              <w:ind w:firstLine="0"/>
              <w:jc w:val="center"/>
              <w:rPr>
                <w:rFonts w:cs="Times New Roman"/>
                <w:b/>
                <w:sz w:val="24"/>
                <w:lang w:bidi="ru-RU"/>
              </w:rPr>
            </w:pPr>
            <w:r>
              <w:rPr>
                <w:rFonts w:cs="Times New Roman"/>
                <w:b/>
                <w:sz w:val="24"/>
                <w:lang w:bidi="ru-RU"/>
              </w:rPr>
              <w:t>Обновлено</w:t>
            </w:r>
          </w:p>
        </w:tc>
      </w:tr>
      <w:tr>
        <w:trPr>
          <w:jc w:val="center"/>
        </w:trPr>
        <w:tc>
          <w:tcPr>
            <w:cnfStyle w:val="011000000000"/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2">
            <w:pPr>
              <w:spacing w:after="0"/>
              <w:ind w:firstLine="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0.0.</w:t>
            </w:r>
            <w:r>
              <w:rPr>
                <w:rFonts w:cs="Times New Roman"/>
                <w:lang w:val="ru-RU" w:bidi="ru-RU"/>
              </w:rPr>
              <w:t>0</w:t>
            </w:r>
          </w:p>
        </w:tc>
        <w:tc>
          <w:tcPr>
            <w:cnfStyle w:val="010010000000"/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3">
            <w:pPr>
              <w:spacing w:after="0"/>
              <w:ind w:firstLine="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val="ru-RU" w:bidi="ru-RU"/>
              </w:rPr>
              <w:t>10</w:t>
            </w:r>
            <w:r>
              <w:rPr>
                <w:rFonts w:cs="Times New Roman"/>
                <w:lang w:bidi="ru-RU"/>
              </w:rPr>
              <w:t>.</w:t>
            </w:r>
            <w:r>
              <w:rPr>
                <w:rFonts w:cs="Times New Roman"/>
                <w:lang w:val="ru-RU" w:bidi="ru-RU"/>
              </w:rPr>
              <w:t>0</w:t>
            </w:r>
            <w:r>
              <w:rPr>
                <w:rFonts w:cs="Times New Roman"/>
                <w:lang w:bidi="ru-RU"/>
              </w:rPr>
              <w:t>1.2</w:t>
            </w:r>
            <w:r>
              <w:rPr>
                <w:rFonts w:cs="Times New Roman"/>
                <w:lang w:val="ru-RU" w:bidi="ru-RU"/>
              </w:rPr>
              <w:t>6</w:t>
            </w:r>
          </w:p>
        </w:tc>
        <w:tc>
          <w:tcPr>
            <w:cnfStyle w:val="010001000000"/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4">
            <w:pPr>
              <w:spacing w:after="0"/>
              <w:ind w:firstLine="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val="ru-RU" w:bidi="ru-RU"/>
              </w:rPr>
              <w:t>Создание первой версии</w:t>
            </w:r>
          </w:p>
        </w:tc>
        <w:tc>
          <w:tcPr>
            <w:cnfStyle w:val="010100000000"/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5">
            <w:pPr>
              <w:spacing w:after="0"/>
              <w:ind w:firstLine="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val="ru-RU" w:bidi="ru-RU"/>
              </w:rPr>
              <w:t>Вахаренко В.Ю.</w:t>
            </w:r>
          </w:p>
        </w:tc>
      </w:tr>
    </w:tbl>
    <w:p w14:paraId="00000056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57">
      <w:pPr>
        <w:pStyle w:val="Heading1"/>
        <w:rPr/>
      </w:pPr>
      <w:bookmarkStart w:id="2" w:name="_Toc4"/>
      <w:r>
        <w:rPr>
          <w:lang w:val="ru-RU"/>
        </w:rPr>
        <w:t>Термины, определения и сокращения</w:t>
      </w:r>
      <w:bookmarkEnd w:id="2"/>
    </w:p>
    <w:tbl>
      <w:tblPr>
        <w:tblW w:w="921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/>
      </w:tblPr>
      <w:tblGrid>
        <w:gridCol w:w="1271"/>
        <w:gridCol w:w="2268"/>
        <w:gridCol w:w="5671"/>
      </w:tblGrid>
      <w:tr>
        <w:trPr>
          <w:tblHeader w:val="on"/>
          <w:jc w:val="center"/>
        </w:trPr>
        <w:tc>
          <w:tcPr>
            <w:cnfStyle w:val="101000000000"/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bfbfbf" w:themeFill="background1" w:themeFillShade="bf"/>
            <w:vAlign w:val="center"/>
          </w:tcPr>
          <w:p w14:paraId="00000058">
            <w:p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bidi="ru-RU"/>
              </w:rPr>
              <w:t>Аббр</w:t>
            </w:r>
            <w:r>
              <w:rPr>
                <w:rFonts w:cs="Times New Roman"/>
                <w:b/>
                <w:bCs/>
                <w:sz w:val="24"/>
                <w:szCs w:val="24"/>
                <w:lang w:bidi="ru-RU"/>
              </w:rPr>
              <w:t>.</w:t>
            </w:r>
          </w:p>
        </w:tc>
        <w:tc>
          <w:tcPr>
            <w:cnfStyle w:val="100010000000"/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bfbfbf" w:themeFill="background1" w:themeFillShade="bf"/>
            <w:vAlign w:val="center"/>
          </w:tcPr>
          <w:p w14:paraId="00000059">
            <w:p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cnfStyle w:val="100100000000"/>
            <w:tcW w:w="5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bfbfbf" w:themeFill="background1" w:themeFillShade="bf"/>
            <w:vAlign w:val="center"/>
          </w:tcPr>
          <w:p w14:paraId="0000005A">
            <w:pPr>
              <w:spacing w:before="0" w:after="0"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bidi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>
        <w:trPr>
          <w:jc w:val="center"/>
        </w:trPr>
        <w:tc>
          <w:tcPr>
            <w:cnfStyle w:val="011000000000"/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B">
            <w:pPr>
              <w:pStyle w:val="_Текст_таблицы"/>
              <w:spacing w:before="0" w:after="0" w:line="276" w:lineRule="auto"/>
              <w:ind w:firstLine="0"/>
              <w:jc w:val="center"/>
              <w:rPr>
                <w:rFonts w:ascii="Times New Roman" w:hAnsi="Times New Roman"/>
                <w:szCs w:val="24"/>
                <w:lang w:bidi="ru-RU"/>
              </w:rPr>
            </w:pPr>
            <w:r>
              <w:rPr>
                <w:rFonts w:ascii="Times New Roman" w:hAnsi="Times New Roman"/>
                <w:szCs w:val="24"/>
              </w:rPr>
              <w:t xml:space="preserve"> СБП</w:t>
            </w:r>
          </w:p>
        </w:tc>
        <w:tc>
          <w:tcPr>
            <w:cnfStyle w:val="010010000000"/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C">
            <w:pPr>
              <w:pStyle w:val="_Основной"/>
              <w:spacing w:before="0" w:after="0"/>
              <w:ind w:firstLine="0"/>
              <w:jc w:val="center"/>
              <w:rPr>
                <w:sz w:val="22"/>
                <w:szCs w:val="24"/>
                <w:lang w:bidi="ru-RU"/>
              </w:rPr>
            </w:pPr>
            <w:r>
              <w:rPr>
                <w:sz w:val="22"/>
                <w:szCs w:val="24"/>
              </w:rPr>
              <w:t>Система быстрых платежей</w:t>
            </w:r>
          </w:p>
        </w:tc>
        <w:tc>
          <w:tcPr>
            <w:cnfStyle w:val="010100000000"/>
            <w:tcW w:w="5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vAlign w:val="center"/>
          </w:tcPr>
          <w:p w14:paraId="0000005D">
            <w:pPr>
              <w:pStyle w:val="_Текст_таблицы"/>
              <w:spacing w:before="0" w:after="0" w:line="276" w:lineRule="auto"/>
              <w:ind w:firstLine="0"/>
              <w:rPr>
                <w:rFonts w:ascii="Times New Roman" w:hAnsi="Times New Roman"/>
                <w:szCs w:val="24"/>
                <w:lang w:bidi="ru-RU"/>
              </w:rPr>
            </w:pPr>
            <w:r>
              <w:rPr>
                <w:rFonts w:ascii="Times New Roman" w:hAnsi="Times New Roman"/>
              </w:rPr>
              <w:t>Сервис Банка России, с помощью которого можно совершать межбанковские переводы по номеру мобильного телефона</w:t>
            </w:r>
            <w:r>
              <w:rPr>
                <w:rFonts w:ascii="Times New Roman" w:hAnsi="Times New Roman"/>
                <w:szCs w:val="24"/>
              </w:rPr>
              <w:t>.</w:t>
            </w:r>
          </w:p>
        </w:tc>
      </w:tr>
    </w:tbl>
    <w:p w14:paraId="0000005E">
      <w:pPr>
        <w:pStyle w:val="Normal"/>
        <w:ind w:left="0" w:firstLine="0"/>
        <w:rPr/>
      </w:pPr>
    </w:p>
    <w:p w14:paraId="0000005F">
      <w:pPr>
        <w:pStyle w:val="Heading1"/>
        <w:ind w:right="0"/>
        <w:rPr>
          <w:lang w:val="ru-RU"/>
        </w:rPr>
      </w:pPr>
      <w:bookmarkStart w:id="3" w:name="_Toc5"/>
      <w:r>
        <w:rPr>
          <w:lang w:val="ru-RU"/>
        </w:rPr>
        <w:br w:type="page"/>
      </w:r>
    </w:p>
    <w:p w14:paraId="00000060">
      <w:pPr>
        <w:pStyle w:val="Heading1"/>
        <w:spacing w:after="200"/>
        <w:ind w:right="0"/>
        <w:rPr>
          <w:lang w:val="ru-RU"/>
        </w:rPr>
      </w:pPr>
      <w:bookmarkStart w:id="4" w:name="_Toc2"/>
      <w:r>
        <w:rPr>
          <w:lang w:val="ru-RU"/>
        </w:rPr>
        <w:t>1. Описание сервиса</w:t>
      </w:r>
      <w:bookmarkEnd w:id="3"/>
      <w:bookmarkEnd w:id="4"/>
    </w:p>
    <w:p w14:paraId="00000061">
      <w:pPr>
        <w:pStyle w:val="Heading2"/>
        <w:spacing w:after="440"/>
        <w:ind w:left="0" w:firstLine="567"/>
        <w:rPr>
          <w:color w:val="000000" w:themeColor="dk1"/>
          <w:lang w:val="ru-RU"/>
        </w:rPr>
      </w:pPr>
      <w:bookmarkStart w:id="5" w:name="_Toc6"/>
      <w:r>
        <w:rPr>
          <w:color w:val="000000" w:themeColor="dk1"/>
          <w:lang w:val="ru-RU"/>
        </w:rPr>
        <w:t>1.1. Идея сервиса</w:t>
      </w:r>
      <w:bookmarkEnd w:id="5"/>
    </w:p>
    <w:p w14:paraId="00000062">
      <w:pPr>
        <w:rPr>
          <w:lang w:val="ru-RU"/>
        </w:rPr>
      </w:pPr>
      <w:r>
        <w:rPr>
          <w:lang w:val="ru-RU"/>
        </w:rPr>
        <w:t>Решается проблема хранения спортивной экипировки.</w:t>
      </w:r>
    </w:p>
    <w:p w14:paraId="00000063">
      <w:pPr>
        <w:rPr>
          <w:lang w:val="ru-RU"/>
        </w:rPr>
      </w:pPr>
      <w:r>
        <w:t xml:space="preserve">По данным министерства спорта за 2024 год хоккеем с шайбой занимается 702 370 человек, хоккеем с мячом - 51 863, фехтованием - 85 896, регби - 66 992 </w:t>
      </w:r>
      <w:r>
        <w:rPr>
          <w:lang w:val="en-US"/>
        </w:rPr>
        <w:t>[1]</w:t>
      </w:r>
      <w:r>
        <w:t xml:space="preserve">. Это только некоторые из видов спорта, для занятия которыми необходимо иметь занимающее много места снаряжение. </w:t>
      </w:r>
      <w:r>
        <w:rPr>
          <w:lang w:val="ru-RU"/>
        </w:rPr>
        <w:t>У большинства любителей, занимающихся этими видами спорта, возникают проблемы с хранением спортивной экипировки. При этом экипировка стоит денег, поэтому данная аудитория является платёжеспособной.</w:t>
      </w:r>
    </w:p>
    <w:p w14:paraId="00000064">
      <w:pPr>
        <w:pStyle w:val="Normal"/>
        <w:rPr>
          <w:lang w:val="ru-RU"/>
        </w:rPr>
      </w:pPr>
      <w:r>
        <w:rPr>
          <w:lang w:val="ru-RU"/>
        </w:rPr>
        <w:t>Предположим, человек днём работает, а после работы хочет поиграть в хоккей. Но у него нет машины, где бы он мог оставить форму, то есть, чтобы поиграть в хоккей, ему необходимо дойти до дома, взять баул, с баулом пойти на стадион и только тогда он сможет вечером поиграть. Кроме того, после игры ему вновь придётся осуществить путешествие с баулом уже до дома, где форму нужно будет постирать и высушить. Всё это доставляет человеку огромный дискомфорт, который может привести к отсутствию желания снова заниматься спортом.</w:t>
      </w:r>
    </w:p>
    <w:p w14:paraId="00000065">
      <w:pPr>
        <w:pStyle w:val="Normal"/>
        <w:rPr>
          <w:lang w:val="ru-RU"/>
        </w:rPr>
      </w:pPr>
      <w:r>
        <w:rPr>
          <w:lang w:val="ru-RU"/>
        </w:rPr>
        <w:t xml:space="preserve">Для решения данной проблемы в шаговой доступности от спортивных центров/стадионов организуются точки хранения спортивной экипировки. Также создаётся приложение СпортЯчейка на телефон, в котором пользователь сможет: забронировать ячейку, запросить чистку формы, заказать доставку формы на стадион. Чистка и ремонт будут осуществляться по соглашению с существующими химчистками и мастерскими: экипировка из СпортЯчейки будет силами СпортЯчейки отвозиться в химчистки и мастерские, где за экипировкой будет осуществляться соответствующий уход, при этом по соглашению цена за уход для СпортЯчейки будет более низкой, что для химчисток и мастерских будет компенсироваться объёмом поставляемой для ухода экипировки. </w:t>
      </w:r>
    </w:p>
    <w:p w14:paraId="00000066">
      <w:pPr>
        <w:pStyle w:val="Normal"/>
        <w:rPr/>
      </w:pPr>
      <w:r>
        <w:t>На первом этапе рассматривается запуск пилота в одном городе с дальнейшим расширением в случае успеха.</w:t>
      </w:r>
    </w:p>
    <w:p w14:paraId="00000067">
      <w:pPr>
        <w:pStyle w:val="Heading2"/>
        <w:spacing w:before="440" w:after="200"/>
        <w:ind w:left="0" w:firstLine="567"/>
        <w:rPr>
          <w:color w:val="000000" w:themeColor="dk1"/>
          <w:lang w:val="ru-RU"/>
        </w:rPr>
      </w:pPr>
      <w:bookmarkStart w:id="6" w:name="_Toc7"/>
      <w:r>
        <w:rPr>
          <w:color w:val="000000" w:themeColor="dk1"/>
          <w:lang w:val="ru-RU"/>
        </w:rPr>
        <w:t>1.2. Акторы</w:t>
      </w:r>
      <w:bookmarkEnd w:id="6"/>
    </w:p>
    <w:p w14:paraId="00000068">
      <w:pPr>
        <w:pStyle w:val="Heading2"/>
        <w:spacing w:after="440"/>
        <w:ind w:left="0" w:firstLine="1134"/>
        <w:rPr/>
      </w:pPr>
      <w:bookmarkStart w:id="7" w:name="_Toc8"/>
      <w:r>
        <w:rPr>
          <w:color w:val="000000" w:themeColor="dk1"/>
          <w:sz w:val="24"/>
          <w:szCs w:val="24"/>
          <w:lang w:val="ru-RU"/>
        </w:rPr>
        <w:t>1.2.1. Описание акторов</w:t>
      </w:r>
      <w:bookmarkEnd w:id="7"/>
    </w:p>
    <w:p w14:paraId="00000069">
      <w:pPr>
        <w:pStyle w:val="Normal"/>
        <w:rPr/>
      </w:pPr>
      <w:r>
        <w:rPr>
          <w:lang w:val="ru-RU"/>
        </w:rPr>
        <w:t>Описание акторов представлено в таблице 1.</w:t>
      </w:r>
    </w:p>
    <w:p w14:paraId="0000006A">
      <w:pPr>
        <w:pStyle w:val="Normal"/>
        <w:ind w:left="0" w:firstLine="0"/>
        <w:jc w:val="right"/>
        <w:rPr>
          <w:i/>
          <w:iCs/>
        </w:rPr>
      </w:pPr>
      <w:r>
        <w:rPr>
          <w:i/>
          <w:iCs/>
          <w:lang w:val="ru-RU"/>
        </w:rPr>
        <w:t>Таблица 1 - Описание акторов</w:t>
      </w:r>
    </w:p>
    <w:tbl>
      <w:tblPr>
        <w:tblStyle w:val="TableGrid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3728"/>
        <w:gridCol w:w="38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100000000000"/>
        </w:trPr>
        <w:tc>
          <w:tcPr>
            <w:cnfStyle w:val="100010000000"/>
            <w:tcW w:w="1966" w:type="dxa"/>
          </w:tcPr>
          <w:p w14:paraId="0000006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Участник</w:t>
            </w:r>
          </w:p>
        </w:tc>
        <w:tc>
          <w:tcPr>
            <w:cnfStyle w:val="100001000000"/>
            <w:tcW w:w="3728" w:type="dxa"/>
          </w:tcPr>
          <w:p w14:paraId="0000006C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Кто может выступать</w:t>
            </w:r>
          </w:p>
        </w:tc>
        <w:tc>
          <w:tcPr>
            <w:cnfStyle w:val="100010000000"/>
            <w:tcW w:w="3882" w:type="dxa"/>
          </w:tcPr>
          <w:p w14:paraId="0000006D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Выгода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  <w:trHeight w:val="386" w:hRule="atLeast"/>
        </w:trPr>
        <w:tc>
          <w:tcPr>
            <w:cnfStyle w:val="000010000000"/>
            <w:tcW w:w="1966" w:type="dxa"/>
          </w:tcPr>
          <w:p w14:paraId="0000006E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Пользователь</w:t>
            </w:r>
          </w:p>
        </w:tc>
        <w:tc>
          <w:tcPr>
            <w:cnfStyle w:val="000001000000"/>
            <w:tcW w:w="3728" w:type="dxa"/>
          </w:tcPr>
          <w:p w14:paraId="0000006F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Спортсмены-любители</w:t>
            </w:r>
          </w:p>
        </w:tc>
        <w:tc>
          <w:tcPr>
            <w:cnfStyle w:val="000010000000"/>
            <w:tcW w:w="3882" w:type="dxa"/>
          </w:tcPr>
          <w:p w14:paraId="0000007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Проще заниматься спортом, хранить и ухаживать за экипировкой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1966" w:type="dxa"/>
          </w:tcPr>
          <w:p w14:paraId="00000071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Оператор сервиса</w:t>
            </w:r>
          </w:p>
        </w:tc>
        <w:tc>
          <w:tcPr>
            <w:cnfStyle w:val="000001000000"/>
            <w:tcW w:w="3728" w:type="dxa"/>
          </w:tcPr>
          <w:p w14:paraId="00000072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Может быть создана новая компания</w:t>
            </w:r>
          </w:p>
        </w:tc>
        <w:tc>
          <w:tcPr>
            <w:cnfStyle w:val="000010000000"/>
            <w:tcW w:w="3882" w:type="dxa"/>
          </w:tcPr>
          <w:p w14:paraId="00000073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дохода за хранение и дополнительные услуги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1966" w:type="dxa"/>
          </w:tcPr>
          <w:p w14:paraId="0000007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Сервисы чистки и починки экипировки</w:t>
            </w:r>
          </w:p>
        </w:tc>
        <w:tc>
          <w:tcPr>
            <w:cnfStyle w:val="000001000000"/>
            <w:tcW w:w="3728" w:type="dxa"/>
          </w:tcPr>
          <w:p w14:paraId="00000075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Химчистки, мастерские</w:t>
            </w:r>
          </w:p>
        </w:tc>
        <w:tc>
          <w:tcPr>
            <w:cnfStyle w:val="000010000000"/>
            <w:tcW w:w="3882" w:type="dxa"/>
          </w:tcPr>
          <w:p w14:paraId="0000007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дохода за уход за экипировкой, большое количество заказов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1966" w:type="dxa"/>
          </w:tcPr>
          <w:p w14:paraId="00000077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Курьерские компании</w:t>
            </w:r>
          </w:p>
        </w:tc>
        <w:tc>
          <w:tcPr>
            <w:cnfStyle w:val="000001000000"/>
            <w:tcW w:w="3728" w:type="dxa"/>
          </w:tcPr>
          <w:p w14:paraId="00000078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Яндекс Доставка</w:t>
            </w:r>
          </w:p>
        </w:tc>
        <w:tc>
          <w:tcPr>
            <w:cnfStyle w:val="000010000000"/>
            <w:tcW w:w="3882" w:type="dxa"/>
          </w:tcPr>
          <w:p w14:paraId="0000007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Большое количество оплачиваемых заказов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1966" w:type="dxa"/>
          </w:tcPr>
          <w:p w14:paraId="0000007A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Курьеры</w:t>
            </w:r>
          </w:p>
        </w:tc>
        <w:tc>
          <w:tcPr>
            <w:cnfStyle w:val="000001000000"/>
            <w:tcW w:w="3728" w:type="dxa"/>
          </w:tcPr>
          <w:p w14:paraId="0000007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Курьеры, работающие в компаниях - партнёрах СпортЯчейки</w:t>
            </w:r>
          </w:p>
        </w:tc>
        <w:tc>
          <w:tcPr>
            <w:cnfStyle w:val="000010000000"/>
            <w:tcW w:w="3882" w:type="dxa"/>
          </w:tcPr>
          <w:p w14:paraId="0000007C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Большое количество оплачиваемых заказов</w:t>
            </w:r>
          </w:p>
        </w:tc>
      </w:tr>
    </w:tbl>
    <w:p w14:paraId="0000007D">
      <w:pPr>
        <w:pStyle w:val="Heading2"/>
        <w:spacing w:before="440" w:after="440"/>
        <w:ind w:left="0" w:firstLine="1134"/>
        <w:rPr>
          <w:color w:val="000000" w:themeColor="dk1"/>
          <w:lang w:val="ru-RU"/>
        </w:rPr>
      </w:pPr>
      <w:bookmarkStart w:id="8" w:name="_Toc9"/>
      <w:r>
        <w:rPr>
          <w:color w:val="000000" w:themeColor="dk1"/>
          <w:sz w:val="24"/>
          <w:szCs w:val="24"/>
          <w:lang w:val="ru-RU"/>
        </w:rPr>
        <w:t>1.2.2. Функции акторов</w:t>
      </w:r>
      <w:bookmarkEnd w:id="8"/>
    </w:p>
    <w:p w14:paraId="0000007E">
      <w:pPr>
        <w:pStyle w:val="Normal"/>
        <w:rPr/>
      </w:pPr>
      <w:r>
        <w:rPr>
          <w:lang w:val="ru-RU"/>
        </w:rPr>
        <w:t>Функции</w:t>
      </w:r>
      <w:r>
        <w:rPr>
          <w:lang w:val="ru-RU"/>
        </w:rPr>
        <w:t xml:space="preserve"> акторов представлены в таблице 1.</w:t>
      </w:r>
    </w:p>
    <w:p w14:paraId="0000007F">
      <w:pPr>
        <w:pStyle w:val="Normal"/>
        <w:ind w:left="0" w:firstLine="0"/>
        <w:jc w:val="right"/>
        <w:rPr/>
      </w:pPr>
      <w:r>
        <w:rPr>
          <w:i/>
          <w:iCs/>
          <w:lang w:val="ru-RU"/>
        </w:rPr>
        <w:t>Таблица 2 - функции акторов</w:t>
      </w:r>
    </w:p>
    <w:tbl>
      <w:tblPr>
        <w:tblStyle w:val="TableGrid"/>
        <w:tblW w:w="775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5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100000000000"/>
        </w:trPr>
        <w:tc>
          <w:tcPr>
            <w:cnfStyle w:val="100010000000"/>
            <w:tcW w:w="2206" w:type="dxa"/>
          </w:tcPr>
          <w:p w14:paraId="00000080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Участник</w:t>
            </w:r>
          </w:p>
        </w:tc>
        <w:tc>
          <w:tcPr>
            <w:cnfStyle w:val="100001000000"/>
            <w:tcW w:w="5551" w:type="dxa"/>
          </w:tcPr>
          <w:p w14:paraId="00000081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Функции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2206" w:type="dxa"/>
          </w:tcPr>
          <w:p w14:paraId="00000082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Пользователь</w:t>
            </w:r>
          </w:p>
        </w:tc>
        <w:tc>
          <w:tcPr>
            <w:cnfStyle w:val="000001000000"/>
            <w:tcW w:w="5551" w:type="dxa"/>
          </w:tcPr>
          <w:p w14:paraId="00000083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Сдача формы, указание необходимых дополнительных услуг, оплата услуг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2206" w:type="dxa"/>
          </w:tcPr>
          <w:p w14:paraId="0000008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Оператор сервиса</w:t>
            </w:r>
          </w:p>
        </w:tc>
        <w:tc>
          <w:tcPr>
            <w:cnfStyle w:val="000001000000"/>
            <w:tcW w:w="5551" w:type="dxa"/>
          </w:tcPr>
          <w:p w14:paraId="00000085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Предоставление места для хранения и выполнение дополнительных услуг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2206" w:type="dxa"/>
          </w:tcPr>
          <w:p w14:paraId="0000008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Сервисы чистки и починки экипировки</w:t>
            </w:r>
          </w:p>
        </w:tc>
        <w:tc>
          <w:tcPr>
            <w:cnfStyle w:val="000001000000"/>
            <w:tcW w:w="5551" w:type="dxa"/>
          </w:tcPr>
          <w:p w14:paraId="00000087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Осуществляют соответствующий уход за экипировкой, предоставляемой СпортЯчейкой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2206" w:type="dxa"/>
          </w:tcPr>
          <w:p w14:paraId="00000088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Курьерские компании</w:t>
            </w:r>
          </w:p>
        </w:tc>
        <w:tc>
          <w:tcPr>
            <w:cnfStyle w:val="000001000000"/>
            <w:tcW w:w="5551" w:type="dxa"/>
          </w:tcPr>
          <w:p w14:paraId="00000089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Предоставление курьеров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nfStyle w:val="000000000000"/>
        </w:trPr>
        <w:tc>
          <w:tcPr>
            <w:cnfStyle w:val="000010000000"/>
            <w:tcW w:w="2206" w:type="dxa"/>
          </w:tcPr>
          <w:p w14:paraId="0000008A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Курьеры</w:t>
            </w:r>
          </w:p>
        </w:tc>
        <w:tc>
          <w:tcPr>
            <w:cnfStyle w:val="000001000000"/>
            <w:tcW w:w="5551" w:type="dxa"/>
          </w:tcPr>
          <w:p w14:paraId="0000008B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Перемещение формы</w:t>
            </w:r>
          </w:p>
        </w:tc>
      </w:tr>
    </w:tbl>
    <w:p w14:paraId="0000008C">
      <w:pPr>
        <w:pStyle w:val="Heading2"/>
        <w:spacing w:before="440" w:after="200"/>
        <w:ind w:left="0" w:firstLine="567"/>
        <w:rPr>
          <w:color w:val="000000" w:themeColor="dk1"/>
          <w:lang w:val="ru-RU"/>
        </w:rPr>
      </w:pPr>
      <w:bookmarkStart w:id="9" w:name="_Toc10"/>
      <w:r>
        <w:rPr>
          <w:color w:val="000000" w:themeColor="dk1"/>
          <w:lang w:val="ru-RU"/>
        </w:rPr>
        <w:t>1.3. Архитектурные схемы</w:t>
      </w:r>
      <w:bookmarkEnd w:id="9"/>
    </w:p>
    <w:p w14:paraId="0000008D">
      <w:pPr>
        <w:pStyle w:val="Heading2"/>
        <w:spacing w:after="440"/>
        <w:ind w:left="0" w:firstLine="1134"/>
        <w:rPr>
          <w:color w:val="000000" w:themeColor="dk1"/>
          <w:sz w:val="24"/>
          <w:szCs w:val="24"/>
          <w:lang w:val="ru-RU"/>
        </w:rPr>
      </w:pPr>
      <w:bookmarkStart w:id="10" w:name="_Toc11"/>
      <w:r>
        <w:rPr>
          <w:color w:val="000000" w:themeColor="dk1"/>
          <w:sz w:val="24"/>
          <w:szCs w:val="24"/>
          <w:lang w:val="ru-RU"/>
        </w:rPr>
        <w:t xml:space="preserve">1.3.1. Схема </w:t>
      </w:r>
      <w:r>
        <w:rPr>
          <w:color w:val="000000" w:themeColor="dk1"/>
          <w:sz w:val="24"/>
          <w:szCs w:val="24"/>
        </w:rPr>
        <w:t xml:space="preserve">«До» </w:t>
      </w:r>
      <w:r>
        <w:rPr>
          <w:color w:val="000000" w:themeColor="dk1"/>
          <w:sz w:val="24"/>
          <w:szCs w:val="24"/>
          <w:lang w:val="ru-RU"/>
        </w:rPr>
        <w:t>сервиса с описанием внешних процессов</w:t>
      </w:r>
      <w:bookmarkEnd w:id="10"/>
    </w:p>
    <w:p w14:paraId="0000008E">
      <w:pPr>
        <w:pStyle w:val="Normal"/>
        <w:rPr>
          <w:lang w:val="ru-RU"/>
        </w:rPr>
      </w:pPr>
      <w:r>
        <w:rPr>
          <w:lang w:val="ru-RU"/>
        </w:rPr>
        <w:t>Текущие процессы взаимодействия между акторами представлены на рисунке 1.</w:t>
      </w:r>
    </w:p>
    <w:p w14:paraId="0000008F">
      <w:pPr>
        <w:ind w:left="0"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drawing xmlns:mc="http://schemas.openxmlformats.org/markup-compatibility/2006">
          <wp:inline distT="0" distB="0" distL="0" distR="0">
            <wp:extent cx="4897120" cy="3209925"/>
            <wp:effectExtent l="0" t="0" r="0" b="0"/>
            <wp:docPr id="11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7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0">
      <w:pPr>
        <w:spacing w:after="360"/>
        <w:ind w:left="0" w:firstLine="0"/>
        <w:jc w:val="center"/>
        <w:rPr>
          <w:b/>
          <w:bCs/>
          <w:lang w:val="ru-RU"/>
        </w:rPr>
      </w:pPr>
      <w:r>
        <w:rPr>
          <w:i/>
          <w:iCs/>
          <w:u w:val="none"/>
          <w:lang w:val="ru-RU"/>
        </w:rPr>
        <w:t xml:space="preserve">Рисунок 1. Схема </w:t>
      </w:r>
      <w:r>
        <w:rPr>
          <w:i/>
          <w:iCs/>
          <w:u w:val="none"/>
          <w:lang w:val="en-US"/>
        </w:rPr>
        <w:t xml:space="preserve">As Is </w:t>
      </w:r>
    </w:p>
    <w:p w14:paraId="00000091">
      <w:pPr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ab/>
      </w:r>
      <w:r>
        <w:rPr>
          <w:b w:val="off"/>
          <w:bCs w:val="off"/>
          <w:lang w:val="ru-RU"/>
        </w:rPr>
        <w:t>1 - Человек после работы идёт домой за экипировкой для занятия спортом</w:t>
      </w:r>
    </w:p>
    <w:p w14:paraId="00000092">
      <w:pPr>
        <w:ind w:left="0" w:firstLine="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ab/>
      </w:r>
      <w:r>
        <w:rPr>
          <w:b w:val="off"/>
          <w:bCs w:val="off"/>
          <w:lang w:val="ru-RU"/>
        </w:rPr>
        <w:t xml:space="preserve">2 - Человек берёт дома экипировку и идёт заниматься в место проведения тренировки </w:t>
      </w:r>
    </w:p>
    <w:p w14:paraId="00000093">
      <w:pPr>
        <w:ind w:left="0" w:firstLine="720"/>
        <w:jc w:val="both"/>
        <w:rPr>
          <w:b/>
          <w:bCs/>
          <w:lang w:val="ru-RU"/>
        </w:rPr>
      </w:pPr>
      <w:r>
        <w:rPr>
          <w:b w:val="off"/>
          <w:bCs w:val="off"/>
          <w:lang w:val="ru-RU"/>
        </w:rPr>
        <w:t>3 - После тренировки человек возвращается домой</w:t>
      </w:r>
    </w:p>
    <w:p w14:paraId="00000094">
      <w:pPr>
        <w:ind w:left="0" w:firstLine="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ab/>
        <w:t>4</w:t>
      </w:r>
      <w:r>
        <w:rPr>
          <w:b w:val="off"/>
          <w:bCs w:val="off"/>
          <w:lang w:val="ru-RU"/>
        </w:rPr>
        <w:t xml:space="preserve"> - Возникает необходимость в чистке и починке формы, человек едет в химчистку, сдаёт форму и возвращается домой </w:t>
      </w:r>
    </w:p>
    <w:p w14:paraId="00000095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5 - Пользователь возвращается в химчистку за формой</w:t>
      </w:r>
    </w:p>
    <w:p w14:paraId="00000096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6, 7 - Пользователь оплачивает услуги химчистки</w:t>
      </w:r>
    </w:p>
    <w:p w14:paraId="00000097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8 - Из химчистки человек едет в мастерскую и сдаёт форму</w:t>
      </w:r>
    </w:p>
    <w:p w14:paraId="00000098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9 - После сдачи формы человек возвращается домой</w:t>
      </w:r>
    </w:p>
    <w:p w14:paraId="00000099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10 - Когда починка завершена, человек возвращается в мастерскую, чтобы забрать форму</w:t>
      </w:r>
    </w:p>
    <w:p w14:paraId="0000009A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11, 12 - Человек оплачивает услуги мастерской</w:t>
      </w:r>
    </w:p>
    <w:p w14:paraId="0000009B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13 - Человек возвращается домой</w:t>
      </w:r>
    </w:p>
    <w:p w14:paraId="0000009C">
      <w:pPr>
        <w:ind w:left="0" w:firstLine="720"/>
        <w:jc w:val="both"/>
        <w:rPr>
          <w:b w:val="off"/>
          <w:bCs w:val="off"/>
          <w:lang w:val="ru-RU"/>
        </w:rPr>
      </w:pPr>
      <w:r>
        <w:rPr>
          <w:b w:val="off"/>
          <w:bCs w:val="off"/>
          <w:lang w:val="ru-RU"/>
        </w:rPr>
        <w:t>14 - Далее человек может заняться личными делами</w:t>
      </w:r>
    </w:p>
    <w:p w14:paraId="0000009D">
      <w:pPr>
        <w:pStyle w:val="Heading2"/>
        <w:spacing w:before="440" w:after="440"/>
        <w:ind w:left="0" w:firstLine="1134"/>
        <w:rPr>
          <w:color w:val="000000" w:themeColor="dk1"/>
          <w:lang w:val="ru-RU"/>
        </w:rPr>
      </w:pPr>
      <w:bookmarkStart w:id="11" w:name="_Toc12"/>
      <w:r>
        <w:rPr>
          <w:color w:val="000000" w:themeColor="dk1"/>
          <w:sz w:val="24"/>
          <w:szCs w:val="24"/>
          <w:lang w:val="ru-RU"/>
        </w:rPr>
        <w:t xml:space="preserve">1.3.2. Схема </w:t>
      </w:r>
      <w:r>
        <w:rPr>
          <w:color w:val="000000" w:themeColor="dk1"/>
          <w:sz w:val="24"/>
          <w:szCs w:val="24"/>
        </w:rPr>
        <w:t>«</w:t>
      </w:r>
      <w:r>
        <w:rPr>
          <w:color w:val="000000" w:themeColor="dk1"/>
          <w:sz w:val="24"/>
          <w:szCs w:val="24"/>
          <w:lang w:val="ru-RU"/>
        </w:rPr>
        <w:t>После</w:t>
      </w:r>
      <w:r>
        <w:rPr>
          <w:color w:val="000000" w:themeColor="dk1"/>
          <w:sz w:val="24"/>
          <w:szCs w:val="24"/>
        </w:rPr>
        <w:t xml:space="preserve">» </w:t>
      </w:r>
      <w:r>
        <w:rPr>
          <w:color w:val="000000" w:themeColor="dk1"/>
          <w:sz w:val="24"/>
          <w:szCs w:val="24"/>
          <w:lang w:val="ru-RU"/>
        </w:rPr>
        <w:t>внедрения сервиса с описанием внешних процессов</w:t>
      </w:r>
      <w:bookmarkEnd w:id="11"/>
    </w:p>
    <w:p w14:paraId="0000009E">
      <w:r>
        <w:rPr>
          <w:lang w:val="ru-RU"/>
        </w:rPr>
        <w:t>Схема работы сервиса представлена на рисунке 2.</w:t>
      </w:r>
    </w:p>
    <w:p w14:paraId="0000009F">
      <w:pPr>
        <w:ind w:lef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5940425" cy="4378960"/>
            <wp:effectExtent l="0" t="0" r="0" b="0"/>
            <wp:docPr id="12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8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>
      <w:pPr>
        <w:spacing w:after="360"/>
        <w:ind w:left="0" w:firstLine="0"/>
        <w:jc w:val="center"/>
        <w:rPr/>
      </w:pPr>
      <w:r>
        <w:rPr>
          <w:i/>
          <w:iCs/>
          <w:u w:val="none"/>
          <w:lang w:val="ru-RU"/>
        </w:rPr>
        <w:t xml:space="preserve">Рисунок 2. Схема </w:t>
      </w:r>
      <w:r>
        <w:rPr>
          <w:i/>
          <w:iCs/>
          <w:u w:val="none"/>
          <w:lang w:val="en-US"/>
        </w:rPr>
        <w:t>To Be</w:t>
      </w:r>
    </w:p>
    <w:p w14:paraId="000000A1">
      <w:pPr>
        <w:ind w:left="0" w:firstLine="720"/>
        <w:jc w:val="both"/>
        <w:rPr>
          <w:lang w:val="ru-RU"/>
        </w:rPr>
      </w:pPr>
      <w:r>
        <w:rPr>
          <w:lang w:val="ru-RU"/>
        </w:rPr>
        <w:t xml:space="preserve">1 - Человек регистрируется в сервисе СпортЯчейка, </w:t>
      </w:r>
      <w:r>
        <w:rPr>
          <w:lang w:val="ru-RU"/>
        </w:rPr>
        <w:t>указывает свой адрес, номер телефона, имя,</w:t>
      </w:r>
      <w:r>
        <w:rPr>
          <w:lang w:val="ru-RU"/>
        </w:rPr>
        <w:t xml:space="preserve"> привязывает свою карту для оплаты,</w:t>
      </w:r>
      <w:r>
        <w:rPr>
          <w:lang w:val="ru-RU"/>
        </w:rPr>
        <w:t xml:space="preserve"> отправляет запрос на сдачу формы с помощью курьера в СпортЯчейку, выбирая отделение сервиса, и получает в ответ подтверждение от СпортЯчейки</w:t>
      </w:r>
    </w:p>
    <w:p w14:paraId="000000A2">
      <w:pPr>
        <w:ind w:left="0" w:firstLine="720"/>
        <w:jc w:val="both"/>
        <w:rPr>
          <w:lang w:val="ru-RU"/>
        </w:rPr>
      </w:pPr>
      <w:r>
        <w:rPr>
          <w:lang w:val="ru-RU"/>
        </w:rPr>
        <w:t>2 - СпортЯчейка открывает заказ на доставку формы от дома пользователя до СпортЯчейки курьерским компаниям, компания принимает заказ</w:t>
      </w:r>
    </w:p>
    <w:p w14:paraId="000000A3">
      <w:pPr>
        <w:ind w:left="0" w:firstLine="720"/>
        <w:jc w:val="both"/>
        <w:rPr>
          <w:lang w:val="ru-RU"/>
        </w:rPr>
      </w:pPr>
      <w:r>
        <w:rPr>
          <w:lang w:val="ru-RU"/>
        </w:rPr>
        <w:t>3 - Внутри курьерской компании свободный курьер принимает заказ</w:t>
      </w:r>
    </w:p>
    <w:p w14:paraId="000000A4">
      <w:pPr>
        <w:ind w:left="0" w:firstLine="720"/>
        <w:jc w:val="both"/>
        <w:rPr>
          <w:lang w:val="ru-RU"/>
        </w:rPr>
      </w:pPr>
      <w:r>
        <w:rPr>
          <w:lang w:val="ru-RU"/>
        </w:rPr>
        <w:t>4 - Курьер отправляется на указанный пользователем адрес и забирает форму</w:t>
      </w:r>
    </w:p>
    <w:p w14:paraId="000000A5">
      <w:pPr>
        <w:ind w:left="0" w:firstLine="720"/>
        <w:jc w:val="both"/>
        <w:rPr>
          <w:lang w:val="ru-RU"/>
        </w:rPr>
      </w:pPr>
      <w:r>
        <w:rPr>
          <w:lang w:val="ru-RU"/>
        </w:rPr>
        <w:t>5 - Курьер относит форму в отделение СпортЯчейки</w:t>
      </w:r>
    </w:p>
    <w:p w14:paraId="000000A6">
      <w:pPr>
        <w:ind w:left="0" w:firstLine="720"/>
        <w:jc w:val="both"/>
        <w:rPr>
          <w:lang w:val="ru-RU"/>
        </w:rPr>
      </w:pPr>
      <w:r>
        <w:rPr>
          <w:lang w:val="ru-RU"/>
        </w:rPr>
        <w:t>6, 7 - Курьерская компания оплачивает работу курьера</w:t>
      </w:r>
    </w:p>
    <w:p w14:paraId="000000A7">
      <w:pPr>
        <w:jc w:val="both"/>
        <w:rPr>
          <w:lang w:val="ru-RU"/>
        </w:rPr>
      </w:pPr>
      <w:r>
        <w:rPr>
          <w:lang w:val="ru-RU"/>
        </w:rPr>
        <w:t>8 - Пользователь работает/занимается личными делами</w:t>
      </w:r>
    </w:p>
    <w:p w14:paraId="000000A8">
      <w:pPr>
        <w:ind w:left="0" w:firstLine="720"/>
        <w:jc w:val="both"/>
        <w:rPr>
          <w:lang w:val="ru-RU"/>
        </w:rPr>
      </w:pPr>
      <w:r>
        <w:rPr>
          <w:lang w:val="ru-RU"/>
        </w:rPr>
        <w:t>9 - Пользователь решает сегодня после работы позаниматься спортом, где ему будет необходима его форма, он заходит в приложение СпортЯчейка и отправляет запрос на доставку формы с помощью курьера до выбранного им спортивного сооружения, в ответ пользователь получает подтверждение от СпортЯчейки</w:t>
      </w:r>
    </w:p>
    <w:p w14:paraId="000000A9">
      <w:pPr>
        <w:ind w:left="0" w:firstLine="720"/>
        <w:jc w:val="both"/>
        <w:rPr>
          <w:lang w:val="ru-RU"/>
        </w:rPr>
      </w:pPr>
      <w:r>
        <w:rPr>
          <w:lang w:val="ru-RU"/>
        </w:rPr>
        <w:t xml:space="preserve">10 - </w:t>
      </w:r>
      <w:r>
        <w:rPr>
          <w:lang w:val="ru-RU"/>
        </w:rPr>
        <w:t>СпортЯчейка открывает заказ на доставку формы до выбранного пользователем спортивного сооружения, курьерская компания принимает заказ</w:t>
      </w:r>
    </w:p>
    <w:p w14:paraId="000000AA">
      <w:pPr>
        <w:ind w:left="0" w:firstLine="720"/>
        <w:jc w:val="both"/>
        <w:rPr>
          <w:lang w:val="ru-RU"/>
        </w:rPr>
      </w:pPr>
      <w:r>
        <w:rPr>
          <w:lang w:val="ru-RU"/>
        </w:rPr>
        <w:t xml:space="preserve">11 - </w:t>
      </w:r>
      <w:r>
        <w:rPr>
          <w:lang w:val="ru-RU"/>
        </w:rPr>
        <w:t>Внутри курьерской компании свободный курьер принимает заказ</w:t>
      </w:r>
    </w:p>
    <w:p w14:paraId="000000AB">
      <w:pPr>
        <w:ind w:left="0" w:firstLine="720"/>
        <w:jc w:val="both"/>
        <w:rPr>
          <w:lang w:val="ru-RU"/>
        </w:rPr>
      </w:pPr>
      <w:r>
        <w:rPr>
          <w:lang w:val="ru-RU"/>
        </w:rPr>
        <w:t>12 - Курьер отправляется в СпортЯчейку, чтобы забрать форму</w:t>
      </w:r>
    </w:p>
    <w:p w14:paraId="000000AC">
      <w:pPr>
        <w:ind w:left="0" w:firstLine="720"/>
        <w:jc w:val="both"/>
        <w:rPr>
          <w:lang w:val="ru-RU"/>
        </w:rPr>
      </w:pPr>
      <w:r>
        <w:rPr>
          <w:lang w:val="ru-RU"/>
        </w:rPr>
        <w:t>13 - Курьер доставляет форму до указанного спортивного сооружения</w:t>
      </w:r>
    </w:p>
    <w:p w14:paraId="000000AD">
      <w:pPr>
        <w:ind w:left="0" w:firstLine="720"/>
        <w:jc w:val="both"/>
        <w:rPr>
          <w:lang w:val="ru-RU"/>
        </w:rPr>
      </w:pPr>
      <w:r>
        <w:rPr>
          <w:lang w:val="ru-RU"/>
        </w:rPr>
        <w:t>14 - Пользователь идёт с работы в зал и получает форму</w:t>
      </w:r>
    </w:p>
    <w:p w14:paraId="000000AE">
      <w:pPr>
        <w:ind w:left="0" w:firstLine="720"/>
        <w:jc w:val="both"/>
        <w:rPr>
          <w:lang w:val="ru-RU"/>
        </w:rPr>
      </w:pPr>
      <w:r>
        <w:rPr>
          <w:lang w:val="ru-RU"/>
        </w:rPr>
        <w:t>15, 16 - После получения формы с карты пользователя за хранение и доставку списываются деньги, счёт сервиса пополняется</w:t>
      </w:r>
    </w:p>
    <w:p w14:paraId="000000AF">
      <w:pPr>
        <w:ind w:left="0" w:firstLine="720"/>
        <w:jc w:val="both"/>
        <w:rPr>
          <w:lang w:val="ru-RU"/>
        </w:rPr>
      </w:pPr>
      <w:r>
        <w:rPr>
          <w:lang w:val="ru-RU"/>
        </w:rPr>
        <w:t>17, 18</w:t>
      </w:r>
      <w:r>
        <w:rPr>
          <w:lang w:val="ru-RU"/>
        </w:rPr>
        <w:t xml:space="preserve"> - Курьерская компания оплачивает работу курьера</w:t>
      </w:r>
    </w:p>
    <w:p w14:paraId="000000B0">
      <w:pPr>
        <w:jc w:val="both"/>
        <w:rPr>
          <w:lang w:val="ru-RU"/>
        </w:rPr>
      </w:pPr>
      <w:r>
        <w:rPr>
          <w:lang w:val="ru-RU"/>
        </w:rPr>
        <w:t>19 - После тренировки пользователь хочет снова сдать форму в СпортЯчейку с помощью курьера, а также заказывает чистку и починку экипировки, в ответ СпортЯчейка подтверждает заказ</w:t>
      </w:r>
    </w:p>
    <w:p w14:paraId="000000B1">
      <w:pPr>
        <w:jc w:val="both"/>
        <w:rPr>
          <w:lang w:val="ru-RU"/>
        </w:rPr>
      </w:pPr>
      <w:r>
        <w:rPr>
          <w:lang w:val="ru-RU"/>
        </w:rPr>
        <w:t>20 -</w:t>
      </w:r>
      <w:r>
        <w:rPr>
          <w:lang w:val="ru-RU"/>
        </w:rPr>
        <w:t xml:space="preserve"> СпортЯчейка открывает заказ на доставку формы от спортивного сооружения до СпортЯчейки курьерским компаниям, компания принимает заказ</w:t>
      </w:r>
    </w:p>
    <w:p w14:paraId="000000B2">
      <w:pPr>
        <w:jc w:val="both"/>
        <w:rPr>
          <w:lang w:val="ru-RU"/>
        </w:rPr>
      </w:pPr>
      <w:r>
        <w:rPr>
          <w:lang w:val="ru-RU"/>
        </w:rPr>
        <w:t>21 -</w:t>
      </w:r>
      <w:r>
        <w:rPr>
          <w:lang w:val="ru-RU"/>
        </w:rPr>
        <w:t xml:space="preserve"> Внутри курьерской компании свободный курьер принимает заказ</w:t>
      </w:r>
    </w:p>
    <w:p w14:paraId="000000B3">
      <w:pPr>
        <w:jc w:val="both"/>
        <w:rPr>
          <w:lang w:val="ru-RU"/>
        </w:rPr>
      </w:pPr>
      <w:r>
        <w:rPr>
          <w:lang w:val="ru-RU"/>
        </w:rPr>
        <w:t>22 - Курьер отправляется к спортивному сооружению, чтобы забрать форму</w:t>
      </w:r>
    </w:p>
    <w:p w14:paraId="000000B4">
      <w:pPr>
        <w:jc w:val="both"/>
        <w:rPr>
          <w:lang w:val="ru-RU"/>
        </w:rPr>
      </w:pPr>
      <w:r>
        <w:rPr>
          <w:lang w:val="ru-RU"/>
        </w:rPr>
        <w:t>23 - После передачи формы пользователь может вернуться домой или пойти по личным делам</w:t>
      </w:r>
    </w:p>
    <w:p w14:paraId="000000B5">
      <w:pPr>
        <w:jc w:val="both"/>
        <w:rPr>
          <w:lang w:val="ru-RU"/>
        </w:rPr>
      </w:pPr>
      <w:r>
        <w:rPr>
          <w:lang w:val="ru-RU"/>
        </w:rPr>
        <w:t>24 - Курьер относит форму в СпортЯчейку</w:t>
      </w:r>
    </w:p>
    <w:p w14:paraId="000000B6">
      <w:pPr>
        <w:ind w:left="0" w:firstLine="720"/>
        <w:jc w:val="both"/>
        <w:rPr>
          <w:lang w:val="ru-RU"/>
        </w:rPr>
      </w:pPr>
      <w:r>
        <w:rPr>
          <w:lang w:val="ru-RU"/>
        </w:rPr>
        <w:t>25, 26</w:t>
      </w:r>
      <w:r>
        <w:rPr>
          <w:lang w:val="ru-RU"/>
        </w:rPr>
        <w:t xml:space="preserve"> - Курьерская компания оплачивает работу курьера</w:t>
      </w:r>
    </w:p>
    <w:p w14:paraId="000000B7">
      <w:pPr>
        <w:ind w:left="0" w:firstLine="720"/>
        <w:jc w:val="both"/>
        <w:rPr>
          <w:lang w:val="ru-RU"/>
        </w:rPr>
      </w:pPr>
      <w:r>
        <w:rPr>
          <w:lang w:val="ru-RU"/>
        </w:rPr>
        <w:t>27 - СпортЯчейка связывается с чисткой и мастерской, чтобы согласовать условия чистки и починки всей формы, которая за день была доставлена в СпортЯчейку и нуждается в чистке и  починке</w:t>
      </w:r>
    </w:p>
    <w:p w14:paraId="000000B8">
      <w:pPr>
        <w:ind w:left="0" w:firstLine="720"/>
        <w:jc w:val="both"/>
        <w:rPr>
          <w:lang w:val="ru-RU"/>
        </w:rPr>
      </w:pPr>
      <w:r>
        <w:rPr>
          <w:lang w:val="ru-RU"/>
        </w:rPr>
        <w:t xml:space="preserve">28 - </w:t>
      </w:r>
      <w:r>
        <w:rPr>
          <w:lang w:val="ru-RU"/>
        </w:rPr>
        <w:t>СпортЯчейка открывает заказ на доставку всей формы до чистки и мастерской, курьерская компания принимает заказ</w:t>
      </w:r>
    </w:p>
    <w:p w14:paraId="000000B9">
      <w:pPr>
        <w:ind w:left="0" w:firstLine="720"/>
        <w:jc w:val="both"/>
        <w:rPr>
          <w:lang w:val="ru-RU"/>
        </w:rPr>
      </w:pPr>
      <w:r>
        <w:rPr>
          <w:lang w:val="ru-RU"/>
        </w:rPr>
        <w:t xml:space="preserve">29 - </w:t>
      </w:r>
      <w:r>
        <w:rPr>
          <w:lang w:val="ru-RU"/>
        </w:rPr>
        <w:t>Внутри курьерской компании свободный курьер принимает заказ</w:t>
      </w:r>
    </w:p>
    <w:p w14:paraId="000000BA">
      <w:pPr>
        <w:ind w:left="0" w:firstLine="720"/>
        <w:jc w:val="both"/>
        <w:rPr/>
      </w:pPr>
      <w:r>
        <w:rPr>
          <w:lang w:val="ru-RU"/>
        </w:rPr>
        <w:t>30 - Курьер отправляется в СпортЯчейку за формой</w:t>
      </w:r>
    </w:p>
    <w:p w14:paraId="000000BB">
      <w:pPr>
        <w:ind w:left="0" w:firstLine="720"/>
        <w:jc w:val="both"/>
        <w:rPr/>
      </w:pPr>
      <w:r>
        <w:rPr>
          <w:lang w:val="ru-RU"/>
        </w:rPr>
        <w:t>31 -  Курьер отвозит форму в чистку</w:t>
      </w:r>
    </w:p>
    <w:p w14:paraId="000000BC">
      <w:pPr>
        <w:ind w:left="0" w:firstLine="720"/>
        <w:jc w:val="both"/>
        <w:rPr>
          <w:lang w:val="ru-RU"/>
        </w:rPr>
      </w:pPr>
      <w:r>
        <w:rPr>
          <w:lang w:val="ru-RU"/>
        </w:rPr>
        <w:t>32, 33 - Когда чистка будет закончена, СпортЯчейка оплачивает чистку</w:t>
      </w:r>
    </w:p>
    <w:p w14:paraId="000000BD">
      <w:pPr>
        <w:ind w:left="0" w:firstLine="720"/>
        <w:jc w:val="both"/>
        <w:rPr/>
      </w:pPr>
      <w:r>
        <w:rPr>
          <w:lang w:val="ru-RU"/>
        </w:rPr>
        <w:t>34 - Курьер отвозит форму в мастерскую</w:t>
      </w:r>
    </w:p>
    <w:p w14:paraId="000000BE">
      <w:pPr>
        <w:ind w:left="0" w:firstLine="720"/>
        <w:jc w:val="both"/>
        <w:rPr>
          <w:lang w:val="ru-RU"/>
        </w:rPr>
      </w:pPr>
      <w:r>
        <w:rPr>
          <w:lang w:val="ru-RU"/>
        </w:rPr>
        <w:t>35, 36 - Когда починка будет закончена, СпортЯчейка оплачивает мастерскую</w:t>
      </w:r>
    </w:p>
    <w:p w14:paraId="000000BF">
      <w:pPr>
        <w:ind w:left="0" w:firstLine="720"/>
        <w:jc w:val="both"/>
        <w:rPr/>
      </w:pPr>
      <w:r>
        <w:rPr>
          <w:lang w:val="ru-RU"/>
        </w:rPr>
        <w:t>37</w:t>
      </w:r>
      <w:r>
        <w:rPr>
          <w:lang w:val="ru-RU"/>
        </w:rPr>
        <w:t xml:space="preserve"> - Курьер отправляет форму обратно в СпортЯчейку</w:t>
      </w:r>
    </w:p>
    <w:p w14:paraId="000000C0">
      <w:pPr>
        <w:ind w:left="0" w:firstLine="720"/>
        <w:jc w:val="both"/>
        <w:rPr/>
      </w:pPr>
      <w:r>
        <w:rPr>
          <w:lang w:val="ru-RU"/>
        </w:rPr>
        <w:t xml:space="preserve">38, 39 - </w:t>
      </w:r>
      <w:r>
        <w:rPr>
          <w:lang w:val="ru-RU"/>
        </w:rPr>
        <w:t>Курьерская компания оплачивает работу курьера</w:t>
      </w:r>
    </w:p>
    <w:p w14:paraId="000000C1">
      <w:pPr>
        <w:ind w:left="0" w:firstLine="720"/>
        <w:jc w:val="both"/>
        <w:rPr/>
      </w:pPr>
      <w:r>
        <w:rPr>
          <w:lang w:val="ru-RU"/>
        </w:rPr>
        <w:t>40, 4</w:t>
      </w:r>
      <w:r>
        <w:rPr>
          <w:lang w:val="ru-RU"/>
        </w:rPr>
        <w:t>1</w:t>
      </w:r>
      <w:r>
        <w:rPr>
          <w:lang w:val="ru-RU"/>
        </w:rPr>
        <w:t xml:space="preserve"> - СпортЯчейка в конце дня оплачивает услуги курьерских компаний</w:t>
      </w:r>
    </w:p>
    <w:p w14:paraId="000000C2">
      <w:pPr>
        <w:ind w:left="0" w:firstLine="720"/>
        <w:jc w:val="both"/>
        <w:rPr/>
      </w:pPr>
      <w:r>
        <w:rPr>
          <w:lang w:val="ru-RU"/>
        </w:rPr>
        <w:t>Пользователь оплатит все предоставленные услуги, когда в следующий раз заберёт форму.</w:t>
      </w:r>
    </w:p>
    <w:p w14:paraId="000000C3">
      <w:pPr>
        <w:pStyle w:val="Heading2"/>
        <w:spacing w:before="440" w:after="200"/>
        <w:ind w:left="0" w:firstLine="567"/>
        <w:rPr>
          <w:color w:val="000000" w:themeColor="dk1"/>
          <w:lang w:val="en-US"/>
        </w:rPr>
      </w:pPr>
      <w:bookmarkStart w:id="12" w:name="_Toc13"/>
      <w:r>
        <w:rPr>
          <w:color w:val="000000" w:themeColor="dk1"/>
          <w:lang w:val="ru-RU"/>
        </w:rPr>
        <w:t>1.4. Пользовательские сценарии (</w:t>
      </w:r>
      <w:r>
        <w:rPr>
          <w:color w:val="000000" w:themeColor="dk1"/>
          <w:lang w:val="en-US"/>
        </w:rPr>
        <w:t>UML Use-case diagram)</w:t>
      </w:r>
      <w:bookmarkEnd w:id="12"/>
    </w:p>
    <w:p w14:paraId="000000C4">
      <w:pPr>
        <w:pStyle w:val="Heading2"/>
        <w:ind w:left="0" w:firstLine="1134"/>
        <w:rPr>
          <w:color w:val="000000" w:themeColor="dk1"/>
          <w:sz w:val="24"/>
          <w:szCs w:val="24"/>
        </w:rPr>
      </w:pPr>
      <w:bookmarkStart w:id="13" w:name="_Toc14"/>
      <w:r>
        <w:rPr>
          <w:color w:val="000000" w:themeColor="dk1"/>
          <w:sz w:val="24"/>
          <w:szCs w:val="24"/>
          <w:lang w:val="en-US"/>
        </w:rPr>
        <w:t>1.4.1.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ru-RU"/>
        </w:rPr>
        <w:t>Регистрация</w:t>
      </w:r>
      <w:r>
        <w:rPr>
          <w:color w:val="000000" w:themeColor="dk1"/>
          <w:sz w:val="24"/>
          <w:szCs w:val="24"/>
        </w:rPr>
        <w:t xml:space="preserve"> (</w:t>
      </w:r>
      <w:r>
        <w:rPr>
          <w:color w:val="000000" w:themeColor="dk1"/>
          <w:sz w:val="24"/>
          <w:szCs w:val="24"/>
          <w:lang w:val="en-US"/>
        </w:rPr>
        <w:t>UML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Activity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diagram</w:t>
      </w:r>
      <w:r>
        <w:rPr>
          <w:color w:val="000000" w:themeColor="dk1"/>
          <w:sz w:val="24"/>
          <w:szCs w:val="24"/>
        </w:rPr>
        <w:t>)</w:t>
      </w:r>
      <w:bookmarkEnd w:id="13"/>
    </w:p>
    <w:p w14:paraId="000000C5">
      <w:pPr>
        <w:pStyle w:val="Normal"/>
        <w:ind w:left="0" w:firstLine="1134"/>
        <w:rPr/>
      </w:pPr>
    </w:p>
    <w:p w14:paraId="000000C6">
      <w:pPr>
        <w:pStyle w:val="Normal"/>
        <w:ind w:firstLine="1701"/>
        <w:rPr>
          <w:b/>
          <w:bCs/>
        </w:rPr>
      </w:pPr>
      <w:bookmarkStart w:id="14" w:name="_Toc15"/>
      <w:r>
        <w:rPr>
          <w:b/>
          <w:bCs/>
        </w:rPr>
        <w:t xml:space="preserve">1.4.1.1. Прототипы пользовательского пути </w:t>
      </w:r>
      <w:bookmarkEnd w:id="14"/>
      <w:r>
        <w:rPr>
          <w:b/>
          <w:bCs/>
          <w:lang w:val="ru-RU"/>
        </w:rPr>
        <w:t>регистрации</w:t>
      </w:r>
    </w:p>
    <w:p w14:paraId="000000C7">
      <w:pPr>
        <w:pStyle w:val="Normal"/>
        <w:ind w:firstLine="1701"/>
        <w:rPr>
          <w:b/>
          <w:bCs/>
        </w:rPr>
      </w:pPr>
    </w:p>
    <w:p w14:paraId="000000C8">
      <w:pPr>
        <w:pStyle w:val="Heading2"/>
        <w:ind w:left="0" w:firstLine="1134"/>
        <w:rPr>
          <w:color w:val="000000" w:themeColor="dk1"/>
          <w:sz w:val="24"/>
          <w:szCs w:val="24"/>
        </w:rPr>
      </w:pPr>
      <w:bookmarkStart w:id="15" w:name="_Toc16"/>
      <w:r>
        <w:rPr>
          <w:color w:val="000000" w:themeColor="dk1"/>
          <w:sz w:val="24"/>
          <w:szCs w:val="24"/>
        </w:rPr>
        <w:t xml:space="preserve">1.4.2. </w:t>
      </w:r>
      <w:r>
        <w:rPr>
          <w:color w:val="000000" w:themeColor="dk1"/>
          <w:sz w:val="24"/>
          <w:szCs w:val="24"/>
          <w:lang w:val="ru-RU"/>
        </w:rPr>
        <w:t>Пополнение баланса</w:t>
      </w:r>
      <w:r>
        <w:rPr>
          <w:color w:val="000000" w:themeColor="dk1"/>
          <w:sz w:val="24"/>
          <w:szCs w:val="24"/>
        </w:rPr>
        <w:t xml:space="preserve"> (</w:t>
      </w:r>
      <w:r>
        <w:rPr>
          <w:color w:val="000000" w:themeColor="dk1"/>
          <w:sz w:val="24"/>
          <w:szCs w:val="24"/>
          <w:lang w:val="en-US"/>
        </w:rPr>
        <w:t>UML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Activity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diagram</w:t>
      </w:r>
      <w:r>
        <w:rPr>
          <w:color w:val="000000" w:themeColor="dk1"/>
          <w:sz w:val="24"/>
          <w:szCs w:val="24"/>
        </w:rPr>
        <w:t>)</w:t>
      </w:r>
      <w:bookmarkEnd w:id="15"/>
    </w:p>
    <w:p w14:paraId="000000C9">
      <w:pPr>
        <w:pStyle w:val="Normal"/>
        <w:ind w:left="0" w:firstLine="1134"/>
        <w:rPr/>
      </w:pPr>
    </w:p>
    <w:p w14:paraId="000000CA">
      <w:pPr>
        <w:pStyle w:val="Normal"/>
        <w:ind w:firstLine="1701"/>
        <w:rPr>
          <w:color w:val="000000" w:themeColor="dk1"/>
          <w:sz w:val="24"/>
          <w:szCs w:val="24"/>
        </w:rPr>
      </w:pPr>
      <w:bookmarkStart w:id="16" w:name="_Toc17"/>
      <w:r>
        <w:rPr>
          <w:b/>
          <w:bCs/>
        </w:rPr>
        <w:t xml:space="preserve">1.4.2.1. Прототипы пользовательского пути </w:t>
      </w:r>
      <w:bookmarkEnd w:id="16"/>
      <w:r>
        <w:rPr>
          <w:b/>
          <w:bCs/>
          <w:lang w:val="ru-RU"/>
        </w:rPr>
        <w:t>пополнения баланса</w:t>
      </w:r>
    </w:p>
    <w:p w14:paraId="000000CB">
      <w:pPr>
        <w:pStyle w:val="Normal"/>
        <w:ind w:firstLine="1701"/>
        <w:rPr>
          <w:color w:val="000000" w:themeColor="dk1"/>
          <w:sz w:val="24"/>
          <w:szCs w:val="24"/>
        </w:rPr>
      </w:pPr>
    </w:p>
    <w:p w14:paraId="000000CC">
      <w:pPr>
        <w:pStyle w:val="Heading2"/>
        <w:ind w:left="0" w:firstLine="1134"/>
        <w:rPr>
          <w:color w:val="000000" w:themeColor="dk1"/>
          <w:sz w:val="24"/>
          <w:szCs w:val="24"/>
        </w:rPr>
      </w:pPr>
      <w:bookmarkStart w:id="17" w:name="_Toc61"/>
      <w:r>
        <w:rPr>
          <w:color w:val="000000" w:themeColor="dk1"/>
          <w:sz w:val="24"/>
          <w:szCs w:val="24"/>
          <w:lang w:val="en-US"/>
        </w:rPr>
        <w:t>1.4.3.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ru-RU"/>
        </w:rPr>
        <w:t>Заявка на хранение</w:t>
      </w:r>
      <w:r>
        <w:rPr>
          <w:color w:val="000000" w:themeColor="dk1"/>
          <w:sz w:val="24"/>
          <w:szCs w:val="24"/>
        </w:rPr>
        <w:t xml:space="preserve"> (</w:t>
      </w:r>
      <w:r>
        <w:rPr>
          <w:color w:val="000000" w:themeColor="dk1"/>
          <w:sz w:val="24"/>
          <w:szCs w:val="24"/>
          <w:lang w:val="en-US"/>
        </w:rPr>
        <w:t>UML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Activity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diagram</w:t>
      </w:r>
      <w:r>
        <w:rPr>
          <w:color w:val="000000" w:themeColor="dk1"/>
          <w:sz w:val="24"/>
          <w:szCs w:val="24"/>
        </w:rPr>
        <w:t>)</w:t>
      </w:r>
      <w:bookmarkEnd w:id="17"/>
    </w:p>
    <w:p w14:paraId="000000CD">
      <w:pPr>
        <w:pStyle w:val="Normal"/>
        <w:ind w:left="0" w:firstLine="1134"/>
        <w:rPr/>
      </w:pPr>
    </w:p>
    <w:p w14:paraId="000000CE">
      <w:pPr>
        <w:pStyle w:val="Normal"/>
        <w:ind w:firstLine="1701"/>
        <w:rPr>
          <w:b/>
          <w:bCs/>
        </w:rPr>
      </w:pPr>
      <w:r>
        <w:rPr>
          <w:b/>
          <w:bCs/>
        </w:rPr>
        <w:t>1.4.</w:t>
      </w:r>
      <w:r>
        <w:rPr>
          <w:b/>
          <w:bCs/>
          <w:lang w:val="ru-RU"/>
        </w:rPr>
        <w:t>3</w:t>
      </w:r>
      <w:r>
        <w:rPr>
          <w:b/>
          <w:bCs/>
        </w:rPr>
        <w:t xml:space="preserve">.1. Прототипы пользовательского пути </w:t>
      </w:r>
      <w:r>
        <w:rPr>
          <w:b/>
          <w:bCs/>
          <w:lang w:val="ru-RU"/>
        </w:rPr>
        <w:t>заявки на хранение</w:t>
      </w:r>
    </w:p>
    <w:p w14:paraId="000000CF">
      <w:pPr>
        <w:pStyle w:val="Heading2"/>
        <w:ind w:left="0" w:firstLine="1134"/>
        <w:rPr>
          <w:color w:val="000000" w:themeColor="dk1"/>
          <w:sz w:val="24"/>
          <w:szCs w:val="24"/>
          <w:lang w:val="en-US"/>
        </w:rPr>
      </w:pPr>
    </w:p>
    <w:p w14:paraId="000000D0">
      <w:pPr>
        <w:pStyle w:val="Heading2"/>
        <w:ind w:left="0" w:firstLine="1134"/>
        <w:rPr>
          <w:color w:val="000000" w:themeColor="dk1"/>
          <w:sz w:val="24"/>
          <w:szCs w:val="24"/>
        </w:rPr>
      </w:pPr>
      <w:r>
        <w:rPr>
          <w:color w:val="000000" w:themeColor="dk1"/>
          <w:sz w:val="24"/>
          <w:szCs w:val="24"/>
          <w:lang w:val="en-US"/>
        </w:rPr>
        <w:t>1.4.4.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ru-RU"/>
        </w:rPr>
        <w:t>Получение</w:t>
      </w:r>
      <w:r>
        <w:rPr>
          <w:color w:val="000000" w:themeColor="dk1"/>
          <w:sz w:val="24"/>
          <w:szCs w:val="24"/>
        </w:rPr>
        <w:t xml:space="preserve"> (</w:t>
      </w:r>
      <w:r>
        <w:rPr>
          <w:color w:val="000000" w:themeColor="dk1"/>
          <w:sz w:val="24"/>
          <w:szCs w:val="24"/>
          <w:lang w:val="en-US"/>
        </w:rPr>
        <w:t>UML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Activity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diagram</w:t>
      </w:r>
      <w:r>
        <w:rPr>
          <w:color w:val="000000" w:themeColor="dk1"/>
          <w:sz w:val="24"/>
          <w:szCs w:val="24"/>
        </w:rPr>
        <w:t>)</w:t>
      </w:r>
    </w:p>
    <w:p w14:paraId="000000D1">
      <w:pPr>
        <w:pStyle w:val="Normal"/>
        <w:ind w:left="0" w:firstLine="1134"/>
        <w:rPr/>
      </w:pPr>
    </w:p>
    <w:p w14:paraId="000000D2">
      <w:pPr>
        <w:pStyle w:val="Normal"/>
        <w:ind w:firstLine="1701"/>
        <w:rPr>
          <w:b/>
          <w:bCs/>
        </w:rPr>
      </w:pPr>
      <w:r>
        <w:rPr>
          <w:b/>
          <w:bCs/>
        </w:rPr>
        <w:t>1.4.</w:t>
      </w:r>
      <w:r>
        <w:rPr>
          <w:b/>
          <w:bCs/>
          <w:lang w:val="ru-RU"/>
        </w:rPr>
        <w:t>4</w:t>
      </w:r>
      <w:r>
        <w:rPr>
          <w:b/>
          <w:bCs/>
        </w:rPr>
        <w:t xml:space="preserve">.1. Прототипы пользовательского пути </w:t>
      </w:r>
      <w:r>
        <w:rPr>
          <w:b/>
          <w:bCs/>
          <w:lang w:val="ru-RU"/>
        </w:rPr>
        <w:t>получения</w:t>
      </w:r>
    </w:p>
    <w:p w14:paraId="000000D3">
      <w:pPr>
        <w:pStyle w:val="Normal"/>
        <w:ind w:firstLine="1701"/>
        <w:rPr>
          <w:b/>
          <w:bCs/>
        </w:rPr>
      </w:pPr>
    </w:p>
    <w:p w14:paraId="000000D4">
      <w:pPr>
        <w:pStyle w:val="Heading2"/>
        <w:ind w:left="0" w:firstLine="1134"/>
        <w:rPr>
          <w:color w:val="000000" w:themeColor="dk1"/>
          <w:sz w:val="24"/>
          <w:szCs w:val="24"/>
        </w:rPr>
      </w:pPr>
      <w:r>
        <w:rPr>
          <w:color w:val="000000" w:themeColor="dk1"/>
          <w:sz w:val="24"/>
          <w:szCs w:val="24"/>
          <w:lang w:val="en-US"/>
        </w:rPr>
        <w:t>1.4.5.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ru-RU"/>
        </w:rPr>
        <w:t>Дополнительные услуги</w:t>
      </w:r>
      <w:r>
        <w:rPr>
          <w:color w:val="000000" w:themeColor="dk1"/>
          <w:sz w:val="24"/>
          <w:szCs w:val="24"/>
        </w:rPr>
        <w:t xml:space="preserve"> (</w:t>
      </w:r>
      <w:r>
        <w:rPr>
          <w:color w:val="000000" w:themeColor="dk1"/>
          <w:sz w:val="24"/>
          <w:szCs w:val="24"/>
          <w:lang w:val="en-US"/>
        </w:rPr>
        <w:t>UML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Activity</w:t>
      </w:r>
      <w:r>
        <w:rPr>
          <w:color w:val="000000" w:themeColor="dk1"/>
          <w:sz w:val="24"/>
          <w:szCs w:val="24"/>
        </w:rPr>
        <w:t xml:space="preserve"> </w:t>
      </w:r>
      <w:r>
        <w:rPr>
          <w:color w:val="000000" w:themeColor="dk1"/>
          <w:sz w:val="24"/>
          <w:szCs w:val="24"/>
          <w:lang w:val="en-US"/>
        </w:rPr>
        <w:t>diagram</w:t>
      </w:r>
      <w:r>
        <w:rPr>
          <w:color w:val="000000" w:themeColor="dk1"/>
          <w:sz w:val="24"/>
          <w:szCs w:val="24"/>
        </w:rPr>
        <w:t>)</w:t>
      </w:r>
    </w:p>
    <w:p w14:paraId="000000D5">
      <w:pPr>
        <w:pStyle w:val="Normal"/>
        <w:ind w:left="0" w:firstLine="1134"/>
        <w:rPr/>
      </w:pPr>
    </w:p>
    <w:p w14:paraId="000000D6">
      <w:pPr>
        <w:pStyle w:val="Normal"/>
        <w:ind w:firstLine="1701"/>
        <w:rPr>
          <w:b/>
          <w:bCs/>
        </w:rPr>
      </w:pPr>
      <w:r>
        <w:rPr>
          <w:b/>
          <w:bCs/>
        </w:rPr>
        <w:t>1.4.</w:t>
      </w:r>
      <w:r>
        <w:rPr>
          <w:b/>
          <w:bCs/>
          <w:lang w:val="ru-RU"/>
        </w:rPr>
        <w:t>5</w:t>
      </w:r>
      <w:r>
        <w:rPr>
          <w:b/>
          <w:bCs/>
        </w:rPr>
        <w:t xml:space="preserve">.1. Прототипы пользовательского пути </w:t>
      </w:r>
      <w:r>
        <w:rPr>
          <w:b/>
          <w:bCs/>
          <w:lang w:val="ru-RU"/>
        </w:rPr>
        <w:t>дополнительных услуг</w:t>
      </w:r>
    </w:p>
    <w:p w14:paraId="000000D7">
      <w:pPr>
        <w:pStyle w:val="Normal"/>
        <w:ind w:firstLine="1701"/>
        <w:rPr>
          <w:b/>
          <w:bCs/>
        </w:rPr>
      </w:pPr>
    </w:p>
    <w:p w14:paraId="000000D8">
      <w:pPr>
        <w:pStyle w:val="Normal"/>
        <w:ind w:firstLine="1701"/>
        <w:rPr>
          <w:color w:val="000000" w:themeColor="dk1"/>
          <w:sz w:val="24"/>
          <w:szCs w:val="24"/>
        </w:rPr>
      </w:pPr>
    </w:p>
    <w:p w14:paraId="000000D9">
      <w:pPr>
        <w:pStyle w:val="Heading2"/>
        <w:ind w:left="0" w:firstLine="567"/>
        <w:rPr/>
      </w:pPr>
      <w:bookmarkStart w:id="18" w:name="_Toc18"/>
      <w:r>
        <w:rPr>
          <w:color w:val="000000" w:themeColor="dk1"/>
        </w:rPr>
        <w:t>1.5. Схема внутренней логики работы сервиса</w:t>
      </w:r>
      <w:bookmarkEnd w:id="18"/>
    </w:p>
    <w:p w14:paraId="000000DA">
      <w:pPr>
        <w:pStyle w:val="Heading1"/>
        <w:ind w:right="0"/>
        <w:rPr/>
      </w:pPr>
      <w:r>
        <w:rPr/>
        <w:br w:type="page"/>
      </w:r>
    </w:p>
    <w:p w14:paraId="000000DB">
      <w:pPr>
        <w:pStyle w:val="Heading1"/>
        <w:spacing w:after="200"/>
        <w:ind w:right="0"/>
        <w:rPr>
          <w:rFonts w:cs="Times New Roman"/>
        </w:rPr>
      </w:pPr>
      <w:bookmarkStart w:id="19" w:name="_Toc19"/>
      <w:r>
        <w:rPr>
          <w:rFonts w:cs="Times New Roman"/>
        </w:rPr>
        <w:t>2. Маркетинг</w:t>
      </w:r>
      <w:bookmarkEnd w:id="19"/>
    </w:p>
    <w:p w14:paraId="000000DC">
      <w:pPr>
        <w:pStyle w:val="Heading2"/>
        <w:spacing w:after="200"/>
        <w:ind w:left="0" w:firstLine="567"/>
        <w:rPr/>
      </w:pPr>
      <w:bookmarkStart w:id="20" w:name="_Toc20"/>
      <w:r>
        <w:t>2.1. Рынок Сервиса</w:t>
      </w:r>
      <w:bookmarkEnd w:id="20"/>
    </w:p>
    <w:p w14:paraId="000000DD">
      <w:pPr>
        <w:pStyle w:val="Heading2"/>
        <w:spacing w:after="440"/>
        <w:ind w:left="0" w:firstLine="1134"/>
        <w:rPr>
          <w:sz w:val="24"/>
          <w:szCs w:val="24"/>
        </w:rPr>
      </w:pPr>
      <w:bookmarkStart w:id="21" w:name="_Toc21"/>
      <w:r>
        <w:rPr>
          <w:sz w:val="24"/>
          <w:szCs w:val="24"/>
        </w:rPr>
        <w:t>2.1.1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Прогноз объема рынка</w:t>
      </w:r>
      <w:bookmarkEnd w:id="21"/>
    </w:p>
    <w:p w14:paraId="000000DE">
      <w:pPr>
        <w:pStyle w:val="Normal"/>
        <w:rPr/>
      </w:pPr>
      <w:r>
        <w:rPr>
          <w:lang w:val="ru-RU"/>
        </w:rPr>
        <w:t xml:space="preserve">Спрогнозируем объём рынка. В </w:t>
      </w:r>
      <w:r>
        <w:rPr>
          <w:lang w:val="en-US"/>
        </w:rPr>
        <w:t xml:space="preserve">PAM </w:t>
      </w:r>
      <w:r>
        <w:rPr>
          <w:lang w:val="ru-RU"/>
        </w:rPr>
        <w:t xml:space="preserve">включим всех россиян, занимающихся видами спорта, требующими крупногабаритной экипировки. По данным Министерства спорта РФ за 2024 год, количество занимающихся хоккеем с шайбой составляет 702 370 человек, хоккеем с мячом - 51 863, фехтованием - 85 896, регби - 66 992 [1]. Суммарно получается 907 121 человек. Так как перечислены только самые популярные виды спорта с крупногабаритной экипировкой, округлим значение </w:t>
      </w:r>
      <w:r>
        <w:rPr>
          <w:lang w:val="en-US"/>
        </w:rPr>
        <w:t xml:space="preserve">PAM </w:t>
      </w:r>
      <w:r>
        <w:rPr>
          <w:lang w:val="ru-RU"/>
        </w:rPr>
        <w:t>до 1 000 000 человек.</w:t>
      </w:r>
    </w:p>
    <w:p w14:paraId="000000DF">
      <w:pPr>
        <w:pStyle w:val="Normal"/>
        <w:rPr/>
      </w:pPr>
      <w:r>
        <w:rPr>
          <w:lang w:val="ru-RU"/>
        </w:rPr>
        <w:t xml:space="preserve">Чтобы </w:t>
      </w:r>
      <w:r>
        <w:rPr>
          <w:lang w:val="ru-RU"/>
        </w:rPr>
        <w:t>вычислить</w:t>
      </w:r>
      <w:r>
        <w:rPr>
          <w:lang w:val="ru-RU"/>
        </w:rPr>
        <w:t xml:space="preserve"> </w:t>
      </w:r>
      <w:r>
        <w:rPr>
          <w:lang w:val="en-US"/>
        </w:rPr>
        <w:t xml:space="preserve">TAM, </w:t>
      </w:r>
      <w:r>
        <w:rPr>
          <w:lang w:val="ru-RU"/>
        </w:rPr>
        <w:t xml:space="preserve">посчитаем количество городского населения, занимающегося видами спорта с крупногабаритной экипировкой, так как именно в городах планируется размещать отделения СпортЯчейки. По данным Росстата, доля городского населения составляет около 75% [2]. Умножив количество </w:t>
      </w:r>
      <w:r>
        <w:rPr>
          <w:lang w:val="ru-RU"/>
        </w:rPr>
        <w:t>людей</w:t>
      </w:r>
      <w:r>
        <w:rPr>
          <w:lang w:val="ru-RU"/>
        </w:rPr>
        <w:t>, занимающихся видами спорта, требующими крупногабаритной экипировки, на 0,75, получаем ТАМ, равный 750 000 человек.</w:t>
      </w:r>
    </w:p>
    <w:p w14:paraId="000000E0">
      <w:pPr>
        <w:pStyle w:val="Normal"/>
        <w:rPr/>
      </w:pPr>
      <w:r>
        <w:rPr>
          <w:lang w:val="ru-RU"/>
        </w:rPr>
        <w:t xml:space="preserve">Под </w:t>
      </w:r>
      <w:r>
        <w:rPr>
          <w:lang w:val="en-US"/>
        </w:rPr>
        <w:t xml:space="preserve">SAM </w:t>
      </w:r>
      <w:r>
        <w:rPr>
          <w:lang w:val="ru-RU"/>
        </w:rPr>
        <w:t xml:space="preserve">будем считать сегмент, готовый платить за услуги хранения. По данным исследования </w:t>
      </w:r>
      <w:r>
        <w:rPr>
          <w:lang w:val="en-US"/>
        </w:rPr>
        <w:t xml:space="preserve">Tiburon Research </w:t>
      </w:r>
      <w:r>
        <w:rPr>
          <w:lang w:val="ru-RU"/>
        </w:rPr>
        <w:t xml:space="preserve">и Фитмост, более 40% россиян ежемесячно тратят на занятия спортом до 5 тысяч рублей, а ещё 25% - от 5 до 10 тысяч рублей [3]. Для расчётов возьмём значение в 25%. Тогда </w:t>
      </w:r>
      <w:r>
        <w:rPr>
          <w:lang w:val="en-US"/>
        </w:rPr>
        <w:t xml:space="preserve">SAM </w:t>
      </w:r>
      <w:r>
        <w:rPr>
          <w:lang w:val="ru-RU"/>
        </w:rPr>
        <w:t>равен 750 000 * 0,25 = 187 500 человек.</w:t>
      </w:r>
    </w:p>
    <w:p w14:paraId="000000E1">
      <w:pPr>
        <w:pStyle w:val="Normal"/>
        <w:rPr/>
      </w:pPr>
      <w:r>
        <w:rPr>
          <w:lang w:val="ru-RU"/>
        </w:rPr>
        <w:t xml:space="preserve">При открытии сервиса в одном городе достижимой целью за год будем считать 1% от </w:t>
      </w:r>
      <w:r>
        <w:rPr>
          <w:lang w:val="en-US"/>
        </w:rPr>
        <w:t xml:space="preserve">SAM, </w:t>
      </w:r>
      <w:r>
        <w:rPr>
          <w:lang w:val="ru-RU"/>
        </w:rPr>
        <w:t>то есть 1 875 пользователей.</w:t>
      </w:r>
    </w:p>
    <w:p w14:paraId="000000E2">
      <w:pPr>
        <w:pStyle w:val="Heading2"/>
        <w:spacing w:before="440" w:after="200"/>
        <w:ind w:left="0" w:firstLine="1134"/>
        <w:rPr>
          <w:sz w:val="24"/>
          <w:szCs w:val="24"/>
        </w:rPr>
      </w:pPr>
      <w:bookmarkStart w:id="22" w:name="_Toc22"/>
      <w:r>
        <w:rPr>
          <w:sz w:val="24"/>
          <w:szCs w:val="24"/>
        </w:rPr>
        <w:t>2.1.2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Ситуационный анализ</w:t>
      </w:r>
      <w:bookmarkEnd w:id="22"/>
    </w:p>
    <w:p w14:paraId="000000E3">
      <w:pPr>
        <w:pStyle w:val="Normal"/>
        <w:spacing w:after="440"/>
        <w:ind w:firstLine="1701"/>
        <w:rPr>
          <w:b/>
          <w:bCs/>
        </w:rPr>
      </w:pPr>
      <w:bookmarkStart w:id="23" w:name="_Toc23"/>
      <w:r>
        <w:rPr>
          <w:b/>
          <w:bCs/>
        </w:rPr>
        <w:t>2.1.2.1</w:t>
      </w:r>
      <w:r>
        <w:rPr>
          <w:b/>
          <w:bCs/>
          <w:lang w:val="ru-RU"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Оценка потенциала спроса</w:t>
      </w:r>
      <w:bookmarkEnd w:id="23"/>
    </w:p>
    <w:p w14:paraId="000000E4">
      <w:pPr>
        <w:pStyle w:val="Normal"/>
        <w:numPr>
          <w:ilvl w:val="0"/>
          <w:numId w:val="5"/>
        </w:numPr>
        <w:rPr/>
      </w:pPr>
      <w:r>
        <w:t xml:space="preserve">Размер целевой аудитории (чел.): </w:t>
      </w:r>
      <w:r>
        <w:rPr>
          <w:lang w:val="ru-RU"/>
        </w:rPr>
        <w:t>1</w:t>
      </w:r>
      <w:r>
        <w:t xml:space="preserve"> млн (хоккей с шайбой: 702 370, хоккей с мячом: 51 863, фехтование: 85 896</w:t>
      </w:r>
      <w:r>
        <w:rPr>
          <w:lang w:val="ru-RU"/>
        </w:rPr>
        <w:t>,</w:t>
      </w:r>
      <w:r>
        <w:t xml:space="preserve"> регби: 66 992</w:t>
      </w:r>
      <w:r>
        <w:rPr>
          <w:lang w:val="ru-RU"/>
        </w:rPr>
        <w:t xml:space="preserve">, другие виды спорта с крупногабаритной экипировкой: </w:t>
      </w:r>
      <w:r>
        <w:t>~</w:t>
      </w:r>
      <w:r>
        <w:rPr>
          <w:lang w:val="ru-RU"/>
        </w:rPr>
        <w:t>100 000 человек).</w:t>
      </w:r>
    </w:p>
    <w:p w14:paraId="000000E5">
      <w:pPr>
        <w:pStyle w:val="Normal"/>
        <w:numPr>
          <w:ilvl w:val="0"/>
          <w:numId w:val="5"/>
        </w:numPr>
        <w:rPr>
          <w:strike w:val="off"/>
          <w:dstrike w:val="off"/>
        </w:rPr>
      </w:pPr>
      <w:r>
        <w:rPr>
          <w:strike w:val="off"/>
          <w:dstrike w:val="off"/>
        </w:rPr>
        <w:t>Проникновение сервиса: на основе анализа рынка и отсутствия прямых конкурентов, уровень проникновения = (</w:t>
      </w:r>
      <w:r>
        <w:rPr>
          <w:strike w:val="off"/>
          <w:dstrike w:val="off"/>
          <w:lang w:val="ru-RU"/>
        </w:rPr>
        <w:t>1 875</w:t>
      </w:r>
      <w:r>
        <w:rPr>
          <w:strike w:val="off"/>
          <w:dstrike w:val="off"/>
        </w:rPr>
        <w:t xml:space="preserve"> / </w:t>
      </w:r>
      <w:r>
        <w:rPr>
          <w:strike w:val="off"/>
          <w:dstrike w:val="off"/>
          <w:lang w:val="ru-RU"/>
        </w:rPr>
        <w:t>1 00</w:t>
      </w:r>
      <w:r>
        <w:rPr>
          <w:strike w:val="off"/>
          <w:dstrike w:val="off"/>
        </w:rPr>
        <w:t xml:space="preserve">0 000) </w:t>
      </w:r>
      <w:r>
        <w:rPr>
          <w:strike w:val="off"/>
          <w:dstrike w:val="off"/>
        </w:rPr>
        <w:t xml:space="preserve">× 100 = </w:t>
      </w:r>
      <w:r>
        <w:rPr>
          <w:strike w:val="off"/>
          <w:dstrike w:val="off"/>
          <w:lang w:val="ru-RU"/>
        </w:rPr>
        <w:t>0,1875</w:t>
      </w:r>
      <w:r>
        <w:rPr>
          <w:strike w:val="off"/>
          <w:dstrike w:val="off"/>
        </w:rPr>
        <w:t>% для перв</w:t>
      </w:r>
      <w:r>
        <w:rPr>
          <w:strike w:val="off"/>
          <w:dstrike w:val="off"/>
          <w:lang w:val="ru-RU"/>
        </w:rPr>
        <w:t>ого года работы</w:t>
      </w:r>
      <w:r>
        <w:rPr>
          <w:strike w:val="off"/>
          <w:dstrike w:val="off"/>
        </w:rPr>
        <w:t xml:space="preserve"> сервиса.</w:t>
      </w:r>
    </w:p>
    <w:p w14:paraId="000000E6">
      <w:pPr>
        <w:pStyle w:val="Normal"/>
        <w:numPr>
          <w:ilvl w:val="0"/>
          <w:numId w:val="5"/>
        </w:numPr>
        <w:rPr/>
      </w:pPr>
      <w:r>
        <w:rPr>
          <w:lang w:val="ru-RU"/>
        </w:rPr>
        <w:t xml:space="preserve">По данным ВЦИОМ 54% россиян занимаются спортом не реже 1-3 раз в месяц [4]. Для расчётов возьмём значение, равное </w:t>
      </w:r>
      <w:r>
        <w:rPr>
          <w:lang w:val="ru-RU"/>
        </w:rPr>
        <w:t>двум</w:t>
      </w:r>
      <w:r>
        <w:rPr>
          <w:lang w:val="ru-RU"/>
        </w:rPr>
        <w:t>, как среднее интервальное. Ожидаемое количество постоянных пользователей в первый год работы сервиса - 1 875 человек. Соответственно частота использования составит 3750 использований в месяц.</w:t>
      </w:r>
    </w:p>
    <w:p w14:paraId="000000E7">
      <w:pPr>
        <w:pStyle w:val="Normal"/>
        <w:spacing w:before="440" w:after="440"/>
        <w:ind w:firstLine="1701"/>
        <w:rPr>
          <w:b/>
          <w:bCs/>
        </w:rPr>
      </w:pPr>
      <w:r>
        <w:rPr>
          <w:b/>
          <w:bCs/>
        </w:rPr>
        <w:t>2.1.2.2</w:t>
      </w:r>
      <w:r>
        <w:rPr>
          <w:b/>
          <w:bCs/>
          <w:lang w:val="ru-RU"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Оценка потенциала продаж</w:t>
      </w:r>
    </w:p>
    <w:p w14:paraId="000000E8">
      <w:pPr>
        <w:pStyle w:val="Normal"/>
        <w:numPr>
          <w:ilvl w:val="0"/>
          <w:numId w:val="6"/>
        </w:numPr>
        <w:rPr/>
      </w:pPr>
      <w:r>
        <w:rPr>
          <w:u w:val="none"/>
        </w:rPr>
        <w:t>Ёмкость</w:t>
      </w:r>
      <w:r>
        <w:rPr>
          <w:u w:val="none"/>
        </w:rPr>
        <w:t xml:space="preserve"> сегмента:</w:t>
      </w:r>
      <w:r>
        <w:t xml:space="preserve"> </w:t>
      </w:r>
      <w:r>
        <w:rPr>
          <w:lang w:val="ru-RU"/>
        </w:rPr>
        <w:t>1</w:t>
      </w:r>
      <w:r>
        <w:t xml:space="preserve"> × 0,</w:t>
      </w:r>
      <w:r>
        <w:rPr>
          <w:lang w:val="ru-RU"/>
        </w:rPr>
        <w:t>001875</w:t>
      </w:r>
      <w:r>
        <w:t xml:space="preserve"> = </w:t>
      </w:r>
      <w:r>
        <w:rPr>
          <w:lang w:val="ru-RU"/>
        </w:rPr>
        <w:t>1 875</w:t>
      </w:r>
      <w:r>
        <w:t xml:space="preserve"> человек</w:t>
      </w:r>
    </w:p>
    <w:p w14:paraId="000000E9">
      <w:pPr>
        <w:pStyle w:val="Normal"/>
        <w:numPr>
          <w:ilvl w:val="0"/>
          <w:numId w:val="6"/>
        </w:numPr>
        <w:rPr/>
      </w:pPr>
      <w:r>
        <w:rPr>
          <w:u w:val="none"/>
        </w:rPr>
        <w:t>Темп роста</w:t>
      </w:r>
      <w:r>
        <w:rPr>
          <w:u w:val="none"/>
        </w:rPr>
        <w:t xml:space="preserve">: </w:t>
      </w:r>
      <w:r>
        <w:rPr>
          <w:lang w:val="ru-RU"/>
        </w:rPr>
        <w:t xml:space="preserve">по данным сервиса </w:t>
      </w:r>
      <w:r>
        <w:rPr>
          <w:lang w:val="en-US"/>
        </w:rPr>
        <w:t>YCLIENTS,</w:t>
      </w:r>
      <w:r>
        <w:rPr>
          <w:u w:val="none"/>
        </w:rPr>
        <w:t xml:space="preserve"> </w:t>
      </w:r>
      <w:r>
        <w:rPr>
          <w:u w:val="none"/>
          <w:lang w:val="ru-RU"/>
        </w:rPr>
        <w:t>в среднем выручка в спортивной индустрии за первую половину 2025 года увеличилась на 21,1%</w:t>
      </w:r>
      <w:r>
        <w:rPr>
          <w:lang w:val="en-US"/>
        </w:rPr>
        <w:t xml:space="preserve"> [5].</w:t>
      </w:r>
    </w:p>
    <w:p w14:paraId="000000EA">
      <w:pPr>
        <w:pStyle w:val="Normal"/>
        <w:numPr>
          <w:ilvl w:val="0"/>
          <w:numId w:val="6"/>
        </w:numPr>
        <w:rPr>
          <w:u w:val="none"/>
        </w:rPr>
      </w:pPr>
      <w:r>
        <w:rPr>
          <w:u w:val="none"/>
        </w:rPr>
        <w:t>Доходность сегмента</w:t>
      </w:r>
      <w:r>
        <w:rPr>
          <w:u w:val="none"/>
        </w:rPr>
        <w:t>:</w:t>
      </w:r>
    </w:p>
    <w:p w14:paraId="000000EB">
      <w:pPr>
        <w:pStyle w:val="Normal"/>
        <w:ind w:right="0"/>
        <w:rPr/>
      </w:pPr>
      <w:r>
        <w:rPr>
          <w:u w:val="none"/>
          <w:lang w:val="ru-RU"/>
        </w:rPr>
        <w:t>Средний чек равен 1500 рублей, ожидаемая частота использования сервиса составляет 3750 использований в месяц. Таким образом, доход сервиса в месяц составит 1500 * 3750 = 5 625 000 рублей.</w:t>
      </w:r>
    </w:p>
    <w:p w14:paraId="000000EC">
      <w:pPr>
        <w:pStyle w:val="Normal"/>
        <w:spacing w:before="440" w:after="440"/>
        <w:ind w:firstLine="1701"/>
        <w:rPr>
          <w:b/>
          <w:bCs/>
        </w:rPr>
      </w:pPr>
      <w:bookmarkStart w:id="24" w:name="_Toc24"/>
      <w:r>
        <w:rPr>
          <w:b/>
          <w:bCs/>
        </w:rPr>
        <w:t>2.1.2.3</w:t>
      </w:r>
      <w:r>
        <w:rPr>
          <w:b/>
          <w:bCs/>
          <w:lang w:val="ru-RU"/>
        </w:rPr>
        <w:t>.</w:t>
      </w:r>
      <w:r>
        <w:rPr>
          <w:b/>
          <w:bCs/>
        </w:rPr>
        <w:t xml:space="preserve"> Оценка условий конкуренции</w:t>
      </w:r>
      <w:bookmarkEnd w:id="24"/>
    </w:p>
    <w:p w14:paraId="000000ED">
      <w:pPr>
        <w:pStyle w:val="Normal"/>
        <w:rPr>
          <w:lang w:val="ru-RU"/>
        </w:rPr>
      </w:pPr>
      <w:r>
        <w:rPr>
          <w:lang w:val="ru-RU"/>
        </w:rPr>
        <w:t>Рассмотрим конкурентов в таблице 3.</w:t>
      </w:r>
    </w:p>
    <w:tbl>
      <w:tblPr>
        <w:tblStyle w:val="TableGridLight"/>
        <w:tblW w:w="8232" w:type="dxa"/>
        <w:jc w:val="center"/>
        <w:tblInd w:w="0" w:type="dxa"/>
        <w:tblLayout w:type="fixed"/>
        <w:tblLook w:val="0420"/>
      </w:tblPr>
      <w:tblGrid>
        <w:gridCol w:w="2139"/>
        <w:gridCol w:w="1501"/>
        <w:gridCol w:w="2817"/>
        <w:gridCol w:w="1775"/>
      </w:tblGrid>
      <w:tr>
        <w:trPr>
          <w:cnfStyle w:val="100000000000"/>
        </w:trPr>
        <w:tc>
          <w:tcPr>
            <w:cnfStyle w:val="100000000000"/>
            <w:tcW w:w="2139" w:type="dxa"/>
          </w:tcPr>
          <w:p w14:paraId="000000EE">
            <w:pPr>
              <w:ind w:firstLine="0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Свойства</w:t>
            </w:r>
          </w:p>
        </w:tc>
        <w:tc>
          <w:tcPr>
            <w:cnfStyle w:val="100000000000"/>
            <w:tcW w:w="1501" w:type="dxa"/>
          </w:tcPr>
          <w:p w14:paraId="000000EF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  <w:lang w:val="ru-RU"/>
              </w:rPr>
              <w:t>СпортЯчейка</w:t>
            </w:r>
          </w:p>
        </w:tc>
        <w:tc>
          <w:tcPr>
            <w:cnfStyle w:val="100000000000"/>
            <w:tcW w:w="2817" w:type="dxa"/>
          </w:tcPr>
          <w:p w14:paraId="000000F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  <w:lang w:val="ru-RU"/>
              </w:rPr>
              <w:t>Склады индивидуального хранения</w:t>
            </w:r>
          </w:p>
        </w:tc>
        <w:tc>
          <w:tcPr>
            <w:cnfStyle w:val="100000000000"/>
            <w:tcW w:w="1775" w:type="dxa"/>
          </w:tcPr>
          <w:p w14:paraId="000000F1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Камеры хранения</w:t>
            </w:r>
          </w:p>
        </w:tc>
      </w:tr>
      <w:tr>
        <w:trPr>
          <w:cnfStyle w:val="000000100000"/>
        </w:trPr>
        <w:tc>
          <w:tcPr>
            <w:cnfStyle w:val="000000100000"/>
            <w:tcW w:w="2139" w:type="dxa"/>
          </w:tcPr>
          <w:p w14:paraId="000000F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Хранение</w:t>
            </w:r>
          </w:p>
        </w:tc>
        <w:tc>
          <w:tcPr>
            <w:cnfStyle w:val="000000100000"/>
            <w:tcW w:w="1501" w:type="dxa"/>
          </w:tcPr>
          <w:p w14:paraId="000000F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+</w:t>
            </w:r>
          </w:p>
        </w:tc>
        <w:tc>
          <w:tcPr>
            <w:cnfStyle w:val="000000100000"/>
            <w:tcW w:w="2817" w:type="dxa"/>
          </w:tcPr>
          <w:p w14:paraId="000000F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+</w:t>
            </w:r>
          </w:p>
        </w:tc>
        <w:tc>
          <w:tcPr>
            <w:cnfStyle w:val="000000100000"/>
            <w:tcW w:w="1775" w:type="dxa"/>
          </w:tcPr>
          <w:p w14:paraId="000000F5">
            <w:pPr>
              <w:ind w:firstLine="0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+</w:t>
            </w:r>
          </w:p>
        </w:tc>
      </w:tr>
      <w:tr>
        <w:trPr>
          <w:cnfStyle w:val="000000010000"/>
          <w:trHeight w:val="171"/>
        </w:trPr>
        <w:tc>
          <w:tcPr>
            <w:cnfStyle w:val="000000010000"/>
            <w:tcW w:w="2139" w:type="dxa"/>
          </w:tcPr>
          <w:p w14:paraId="000000F6">
            <w:pPr>
              <w:ind w:firstLine="0"/>
              <w:rPr>
                <w:rFonts w:cs="Times New Roman"/>
              </w:rPr>
            </w:pPr>
            <w:r>
              <w:rPr>
                <w:rFonts w:cs="Times New Roman" w:eastAsia="Times New Roman"/>
                <w:lang w:val="ru-RU"/>
              </w:rPr>
              <w:t>Доставка</w:t>
            </w:r>
          </w:p>
        </w:tc>
        <w:tc>
          <w:tcPr>
            <w:cnfStyle w:val="000000010000"/>
            <w:tcW w:w="1501" w:type="dxa"/>
            <w:vAlign w:val="center"/>
          </w:tcPr>
          <w:p w14:paraId="000000F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+</w:t>
            </w:r>
          </w:p>
        </w:tc>
        <w:tc>
          <w:tcPr>
            <w:cnfStyle w:val="000000010000"/>
            <w:tcW w:w="2817" w:type="dxa"/>
            <w:vAlign w:val="center"/>
          </w:tcPr>
          <w:p w14:paraId="000000F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+</w:t>
            </w:r>
          </w:p>
        </w:tc>
        <w:tc>
          <w:tcPr>
            <w:cnfStyle w:val="000000010000"/>
            <w:tcW w:w="1775" w:type="dxa"/>
            <w:vAlign w:val="center"/>
          </w:tcPr>
          <w:p w14:paraId="000000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-</w:t>
            </w:r>
          </w:p>
        </w:tc>
      </w:tr>
      <w:tr>
        <w:trPr>
          <w:cnfStyle w:val="000000100000"/>
        </w:trPr>
        <w:tc>
          <w:tcPr>
            <w:cnfStyle w:val="000000100000"/>
            <w:tcW w:w="2139" w:type="dxa"/>
          </w:tcPr>
          <w:p w14:paraId="000000FA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Сотрудничество с мастерскими</w:t>
            </w:r>
          </w:p>
        </w:tc>
        <w:tc>
          <w:tcPr>
            <w:cnfStyle w:val="000000100000"/>
            <w:tcW w:w="1501" w:type="dxa"/>
            <w:vAlign w:val="center"/>
          </w:tcPr>
          <w:p w14:paraId="000000F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+</w:t>
            </w:r>
          </w:p>
        </w:tc>
        <w:tc>
          <w:tcPr>
            <w:cnfStyle w:val="000000100000"/>
            <w:tcW w:w="2817" w:type="dxa"/>
            <w:vAlign w:val="center"/>
          </w:tcPr>
          <w:p w14:paraId="000000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-</w:t>
            </w:r>
          </w:p>
        </w:tc>
        <w:tc>
          <w:tcPr>
            <w:cnfStyle w:val="000000100000"/>
            <w:tcW w:w="1775" w:type="dxa"/>
            <w:vAlign w:val="center"/>
          </w:tcPr>
          <w:p w14:paraId="000000FD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-</w:t>
            </w:r>
          </w:p>
        </w:tc>
      </w:tr>
      <w:tr>
        <w:trPr>
          <w:cnfStyle w:val="000000010000"/>
          <w:trHeight w:val="540" w:hRule="atLeast"/>
        </w:trPr>
        <w:tc>
          <w:tcPr>
            <w:cnfStyle w:val="000000010000"/>
            <w:tcW w:w="2139" w:type="dxa"/>
          </w:tcPr>
          <w:p w14:paraId="000000FE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Сотрудничество с химчистками</w:t>
            </w:r>
          </w:p>
        </w:tc>
        <w:tc>
          <w:tcPr>
            <w:cnfStyle w:val="000000010000"/>
            <w:tcW w:w="1501" w:type="dxa"/>
            <w:vAlign w:val="center"/>
          </w:tcPr>
          <w:p w14:paraId="000000FF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+</w:t>
            </w:r>
          </w:p>
        </w:tc>
        <w:tc>
          <w:tcPr>
            <w:cnfStyle w:val="000000010000"/>
            <w:tcW w:w="2817" w:type="dxa"/>
            <w:vAlign w:val="center"/>
          </w:tcPr>
          <w:p w14:paraId="000001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-</w:t>
            </w:r>
          </w:p>
        </w:tc>
        <w:tc>
          <w:tcPr>
            <w:cnfStyle w:val="000000010000"/>
            <w:tcW w:w="1775" w:type="dxa"/>
            <w:vAlign w:val="center"/>
          </w:tcPr>
          <w:p w14:paraId="00000101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 w:eastAsia="Times New Roman"/>
              </w:rPr>
              <w:t>-</w:t>
            </w:r>
          </w:p>
        </w:tc>
      </w:tr>
    </w:tbl>
    <w:p w14:paraId="00000102">
      <w:pPr>
        <w:pStyle w:val="Normal"/>
        <w:ind w:left="0" w:firstLine="0"/>
        <w:rPr>
          <w:lang w:val="ru-RU"/>
        </w:rPr>
      </w:pPr>
    </w:p>
    <w:p w14:paraId="00000103">
      <w:pPr>
        <w:pStyle w:val="Normal"/>
        <w:numPr>
          <w:ilvl w:val="0"/>
          <w:numId w:val="7"/>
        </w:numPr>
        <w:rPr/>
      </w:pPr>
      <w:r>
        <w:rPr>
          <w:lang w:val="ru-RU"/>
        </w:rPr>
        <w:t>Присутствие сервисов заменителей: прямых конкурентов, направленных на помощь в занятии спортом, на рынке нет. Среди косвенных конкурентов можно выделить склады индивидуального хранения и камеры хранения.</w:t>
      </w:r>
    </w:p>
    <w:p w14:paraId="00000104">
      <w:pPr>
        <w:pStyle w:val="Normal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Количество игроков: в городах можно найти камеры хранения на вокзале, а также несколько складов индивидуального хранения. Есть несколько крупных игроков, имеющих склады в нескольких городах:</w:t>
      </w:r>
    </w:p>
    <w:p w14:paraId="00000105">
      <w:pPr>
        <w:pStyle w:val="Normal"/>
        <w:numPr>
          <w:ilvl w:val="0"/>
          <w:numId w:val="8"/>
        </w:numPr>
        <w:rPr/>
      </w:pPr>
      <w:r>
        <w:rPr>
          <w:lang w:val="en-US"/>
        </w:rPr>
        <w:t xml:space="preserve">AP Trade </w:t>
      </w:r>
      <w:r>
        <w:rPr>
          <w:lang w:val="ru-RU"/>
        </w:rPr>
        <w:t>имеет более 50 складов по России и предлагает логистические услуги для широкого перечня товаров [6].</w:t>
      </w:r>
    </w:p>
    <w:p w14:paraId="00000106">
      <w:pPr>
        <w:pStyle w:val="Normal"/>
        <w:numPr>
          <w:ilvl w:val="0"/>
          <w:numId w:val="8"/>
        </w:numPr>
        <w:rPr/>
      </w:pPr>
      <w:r>
        <w:rPr>
          <w:lang w:val="ru-RU"/>
        </w:rPr>
        <w:t>Мобиус имеет склады в Москве, Казани и Санкт-Петербурге [7].</w:t>
      </w:r>
    </w:p>
    <w:p w14:paraId="00000107">
      <w:pPr>
        <w:pStyle w:val="Normal"/>
        <w:numPr>
          <w:ilvl w:val="0"/>
          <w:numId w:val="7"/>
        </w:numPr>
        <w:rPr/>
      </w:pPr>
      <w:r>
        <w:rPr>
          <w:lang w:val="ru-RU"/>
        </w:rPr>
        <w:t xml:space="preserve">Разнообразие ассортимента: </w:t>
      </w:r>
      <w:r>
        <w:rPr>
          <w:lang w:val="en-US"/>
        </w:rPr>
        <w:t xml:space="preserve">AP Trade </w:t>
      </w:r>
      <w:r>
        <w:rPr>
          <w:lang w:val="ru-RU"/>
        </w:rPr>
        <w:t xml:space="preserve">и Мобиус предоставляют отапливаемые помещения, в Мобиус для хранения используют контейнеры разных размеров, в </w:t>
      </w:r>
      <w:r>
        <w:rPr>
          <w:lang w:val="en-US"/>
        </w:rPr>
        <w:t xml:space="preserve">AP Trade </w:t>
      </w:r>
      <w:r>
        <w:rPr>
          <w:lang w:val="ru-RU"/>
        </w:rPr>
        <w:t>предлагают паллетную обработку, что менее удобно для спортивной формы, либо хранение в коробках. Никаких дополнительных услуг, связанных с уходом за формой, компании не предоставляют.</w:t>
      </w:r>
    </w:p>
    <w:p w14:paraId="00000108">
      <w:pPr>
        <w:pStyle w:val="Normal"/>
        <w:numPr>
          <w:ilvl w:val="0"/>
          <w:numId w:val="7"/>
        </w:numPr>
        <w:rPr/>
      </w:pPr>
      <w:r>
        <w:rPr>
          <w:lang w:val="ru-RU"/>
        </w:rPr>
        <w:t xml:space="preserve">Возможности повышения цен: хранение в коробке в течение месяца в </w:t>
      </w:r>
      <w:r>
        <w:rPr>
          <w:lang w:val="en-US"/>
        </w:rPr>
        <w:t xml:space="preserve">AP Trade </w:t>
      </w:r>
      <w:r>
        <w:rPr>
          <w:lang w:val="ru-RU"/>
        </w:rPr>
        <w:t>будет стоить порядка 1000 рублей, хранение в контейнере на отапливаемом складе в течение месяца в Мобиус будет стоить порядка 4000 рублей.</w:t>
      </w:r>
    </w:p>
    <w:p w14:paraId="00000109">
      <w:pPr>
        <w:pStyle w:val="Normal"/>
        <w:numPr>
          <w:ilvl w:val="0"/>
          <w:numId w:val="7"/>
        </w:numPr>
        <w:rPr/>
      </w:pPr>
      <w:r>
        <w:rPr>
          <w:lang w:val="ru-RU"/>
        </w:rPr>
        <w:t>Монополизированность каналов сбыта: каналы сбыта для сервиса СпортЯчейка не монополизированы.</w:t>
      </w:r>
    </w:p>
    <w:p w14:paraId="0000010A">
      <w:pPr>
        <w:pStyle w:val="Heading2"/>
        <w:spacing w:before="440" w:after="200"/>
        <w:ind w:left="0" w:firstLine="567"/>
        <w:rPr/>
      </w:pPr>
      <w:bookmarkStart w:id="25" w:name="_Toc25"/>
      <w:r>
        <w:t>2.2</w:t>
      </w:r>
      <w:r>
        <w:rPr>
          <w:lang w:val="ru-RU"/>
        </w:rPr>
        <w:t>.</w:t>
      </w:r>
      <w:r>
        <w:t xml:space="preserve"> Анализ потребителей</w:t>
      </w:r>
      <w:bookmarkEnd w:id="25"/>
    </w:p>
    <w:p w14:paraId="0000010B">
      <w:pPr>
        <w:pStyle w:val="Heading2"/>
        <w:spacing w:after="440"/>
        <w:ind w:left="0" w:firstLine="1134"/>
        <w:rPr>
          <w:sz w:val="24"/>
          <w:szCs w:val="24"/>
        </w:rPr>
      </w:pPr>
      <w:bookmarkStart w:id="26" w:name="_Toc26"/>
      <w:r>
        <w:rPr>
          <w:sz w:val="24"/>
          <w:szCs w:val="24"/>
        </w:rPr>
        <w:t>2.2.1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Определение целевой аудитории</w:t>
      </w:r>
      <w:bookmarkEnd w:id="26"/>
    </w:p>
    <w:p w14:paraId="0000010C">
      <w:pPr>
        <w:pStyle w:val="Normal"/>
        <w:rPr/>
      </w:pPr>
      <w:r>
        <w:rPr>
          <w:lang w:val="ru-RU"/>
        </w:rPr>
        <w:t>Портрет потребителя:</w:t>
      </w:r>
    </w:p>
    <w:p w14:paraId="0000010D">
      <w:pPr>
        <w:pStyle w:val="Normal"/>
        <w:numPr>
          <w:ilvl w:val="0"/>
          <w:numId w:val="9"/>
        </w:numPr>
        <w:rPr/>
      </w:pPr>
      <w:r>
        <w:rPr>
          <w:lang w:val="ru-RU"/>
        </w:rPr>
        <w:t>Демографический: преимущественно мужской пол в возрасте 18-45 лет, преимущественно неженатые/не замужем.</w:t>
      </w:r>
    </w:p>
    <w:p w14:paraId="0000010E">
      <w:pPr>
        <w:pStyle w:val="Normal"/>
        <w:numPr>
          <w:ilvl w:val="0"/>
          <w:numId w:val="9"/>
        </w:numPr>
        <w:rPr/>
      </w:pPr>
      <w:r>
        <w:rPr>
          <w:lang w:val="ru-RU"/>
        </w:rPr>
        <w:t>Географический: страна - Россия, города - миллионники.</w:t>
      </w:r>
    </w:p>
    <w:p w14:paraId="0000010F">
      <w:pPr>
        <w:pStyle w:val="Normal"/>
        <w:numPr>
          <w:ilvl w:val="0"/>
          <w:numId w:val="9"/>
        </w:numPr>
        <w:rPr/>
      </w:pPr>
      <w:r>
        <w:rPr>
          <w:lang w:val="ru-RU"/>
        </w:rPr>
        <w:t>Экономический: офисные сотрудники, предприниматели, студенты старших курсов. Уровень дохода: от 50 000 рублей в месяц и выше. Материальное положение: наличие собственной дорогостоящей спортивной экипировки.</w:t>
      </w:r>
    </w:p>
    <w:p w14:paraId="00000110">
      <w:pPr>
        <w:pStyle w:val="Normal"/>
        <w:numPr>
          <w:ilvl w:val="0"/>
          <w:numId w:val="9"/>
        </w:numPr>
        <w:rPr/>
      </w:pPr>
      <w:r>
        <w:rPr>
          <w:lang w:val="ru-RU"/>
        </w:rPr>
        <w:t>Социальный: есть хобби в виде занятий спортом, а именно хоккеем, фехтованием, регби или другими видами спорта с крупногабаритной экипировкой. Социальный статус: средний и выше среднего класс.</w:t>
      </w:r>
    </w:p>
    <w:p w14:paraId="00000111">
      <w:pPr>
        <w:pStyle w:val="Normal"/>
        <w:numPr>
          <w:ilvl w:val="0"/>
          <w:numId w:val="9"/>
        </w:numPr>
        <w:rPr/>
      </w:pPr>
      <w:r>
        <w:rPr>
          <w:lang w:val="ru-RU"/>
        </w:rPr>
        <w:t>Психологический: целеустремлённые, дисциплинированные, ценящие своё время люди. Придерживаются таких ценностей, как здоровый образ жизни, профессиональное развитие, комфорт и удобство в повседневной жизни. Стремятся к регулярным тренировкам без бытовых препятствий.</w:t>
      </w:r>
    </w:p>
    <w:p w14:paraId="00000112">
      <w:pPr>
        <w:pStyle w:val="Normal"/>
        <w:numPr>
          <w:ilvl w:val="0"/>
          <w:numId w:val="9"/>
        </w:numPr>
        <w:rPr/>
      </w:pPr>
      <w:r>
        <w:rPr>
          <w:lang w:val="ru-RU"/>
        </w:rPr>
        <w:t>Поведенческий: регулярно тренируются после работы/учёбы, готовы платить за удобство и экономию времени.</w:t>
      </w:r>
    </w:p>
    <w:p w14:paraId="00000113">
      <w:pPr>
        <w:pStyle w:val="Heading2"/>
        <w:spacing w:before="440" w:after="200"/>
        <w:ind w:left="0" w:firstLine="567"/>
        <w:rPr>
          <w:lang w:val="en-US"/>
        </w:rPr>
      </w:pPr>
      <w:bookmarkStart w:id="27" w:name="_Toc27"/>
      <w:r>
        <w:t xml:space="preserve">2.3. </w:t>
      </w:r>
      <w:r>
        <w:rPr>
          <w:lang w:val="en-US"/>
        </w:rPr>
        <w:t>Customer Development</w:t>
      </w:r>
      <w:bookmarkEnd w:id="27"/>
    </w:p>
    <w:p w14:paraId="00000114">
      <w:pPr>
        <w:pStyle w:val="Heading2"/>
        <w:ind w:left="0" w:firstLine="1134"/>
        <w:rPr>
          <w:sz w:val="24"/>
          <w:szCs w:val="24"/>
        </w:rPr>
      </w:pPr>
      <w:bookmarkStart w:id="28" w:name="_Toc28"/>
      <w:r>
        <w:rPr>
          <w:sz w:val="24"/>
          <w:szCs w:val="24"/>
        </w:rPr>
        <w:t>2.3.1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Формирование гипотез для поиска целевой аудитории</w:t>
      </w:r>
      <w:bookmarkEnd w:id="28"/>
    </w:p>
    <w:p w14:paraId="00000115">
      <w:pPr>
        <w:pStyle w:val="Heading2"/>
        <w:ind w:left="0" w:firstLine="1134"/>
        <w:rPr>
          <w:sz w:val="24"/>
          <w:szCs w:val="24"/>
        </w:rPr>
      </w:pPr>
      <w:bookmarkStart w:id="29" w:name="_Toc29"/>
      <w:r>
        <w:rPr>
          <w:sz w:val="24"/>
          <w:szCs w:val="24"/>
        </w:rPr>
        <w:t>2.3.2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Составление опроса</w:t>
      </w:r>
      <w:bookmarkEnd w:id="29"/>
    </w:p>
    <w:p w14:paraId="00000116">
      <w:pPr>
        <w:pStyle w:val="Heading2"/>
        <w:ind w:left="0" w:firstLine="1134"/>
        <w:rPr>
          <w:sz w:val="24"/>
          <w:szCs w:val="24"/>
        </w:rPr>
      </w:pPr>
      <w:bookmarkStart w:id="30" w:name="_Toc30"/>
      <w:r>
        <w:rPr>
          <w:sz w:val="24"/>
          <w:szCs w:val="24"/>
        </w:rPr>
        <w:t>2.3.3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Вывод по результатам исследования</w:t>
      </w:r>
      <w:bookmarkEnd w:id="30"/>
    </w:p>
    <w:p w14:paraId="00000117">
      <w:pPr>
        <w:pStyle w:val="Heading2"/>
        <w:ind w:left="0" w:firstLine="567"/>
        <w:rPr/>
      </w:pPr>
      <w:bookmarkStart w:id="31" w:name="_Toc31"/>
      <w:r>
        <w:t>2.4</w:t>
      </w:r>
      <w:r>
        <w:rPr>
          <w:lang w:val="ru-RU"/>
        </w:rPr>
        <w:t>.</w:t>
      </w:r>
      <w:r>
        <w:t xml:space="preserve"> Разработка продуктовой стратегии</w:t>
      </w:r>
      <w:bookmarkEnd w:id="31"/>
    </w:p>
    <w:p w14:paraId="00000118">
      <w:pPr>
        <w:pStyle w:val="Heading2"/>
        <w:ind w:left="0" w:firstLine="1134"/>
        <w:rPr>
          <w:sz w:val="24"/>
          <w:szCs w:val="24"/>
        </w:rPr>
      </w:pPr>
      <w:bookmarkStart w:id="32" w:name="_Toc32"/>
      <w:r>
        <w:rPr>
          <w:sz w:val="24"/>
          <w:szCs w:val="24"/>
        </w:rPr>
        <w:t>2.4.1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SWOT-</w:t>
      </w:r>
      <w:r>
        <w:rPr>
          <w:sz w:val="24"/>
          <w:szCs w:val="24"/>
        </w:rPr>
        <w:t>анализ</w:t>
      </w:r>
      <w:bookmarkEnd w:id="32"/>
    </w:p>
    <w:p w14:paraId="00000119">
      <w:pPr>
        <w:pStyle w:val="Heading2"/>
        <w:ind w:left="0" w:firstLine="1134"/>
        <w:rPr>
          <w:sz w:val="24"/>
          <w:szCs w:val="24"/>
        </w:rPr>
      </w:pPr>
      <w:bookmarkStart w:id="33" w:name="_Toc33"/>
      <w:r>
        <w:rPr>
          <w:sz w:val="24"/>
          <w:szCs w:val="24"/>
        </w:rPr>
        <w:t>2.4.</w:t>
      </w:r>
      <w:r>
        <w:rPr>
          <w:sz w:val="24"/>
          <w:szCs w:val="24"/>
        </w:rPr>
        <w:t>2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Методика </w:t>
      </w:r>
      <w:r>
        <w:rPr>
          <w:sz w:val="24"/>
          <w:szCs w:val="24"/>
          <w:lang w:val="en-US"/>
        </w:rPr>
        <w:t>STP</w:t>
      </w:r>
      <w:r>
        <w:rPr>
          <w:sz w:val="24"/>
          <w:szCs w:val="24"/>
        </w:rPr>
        <w:t xml:space="preserve"> – сегментация</w:t>
      </w:r>
      <w:bookmarkEnd w:id="33"/>
      <w:r>
        <w:rPr>
          <w:sz w:val="24"/>
          <w:szCs w:val="24"/>
        </w:rPr>
        <w:t xml:space="preserve"> </w:t>
      </w:r>
    </w:p>
    <w:p w14:paraId="0000011A">
      <w:pPr>
        <w:pStyle w:val="Heading2"/>
        <w:ind w:left="0" w:firstLine="1134"/>
        <w:rPr>
          <w:sz w:val="24"/>
          <w:szCs w:val="24"/>
        </w:rPr>
      </w:pPr>
      <w:bookmarkStart w:id="34" w:name="_Toc34"/>
      <w:r>
        <w:rPr>
          <w:sz w:val="24"/>
          <w:szCs w:val="24"/>
        </w:rPr>
        <w:t>2.4.</w:t>
      </w:r>
      <w:r>
        <w:rPr>
          <w:sz w:val="24"/>
          <w:szCs w:val="24"/>
        </w:rPr>
        <w:t>3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Методика </w:t>
      </w:r>
      <w:r>
        <w:rPr>
          <w:sz w:val="24"/>
          <w:szCs w:val="24"/>
          <w:lang w:val="en-US"/>
        </w:rPr>
        <w:t>STP</w:t>
      </w:r>
      <w:r>
        <w:rPr>
          <w:sz w:val="24"/>
          <w:szCs w:val="24"/>
        </w:rPr>
        <w:t xml:space="preserve"> – позиционирование</w:t>
      </w:r>
      <w:bookmarkEnd w:id="34"/>
    </w:p>
    <w:p w14:paraId="0000011B">
      <w:pPr>
        <w:pStyle w:val="Heading2"/>
        <w:ind w:left="0" w:firstLine="567"/>
        <w:rPr/>
      </w:pPr>
      <w:bookmarkStart w:id="35" w:name="_Toc35"/>
      <w:r>
        <w:t>2.5</w:t>
      </w:r>
      <w:r>
        <w:rPr>
          <w:lang w:val="ru-RU"/>
        </w:rPr>
        <w:t>.</w:t>
      </w:r>
      <w:r>
        <w:t xml:space="preserve"> Формирование основы расчета</w:t>
      </w:r>
      <w:bookmarkEnd w:id="35"/>
    </w:p>
    <w:p w14:paraId="0000011C">
      <w:pPr>
        <w:pStyle w:val="Heading2"/>
        <w:ind w:left="0" w:firstLine="1134"/>
        <w:rPr>
          <w:sz w:val="24"/>
          <w:szCs w:val="24"/>
        </w:rPr>
      </w:pPr>
      <w:bookmarkStart w:id="36" w:name="_Toc36"/>
      <w:r>
        <w:rPr>
          <w:sz w:val="24"/>
          <w:szCs w:val="24"/>
        </w:rPr>
        <w:t>2.5.1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Маркетинг Микс</w:t>
      </w:r>
      <w:bookmarkEnd w:id="36"/>
    </w:p>
    <w:p w14:paraId="0000011D">
      <w:pPr>
        <w:pStyle w:val="Normal"/>
        <w:ind w:firstLine="1701"/>
        <w:rPr>
          <w:b/>
          <w:bCs/>
        </w:rPr>
      </w:pPr>
      <w:bookmarkStart w:id="37" w:name="_Toc37"/>
      <w:r>
        <w:rPr>
          <w:b/>
          <w:bCs/>
        </w:rPr>
        <w:t>2.5.1.1</w:t>
      </w:r>
      <w:r>
        <w:rPr>
          <w:b/>
          <w:bCs/>
          <w:lang w:val="ru-RU"/>
        </w:rPr>
        <w:t>.</w:t>
      </w:r>
      <w:r>
        <w:rPr>
          <w:b/>
          <w:bCs/>
        </w:rPr>
        <w:t xml:space="preserve"> Маркетинг Микс – </w:t>
      </w:r>
      <w:r>
        <w:rPr>
          <w:b/>
          <w:bCs/>
          <w:lang w:val="en-US"/>
        </w:rPr>
        <w:t>Product</w:t>
      </w:r>
      <w:bookmarkEnd w:id="37"/>
    </w:p>
    <w:p w14:paraId="0000011E">
      <w:pPr>
        <w:pStyle w:val="Normal"/>
        <w:ind w:firstLine="1701"/>
        <w:rPr>
          <w:b/>
          <w:bCs/>
        </w:rPr>
      </w:pPr>
      <w:bookmarkStart w:id="38" w:name="_Toc38"/>
      <w:r>
        <w:rPr>
          <w:b/>
          <w:bCs/>
        </w:rPr>
        <w:t>2.5.1.2</w:t>
      </w:r>
      <w:r>
        <w:rPr>
          <w:b/>
          <w:bCs/>
          <w:lang w:val="ru-RU"/>
        </w:rPr>
        <w:t>.</w:t>
      </w:r>
      <w:r>
        <w:rPr>
          <w:b/>
          <w:bCs/>
        </w:rPr>
        <w:t xml:space="preserve"> Маркетинг Микс – </w:t>
      </w:r>
      <w:r>
        <w:rPr>
          <w:b/>
          <w:bCs/>
          <w:lang w:val="en-US"/>
        </w:rPr>
        <w:t>Price</w:t>
      </w:r>
      <w:bookmarkEnd w:id="38"/>
    </w:p>
    <w:p w14:paraId="0000011F">
      <w:pPr>
        <w:pStyle w:val="Normal"/>
        <w:ind w:firstLine="1701"/>
        <w:rPr>
          <w:b/>
          <w:bCs/>
        </w:rPr>
      </w:pPr>
      <w:bookmarkStart w:id="39" w:name="_Toc39"/>
      <w:r>
        <w:rPr>
          <w:b/>
          <w:bCs/>
          <w:lang w:val="en-US"/>
        </w:rPr>
        <w:t xml:space="preserve">2.5.1.3. </w:t>
      </w:r>
      <w:r>
        <w:rPr>
          <w:b/>
          <w:bCs/>
        </w:rPr>
        <w:t xml:space="preserve">Маркетинг Микс – </w:t>
      </w:r>
      <w:r>
        <w:rPr>
          <w:b/>
          <w:bCs/>
          <w:lang w:val="en-US"/>
        </w:rPr>
        <w:t>Place</w:t>
      </w:r>
      <w:bookmarkEnd w:id="39"/>
    </w:p>
    <w:p w14:paraId="00000120">
      <w:pPr>
        <w:pStyle w:val="Normal"/>
        <w:ind w:firstLine="1701"/>
        <w:rPr>
          <w:b/>
          <w:bCs/>
        </w:rPr>
      </w:pPr>
      <w:bookmarkStart w:id="40" w:name="_Toc40"/>
      <w:r>
        <w:rPr>
          <w:b/>
          <w:bCs/>
        </w:rPr>
        <w:t>2.5.1.4</w:t>
      </w:r>
      <w:r>
        <w:rPr>
          <w:b/>
          <w:bCs/>
          <w:lang w:val="ru-RU"/>
        </w:rPr>
        <w:t>.</w:t>
      </w:r>
      <w:r>
        <w:rPr>
          <w:b/>
          <w:bCs/>
        </w:rPr>
        <w:t xml:space="preserve"> Маркетинг Микс – </w:t>
      </w:r>
      <w:r>
        <w:rPr>
          <w:b/>
          <w:bCs/>
          <w:lang w:val="en-US"/>
        </w:rPr>
        <w:t>Promotion</w:t>
      </w:r>
      <w:bookmarkEnd w:id="40"/>
    </w:p>
    <w:p w14:paraId="00000121">
      <w:pPr>
        <w:pStyle w:val="Heading2"/>
        <w:ind w:left="0" w:firstLine="1134"/>
        <w:rPr>
          <w:sz w:val="24"/>
          <w:szCs w:val="24"/>
        </w:rPr>
      </w:pPr>
      <w:bookmarkStart w:id="41" w:name="_Toc41"/>
      <w:r>
        <w:rPr>
          <w:sz w:val="24"/>
          <w:szCs w:val="24"/>
        </w:rPr>
        <w:t>2.5.2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 xml:space="preserve"> Lean Canvas</w:t>
      </w:r>
      <w:bookmarkEnd w:id="41"/>
    </w:p>
    <w:p w14:paraId="00000122">
      <w:pPr>
        <w:pStyle w:val="Heading1"/>
        <w:rPr/>
      </w:pPr>
      <w:r>
        <w:rPr/>
        <w:br w:type="page"/>
      </w:r>
    </w:p>
    <w:p w14:paraId="00000123">
      <w:pPr>
        <w:pStyle w:val="Heading1"/>
        <w:spacing w:after="200"/>
        <w:rPr/>
      </w:pPr>
      <w:bookmarkStart w:id="42" w:name="_Toc42"/>
      <w:r>
        <w:t>3. Экономическая составляющая сервиса</w:t>
      </w:r>
      <w:bookmarkEnd w:id="42"/>
      <w:r>
        <w:t xml:space="preserve"> </w:t>
      </w:r>
    </w:p>
    <w:p w14:paraId="00000124">
      <w:pPr>
        <w:pStyle w:val="Heading2"/>
        <w:ind w:left="0" w:firstLine="567"/>
        <w:rPr/>
      </w:pPr>
      <w:bookmarkStart w:id="43" w:name="_Toc43"/>
      <w:r>
        <w:t>3.1</w:t>
      </w:r>
      <w:r>
        <w:rPr>
          <w:lang w:val="ru-RU"/>
        </w:rPr>
        <w:t>.</w:t>
      </w:r>
      <w:r>
        <w:t xml:space="preserve"> Расчет ставки дисконтирования, доходов, расходов</w:t>
      </w:r>
      <w:bookmarkEnd w:id="43"/>
    </w:p>
    <w:p w14:paraId="00000125">
      <w:pPr>
        <w:pStyle w:val="Heading2"/>
        <w:ind w:left="0" w:firstLine="1134"/>
        <w:rPr>
          <w:sz w:val="24"/>
          <w:szCs w:val="24"/>
        </w:rPr>
      </w:pPr>
      <w:bookmarkStart w:id="44" w:name="_Toc44"/>
      <w:r>
        <w:rPr>
          <w:sz w:val="24"/>
          <w:szCs w:val="24"/>
        </w:rPr>
        <w:t>3.1.1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Расчет ставки дисконтирования</w:t>
      </w:r>
      <w:bookmarkEnd w:id="44"/>
    </w:p>
    <w:p w14:paraId="00000126">
      <w:pPr>
        <w:pStyle w:val="Heading2"/>
        <w:ind w:left="0" w:firstLine="1134"/>
        <w:rPr>
          <w:sz w:val="24"/>
          <w:szCs w:val="24"/>
        </w:rPr>
      </w:pPr>
      <w:bookmarkStart w:id="45" w:name="_Toc45"/>
      <w:r>
        <w:rPr>
          <w:sz w:val="24"/>
          <w:szCs w:val="24"/>
        </w:rPr>
        <w:t>3.1.</w:t>
      </w:r>
      <w:r>
        <w:rPr>
          <w:sz w:val="24"/>
          <w:szCs w:val="24"/>
        </w:rPr>
        <w:t>2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Выбор режима налогообложения</w:t>
      </w:r>
      <w:bookmarkEnd w:id="45"/>
    </w:p>
    <w:p w14:paraId="00000127">
      <w:pPr>
        <w:pStyle w:val="Heading2"/>
        <w:ind w:left="0" w:firstLine="1134"/>
        <w:rPr/>
      </w:pPr>
      <w:bookmarkStart w:id="46" w:name="_Toc46"/>
      <w:r>
        <w:rPr>
          <w:sz w:val="24"/>
          <w:szCs w:val="24"/>
        </w:rPr>
        <w:t>3.1.</w:t>
      </w:r>
      <w:r>
        <w:rPr>
          <w:sz w:val="24"/>
          <w:szCs w:val="24"/>
        </w:rPr>
        <w:t>3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Расчет свободного денежного потока</w:t>
      </w:r>
      <w:bookmarkEnd w:id="46"/>
    </w:p>
    <w:p w14:paraId="00000128">
      <w:pPr>
        <w:pStyle w:val="Heading2"/>
        <w:ind w:left="0" w:firstLine="567"/>
        <w:rPr/>
      </w:pPr>
      <w:bookmarkStart w:id="47" w:name="_Toc47"/>
      <w:r>
        <w:t>3.2. Построение финансовой модели</w:t>
      </w:r>
      <w:bookmarkEnd w:id="47"/>
    </w:p>
    <w:p w14:paraId="00000129">
      <w:pPr>
        <w:pStyle w:val="Heading2"/>
        <w:ind w:left="0" w:firstLine="1134"/>
        <w:rPr>
          <w:sz w:val="24"/>
          <w:szCs w:val="24"/>
        </w:rPr>
      </w:pPr>
      <w:bookmarkStart w:id="48" w:name="_Toc48"/>
      <w:r>
        <w:rPr>
          <w:sz w:val="24"/>
          <w:szCs w:val="24"/>
        </w:rPr>
        <w:t>3.2.1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Определение предпосылок</w:t>
      </w:r>
      <w:bookmarkEnd w:id="48"/>
    </w:p>
    <w:p w14:paraId="0000012A">
      <w:pPr>
        <w:pStyle w:val="Heading2"/>
        <w:ind w:left="0" w:firstLine="567"/>
        <w:rPr/>
      </w:pPr>
      <w:bookmarkStart w:id="49" w:name="_Toc49"/>
      <w:r>
        <w:t xml:space="preserve">3.3. Формирование денежных потоков в </w:t>
      </w:r>
      <w:r>
        <w:rPr>
          <w:lang w:val="en-US"/>
        </w:rPr>
        <w:t>Excel</w:t>
      </w:r>
      <w:bookmarkEnd w:id="49"/>
    </w:p>
    <w:p w14:paraId="0000012B">
      <w:pPr>
        <w:pStyle w:val="Heading2"/>
        <w:ind w:left="0" w:firstLine="1134"/>
        <w:rPr>
          <w:sz w:val="24"/>
          <w:szCs w:val="24"/>
        </w:rPr>
      </w:pPr>
      <w:bookmarkStart w:id="50" w:name="_Toc50"/>
      <w:r>
        <w:rPr>
          <w:sz w:val="24"/>
          <w:szCs w:val="24"/>
        </w:rPr>
        <w:t>3.3.1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Расчет показателей экономической эффективности проекта</w:t>
      </w:r>
      <w:bookmarkEnd w:id="50"/>
    </w:p>
    <w:p w14:paraId="0000012C">
      <w:pPr>
        <w:pStyle w:val="Heading2"/>
        <w:ind w:left="0" w:firstLine="1134"/>
        <w:rPr>
          <w:sz w:val="24"/>
          <w:szCs w:val="24"/>
        </w:rPr>
      </w:pPr>
      <w:bookmarkStart w:id="51" w:name="_Toc51"/>
      <w:r>
        <w:rPr>
          <w:sz w:val="24"/>
          <w:szCs w:val="24"/>
        </w:rPr>
        <w:t>3.3.2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Расчет Юнит - экономики проекта</w:t>
      </w:r>
      <w:bookmarkEnd w:id="51"/>
    </w:p>
    <w:p w14:paraId="0000012D">
      <w:pPr>
        <w:pStyle w:val="Heading2"/>
        <w:ind w:left="0" w:firstLine="1134"/>
        <w:rPr>
          <w:sz w:val="24"/>
          <w:szCs w:val="24"/>
        </w:rPr>
      </w:pPr>
      <w:bookmarkStart w:id="52" w:name="_Toc52"/>
      <w:r>
        <w:rPr>
          <w:sz w:val="24"/>
          <w:szCs w:val="24"/>
        </w:rPr>
        <w:t>3.3.</w:t>
      </w:r>
      <w:r>
        <w:rPr>
          <w:sz w:val="24"/>
          <w:szCs w:val="24"/>
        </w:rPr>
        <w:t>3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Анализ рисков проекта</w:t>
      </w:r>
      <w:bookmarkEnd w:id="52"/>
    </w:p>
    <w:p w14:paraId="0000012E">
      <w:pPr>
        <w:pStyle w:val="Heading2"/>
        <w:ind w:left="0" w:firstLine="1134"/>
        <w:rPr>
          <w:sz w:val="24"/>
          <w:szCs w:val="24"/>
        </w:rPr>
      </w:pPr>
      <w:bookmarkStart w:id="53" w:name="_Toc53"/>
      <w:r>
        <w:rPr>
          <w:sz w:val="24"/>
          <w:szCs w:val="24"/>
        </w:rPr>
        <w:t>3.3.</w:t>
      </w:r>
      <w:r>
        <w:rPr>
          <w:sz w:val="24"/>
          <w:szCs w:val="24"/>
        </w:rPr>
        <w:t>4</w:t>
      </w:r>
      <w:r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 xml:space="preserve"> Аналитическая записка</w:t>
      </w:r>
      <w:bookmarkEnd w:id="53"/>
    </w:p>
    <w:p w14:paraId="0000012F">
      <w:pPr>
        <w:pStyle w:val="Heading1"/>
        <w:rPr>
          <w:lang w:val="en-US"/>
        </w:rPr>
      </w:pPr>
      <w:r>
        <w:rPr>
          <w:lang w:val="en-US"/>
        </w:rPr>
        <w:br w:type="page"/>
      </w:r>
    </w:p>
    <w:p w14:paraId="00000130">
      <w:pPr>
        <w:pStyle w:val="Heading1"/>
        <w:spacing w:after="200"/>
        <w:rPr/>
      </w:pPr>
      <w:bookmarkStart w:id="54" w:name="_Toc54"/>
      <w:r>
        <w:rPr>
          <w:lang w:val="en-US"/>
        </w:rPr>
        <w:t>4</w:t>
      </w:r>
      <w:r>
        <w:t>. Спецификации</w:t>
      </w:r>
      <w:bookmarkEnd w:id="54"/>
    </w:p>
    <w:p w14:paraId="00000131">
      <w:pPr>
        <w:pStyle w:val="Heading2"/>
        <w:spacing w:after="440"/>
        <w:ind w:left="0" w:firstLine="567"/>
        <w:rPr/>
      </w:pPr>
      <w:bookmarkStart w:id="55" w:name="_Toc55"/>
      <w:r>
        <w:t>4.1. Требования к пошаговой обработке информационных потоков</w:t>
      </w:r>
      <w:bookmarkEnd w:id="55"/>
    </w:p>
    <w:p w14:paraId="00000132">
      <w:pPr>
        <w:pStyle w:val="Normal"/>
        <w:spacing w:after="440"/>
        <w:ind w:left="0" w:firstLine="0"/>
        <w:rPr/>
      </w:pPr>
    </w:p>
    <w:p w14:paraId="00000133">
      <w:pPr>
        <w:pStyle w:val="Heading2"/>
        <w:spacing w:after="440"/>
        <w:ind w:left="0" w:firstLine="567"/>
        <w:rPr/>
      </w:pPr>
      <w:bookmarkStart w:id="56" w:name="_Toc56"/>
      <w:r>
        <w:t>4.2</w:t>
      </w:r>
      <w:r>
        <w:rPr>
          <w:lang w:val="ru-RU"/>
        </w:rPr>
        <w:t>.</w:t>
      </w:r>
      <w:r>
        <w:t xml:space="preserve"> Сводный перечень </w:t>
      </w:r>
      <w:r>
        <w:t>элементов бизнес-данных</w:t>
      </w:r>
      <w:bookmarkEnd w:id="56"/>
    </w:p>
    <w:p w14:paraId="00000134">
      <w:pPr>
        <w:pStyle w:val="Heading2"/>
        <w:spacing w:after="440"/>
        <w:ind w:left="0" w:firstLine="567"/>
        <w:rPr/>
      </w:pPr>
      <w:bookmarkStart w:id="57" w:name="_Toc57"/>
    </w:p>
    <w:p w14:paraId="00000135">
      <w:pPr>
        <w:pStyle w:val="Heading2"/>
        <w:spacing w:after="440"/>
        <w:ind w:left="0" w:firstLine="567"/>
        <w:rPr/>
      </w:pPr>
      <w:bookmarkStart w:id="58" w:name="_Toc62"/>
      <w:r>
        <w:t>4.</w:t>
      </w:r>
      <w:r>
        <w:t>3</w:t>
      </w:r>
      <w:r>
        <w:rPr>
          <w:lang w:val="ru-RU"/>
        </w:rPr>
        <w:t>.</w:t>
      </w:r>
      <w:r>
        <w:t xml:space="preserve"> </w:t>
      </w:r>
      <w:r>
        <w:t>Справочник элементов бизнес-данных</w:t>
      </w:r>
      <w:bookmarkEnd w:id="57"/>
      <w:bookmarkEnd w:id="58"/>
    </w:p>
    <w:p w14:paraId="00000136">
      <w:pPr>
        <w:pStyle w:val="Heading2"/>
        <w:spacing w:after="440"/>
        <w:ind w:left="0" w:firstLine="567"/>
        <w:rPr/>
      </w:pPr>
      <w:bookmarkStart w:id="59" w:name="_Toc58"/>
    </w:p>
    <w:p w14:paraId="00000137">
      <w:pPr>
        <w:pStyle w:val="Heading2"/>
        <w:spacing w:after="440"/>
        <w:ind w:left="0" w:firstLine="567"/>
        <w:rPr/>
      </w:pPr>
      <w:bookmarkStart w:id="60" w:name="_Toc63"/>
      <w:r>
        <w:t>4.</w:t>
      </w:r>
      <w:r>
        <w:t>4</w:t>
      </w:r>
      <w:r>
        <w:rPr>
          <w:lang w:val="ru-RU"/>
        </w:rPr>
        <w:t>.</w:t>
      </w:r>
      <w:r>
        <w:t xml:space="preserve"> Правила применения элементов бизнес-данных в сообщениях</w:t>
      </w:r>
      <w:bookmarkEnd w:id="59"/>
      <w:bookmarkEnd w:id="60"/>
      <w:r>
        <w:t xml:space="preserve"> </w:t>
      </w:r>
    </w:p>
    <w:p w14:paraId="00000138">
      <w:pPr>
        <w:pStyle w:val="Heading1"/>
        <w:rPr/>
      </w:pPr>
      <w:r>
        <w:rPr/>
        <w:br w:type="page"/>
      </w:r>
    </w:p>
    <w:p w14:paraId="00000139">
      <w:pPr>
        <w:pStyle w:val="Heading1"/>
        <w:rPr/>
      </w:pPr>
      <w:bookmarkStart w:id="61" w:name="_Toc59"/>
      <w:r>
        <w:t>5. Заключение</w:t>
      </w:r>
      <w:bookmarkEnd w:id="61"/>
    </w:p>
    <w:p w14:paraId="0000013A">
      <w:pPr>
        <w:pStyle w:val="Heading1"/>
        <w:rPr/>
      </w:pPr>
      <w:r>
        <w:rPr/>
        <w:br w:type="page"/>
      </w:r>
    </w:p>
    <w:p w14:paraId="0000013B">
      <w:pPr>
        <w:pStyle w:val="Heading1"/>
        <w:spacing w:after="440"/>
        <w:rPr/>
      </w:pPr>
      <w:bookmarkStart w:id="62" w:name="_Toc60"/>
      <w:r>
        <w:t xml:space="preserve">Список </w:t>
      </w:r>
      <w:r>
        <w:t>использованных источников</w:t>
      </w:r>
      <w:bookmarkEnd w:id="62"/>
    </w:p>
    <w:p w14:paraId="0000013C">
      <w:r>
        <w:rPr>
          <w:lang w:val="en-US"/>
        </w:rPr>
        <w:t>1.https://storage.minsport.gov.ru/cms-uploads/cms/Svodnyj_otchet_1_FK_po_Rossijskoj_Federaczii_c59f937566.xlsx</w:t>
      </w:r>
    </w:p>
    <w:p w14:paraId="0000013D">
      <w:r>
        <w:rPr>
          <w:lang w:val="ru-RU"/>
        </w:rPr>
        <w:t xml:space="preserve">2. </w:t>
      </w: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"https://showdata.rosstat.gov.ru/report/278932/"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https://showdata.rosstat.gov.ru/report/278932/</w:t>
      </w:r>
      <w:r>
        <w:fldChar w:fldCharType="end"/>
      </w:r>
    </w:p>
    <w:p w14:paraId="0000013E">
      <w:r>
        <w:rPr>
          <w:lang w:val="ru-RU"/>
        </w:rPr>
        <w:t xml:space="preserve">3. </w:t>
      </w: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"https://www.m24.ru/news/sport/07052025/794572"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https://www.m24.ru/news/sport/07052025/794572</w:t>
      </w:r>
      <w:r>
        <w:fldChar w:fldCharType="end"/>
      </w:r>
    </w:p>
    <w:p w14:paraId="0000013F">
      <w:r>
        <w:rPr>
          <w:lang w:val="ru-RU"/>
        </w:rPr>
        <w:t xml:space="preserve">4. </w:t>
      </w: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"https://wciom.ru/analytical-reviews/analiticheskii-obzor/sport-dlja-vsekh"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https://wciom.ru/analytical-reviews/analiticheskii-obzor/sport-dlja-vsekh</w:t>
      </w:r>
      <w:r>
        <w:fldChar w:fldCharType="end"/>
      </w:r>
    </w:p>
    <w:p w14:paraId="00000140">
      <w:r>
        <w:rPr>
          <w:lang w:val="ru-RU"/>
        </w:rPr>
        <w:t xml:space="preserve">5. </w:t>
      </w: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"https://rg.ru/2025/08/25/tennis-i-stretching-stali-drajverami-rosta-fitnes-industrii-v-rossii.html"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https://rg.ru/2025/08/25/tennis-i-stretching-stali-drajverami-rosta-fitnes-industrii-v-rossii.html</w:t>
      </w:r>
      <w:r>
        <w:fldChar w:fldCharType="end"/>
      </w:r>
    </w:p>
    <w:p w14:paraId="00000141">
      <w:r>
        <w:rPr>
          <w:lang w:val="ru-RU"/>
        </w:rPr>
        <w:t>6. https://ap-logistics.ru/ru/warehouse</w:t>
      </w:r>
    </w:p>
    <w:p w14:paraId="00000142">
      <w:r>
        <w:rPr>
          <w:lang w:val="ru-RU"/>
        </w:rPr>
        <w:t>7. https://www.mobius-sklad.ru/</w:t>
      </w:r>
    </w:p>
    <w:p w14:paraId="00000143"/>
    <w:p w14:paraId="00000144">
      <w:pPr>
        <w:pStyle w:val="Normal"/>
        <w:rPr/>
      </w:pPr>
    </w:p>
    <w:sectPr>
      <w:headerReference w:type="default" r:id="rId18"/>
      <w:headerReference w:type="first" r:id="rId19"/>
      <w:footerReference w:type="default" r:id="rId20"/>
      <w:footerReference w:type="first" r:id="rId21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Arial Narrow"/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47">
    <w:pPr>
      <w:spacing w:after="0" w:line="240" w:lineRule="auto"/>
      <w:ind w:left="0" w:firstLine="0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148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49">
    <w:pPr>
      <w:pStyle w:val="Normal"/>
      <w:tabs>
        <w:tab w:val="left" w:leader="none" w:pos="4182"/>
      </w:tabs>
      <w:ind w:left="0" w:firstLine="0"/>
      <w:jc w:val="center"/>
      <w:rPr>
        <w:b/>
        <w:bCs/>
      </w:rPr>
    </w:pPr>
    <w:r>
      <w:rPr>
        <w:b/>
        <w:bCs/>
        <w:sz w:val="28"/>
        <w:szCs w:val="28"/>
        <w:lang w:val="ru-RU"/>
      </w:rPr>
      <w:t>Москва - 2026</w:t>
    </w: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45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46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b w:val="off"/>
        <w:bCs w:val="off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  <w:pPr>
      <w:spacing w:after="0"/>
      <w:ind w:firstLine="709"/>
      <w:jc w:val="both"/>
    </w:pPr>
    <w:rPr>
      <w:rFonts w:ascii="Arial Narrow" w:hAnsi="Arial Narro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after="0"/>
      <w:ind w:firstLine="0"/>
      <w:jc w:val="center"/>
    </w:pPr>
    <w:rPr>
      <w:rFonts w:ascii="Arial Narrow" w:cstheme="majorBidi" w:eastAsiaTheme="majorEastAsia" w:hAnsi="Arial Narrow"/>
      <w:b/>
      <w:bCs/>
      <w:color w:val="000000" w:themeColor="dk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after="0"/>
      <w:ind w:left="567" w:hanging="567"/>
    </w:pPr>
    <w:rPr>
      <w:rFonts w:ascii="Arial Narrow" w:cstheme="majorBidi" w:eastAsiaTheme="majorEastAsia" w:hAnsi="Arial Narrow"/>
      <w:b/>
      <w:bCs/>
      <w:color w:val="000000" w:themeColor="dk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styleId="Heading1Char">
    <w:name w:val="Heading 1 Char"/>
    <w:basedOn w:val="Normal"/>
    <w:link w:val="Heading1"/>
    <w:uiPriority w:val="9"/>
    <w:qFormat w:val="on"/>
    <w:rPr>
      <w:rFonts w:ascii="Arial Narrow" w:cstheme="majorBidi" w:eastAsiaTheme="majorEastAsia" w:hAnsi="Arial Narrow"/>
      <w:b/>
      <w:bCs/>
      <w:color w:val="000000" w:themeColor="dk1"/>
      <w:sz w:val="32"/>
      <w:szCs w:val="32"/>
    </w:rPr>
  </w:style>
  <w:style w:type="character" w:styleId="Heading2Char">
    <w:name w:val="Heading 2 Char"/>
    <w:basedOn w:val="Normal"/>
    <w:link w:val="Heading2"/>
    <w:uiPriority w:val="9"/>
    <w:unhideWhenUsed w:val="on"/>
    <w:qFormat w:val="on"/>
    <w:rPr>
      <w:rFonts w:ascii="Arial Narrow" w:cstheme="majorBidi" w:eastAsiaTheme="majorEastAsia" w:hAnsi="Arial Narrow"/>
      <w:b/>
      <w:bCs/>
      <w:color w:val="000000" w:themeColor="dk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  <w:style w:type="paragraph" w:customStyle="1" w:styleId="_Текст_таблицы">
    <w:name w:val="_Текст_таблицы"/>
    <w:basedOn w:val="Normal"/>
    <w:uiPriority w:val="99"/>
    <w:qFormat w:val="on"/>
    <w:pPr>
      <w:spacing w:after="0" w:line="240" w:lineRule="auto"/>
    </w:pPr>
    <w:rPr>
      <w:rFonts w:ascii="Arial Narrow" w:cs="Times New Roman" w:hAnsi="Arial Narrow"/>
      <w:szCs w:val="20"/>
    </w:rPr>
  </w:style>
  <w:style w:type="paragraph" w:customStyle="1" w:styleId="_Основной">
    <w:name w:val="_Основной"/>
    <w:basedOn w:val="Normal"/>
    <w:link w:val="_ОсновнойЗнак"/>
    <w:uiPriority w:val="99"/>
    <w:qFormat w:val="on"/>
    <w:pPr>
      <w:spacing w:after="240" w:line="276" w:lineRule="auto"/>
      <w:ind w:firstLine="709"/>
      <w:jc w:val="both"/>
    </w:pPr>
    <w:rPr>
      <w:rFonts w:cs="Times New Roman"/>
      <w:sz w:val="24"/>
    </w:rPr>
  </w:style>
  <w:style w:type="character" w:customStyle="1" w:styleId="_ОсновнойЗнак">
    <w:name w:val="_Основной Знак"/>
    <w:basedOn w:val="DefaultParagraphFont"/>
    <w:link w:val="_Основной"/>
    <w:uiPriority w:val="99"/>
    <w:rPr>
      <w:rFonts w:ascii="Times New Roman" w:cs="Times New Roman" w:hAnsi="Times New Roman"/>
      <w:sz w:val="24"/>
    </w:rPr>
  </w:style>
  <w:style w:type="table" w:styleId="TableGrid">
    <w:name w:val="Table Grid"/>
    <w:basedOn w:val="NormalTable"/>
    <w:uiPriority w:val="59"/>
    <w:qFormat w:val="on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Light">
    <w:name w:val="Table Grid Light"/>
    <w:basedOn w:val="NormalTable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" Type="http://schemas.openxmlformats.org/officeDocument/2006/relationships/fontTable" Target="fontTable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ИМ-271 Владислав Вахаренко</dc:creator>
  <cp:lastModifiedBy>ИМ-271 Владислав Вахаренко</cp:lastModifiedBy>
</cp:coreProperties>
</file>