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spacing w:after="120" w:line="264" w:lineRule="auto"/>
        <w:contextualSpacing w:val="0"/>
        <w:jc w:val="both"/>
        <w:rPr>
          <w:rFonts w:ascii="Arial" w:cs="Arial" w:eastAsia="Arial" w:hAnsi="Arial"/>
          <w:b w:val="1"/>
          <w:i w:val="1"/>
          <w:u w:val="single"/>
        </w:rPr>
      </w:pPr>
      <w:r w:rsidDel="00000000" w:rsidR="00000000" w:rsidRPr="00000000">
        <w:rPr>
          <w:rFonts w:ascii="Arial" w:cs="Arial" w:eastAsia="Arial" w:hAnsi="Arial"/>
          <w:b w:val="1"/>
          <w:i w:val="1"/>
          <w:u w:val="single"/>
          <w:rtl w:val="0"/>
        </w:rPr>
        <w:t xml:space="preserve">Гибкое КАСКО</w:t>
      </w:r>
    </w:p>
    <w:p w:rsidR="00000000" w:rsidDel="00000000" w:rsidP="00000000" w:rsidRDefault="00000000" w:rsidRPr="00000000" w14:paraId="00000001">
      <w:pPr>
        <w:spacing w:after="120" w:line="264" w:lineRule="auto"/>
        <w:contextualSpacing w:val="0"/>
        <w:jc w:val="both"/>
        <w:rPr>
          <w:rFonts w:ascii="Arial" w:cs="Arial" w:eastAsia="Arial" w:hAnsi="Arial"/>
        </w:rPr>
      </w:pPr>
      <w:r w:rsidDel="00000000" w:rsidR="00000000" w:rsidRPr="00000000">
        <w:rPr>
          <w:rFonts w:ascii="Arial" w:cs="Arial" w:eastAsia="Arial" w:hAnsi="Arial"/>
          <w:rtl w:val="0"/>
        </w:rPr>
        <w:t xml:space="preserve">В части структуры, я бы предложила включить процедуру агрегирования и сравнения предложений страховых компаний непосредственно в сам сервис Гибкое КАСКО. Иначе теряется его добавочная стоимость. Хорошая реклама при этом позволила бы привлекать страховые компании для сотрудничества. Они были бы заинтересованы в предоставлении программ лояльности клиентам и получали бы доступ к агрегированным данным о водителях. В конечном счете именно страховая компания оценивает стоимость полиса на требуемое количество дней, а не сервис.</w:t>
      </w:r>
    </w:p>
    <w:p w:rsidR="00000000" w:rsidDel="00000000" w:rsidP="00000000" w:rsidRDefault="00000000" w:rsidRPr="00000000" w14:paraId="00000002">
      <w:pPr>
        <w:spacing w:after="120" w:line="264" w:lineRule="auto"/>
        <w:contextualSpacing w:val="0"/>
        <w:jc w:val="both"/>
        <w:rPr>
          <w:rFonts w:ascii="Arial" w:cs="Arial" w:eastAsia="Arial" w:hAnsi="Arial"/>
        </w:rPr>
      </w:pPr>
      <w:r w:rsidDel="00000000" w:rsidR="00000000" w:rsidRPr="00000000">
        <w:rPr>
          <w:rFonts w:ascii="Arial" w:cs="Arial" w:eastAsia="Arial" w:hAnsi="Arial"/>
          <w:rtl w:val="0"/>
        </w:rPr>
        <w:t xml:space="preserve">Дополнительно сервис Гибкое КАСКО должен (1) учитывать маршрут, по которому едет водитель; (2) будет ли водитель ехать по шоссе или по бездорожью; (3) нужна ли эвакуация автомобиля при поломке в удаленных местах. Это как страхование жизни – на стоимость влияет страна пребывания, предполагаемая активность, а также необходимость эвакуации застрахованного лица вертолётом. От выбранных опций будет зависеть стоимость полиса. При этом страховка может в итоге стоить очень дорого, но её преимуществом будет покрытие большого количества рисков. В целом сервис можно позиционировать не как способ сэкономить (не факт, что экономия будет), а как возможность получить максимальную защиту во время путешествия.</w:t>
      </w:r>
    </w:p>
    <w:p w:rsidR="00000000" w:rsidDel="00000000" w:rsidP="00000000" w:rsidRDefault="00000000" w:rsidRPr="00000000" w14:paraId="00000003">
      <w:pPr>
        <w:spacing w:after="120" w:line="264" w:lineRule="auto"/>
        <w:contextualSpacing w:val="0"/>
        <w:jc w:val="both"/>
        <w:rPr>
          <w:rFonts w:ascii="Arial" w:cs="Arial" w:eastAsia="Arial" w:hAnsi="Arial"/>
        </w:rPr>
      </w:pPr>
      <w:r w:rsidDel="00000000" w:rsidR="00000000" w:rsidRPr="00000000">
        <w:rPr>
          <w:rFonts w:ascii="Arial" w:cs="Arial" w:eastAsia="Arial" w:hAnsi="Arial"/>
          <w:rtl w:val="0"/>
        </w:rPr>
        <w:t xml:space="preserve">Из технических моментов, нужно уточнить схему работы сервиса. Например, ГАИ вряд ли не нужна информация о полисе. Плюс по одному полису могут быть застрахованы несколько водителей. Но нужно отдельно определить, чья карта привязывается к сервису. Возможно, владельца машины.</w:t>
      </w:r>
    </w:p>
    <w:p w:rsidR="00000000" w:rsidDel="00000000" w:rsidP="00000000" w:rsidRDefault="00000000" w:rsidRPr="00000000" w14:paraId="00000004">
      <w:pPr>
        <w:spacing w:after="120" w:line="264" w:lineRule="auto"/>
        <w:contextualSpacing w:val="0"/>
        <w:jc w:val="both"/>
        <w:rPr>
          <w:rFonts w:ascii="Arial" w:cs="Arial" w:eastAsia="Arial" w:hAnsi="Arial"/>
          <w:b w:val="1"/>
          <w:i w:val="1"/>
          <w:u w:val="single"/>
        </w:rPr>
      </w:pPr>
      <w:r w:rsidDel="00000000" w:rsidR="00000000" w:rsidRPr="00000000">
        <w:rPr>
          <w:rFonts w:ascii="Arial" w:cs="Arial" w:eastAsia="Arial" w:hAnsi="Arial"/>
          <w:b w:val="1"/>
          <w:i w:val="1"/>
          <w:u w:val="single"/>
          <w:rtl w:val="0"/>
        </w:rPr>
        <w:t xml:space="preserve">“C2C in seconds” – Новые возможности для C2C переводов</w:t>
      </w:r>
    </w:p>
    <w:p w:rsidR="00000000" w:rsidDel="00000000" w:rsidP="00000000" w:rsidRDefault="00000000" w:rsidRPr="00000000" w14:paraId="00000005">
      <w:pPr>
        <w:spacing w:after="120" w:line="264" w:lineRule="auto"/>
        <w:contextualSpacing w:val="0"/>
        <w:jc w:val="both"/>
        <w:rPr>
          <w:rFonts w:ascii="Arial" w:cs="Arial" w:eastAsia="Arial" w:hAnsi="Arial"/>
        </w:rPr>
      </w:pPr>
      <w:r w:rsidDel="00000000" w:rsidR="00000000" w:rsidRPr="00000000">
        <w:rPr>
          <w:rFonts w:ascii="Arial" w:cs="Arial" w:eastAsia="Arial" w:hAnsi="Arial"/>
          <w:rtl w:val="0"/>
        </w:rPr>
        <w:t xml:space="preserve">Эссе написано очень хорошо с точки зрения продажи сервиса. При этом не очевидно преимущество технологии относительно уже реализованных сервисов по генерации QR-кодов для перевода в приложениях банков. А это более широкий круг клиентов, чем пользователи СБПэй.</w:t>
      </w:r>
    </w:p>
    <w:p w:rsidR="00000000" w:rsidDel="00000000" w:rsidP="00000000" w:rsidRDefault="00000000" w:rsidRPr="00000000" w14:paraId="00000006">
      <w:pPr>
        <w:spacing w:after="120" w:line="264" w:lineRule="auto"/>
        <w:contextualSpacing w:val="0"/>
        <w:jc w:val="both"/>
        <w:rPr>
          <w:rFonts w:ascii="Arial" w:cs="Arial" w:eastAsia="Arial" w:hAnsi="Arial"/>
        </w:rPr>
      </w:pPr>
      <w:r w:rsidDel="00000000" w:rsidR="00000000" w:rsidRPr="00000000">
        <w:rPr>
          <w:rFonts w:ascii="Arial" w:cs="Arial" w:eastAsia="Arial" w:hAnsi="Arial"/>
          <w:rtl w:val="0"/>
        </w:rPr>
        <w:t xml:space="preserve">Предлагаемая NFC технология удобна, но требует защиты от мошеннических операций, то есть пользователь в любом случае должен подтвердить списание средств.</w:t>
      </w:r>
    </w:p>
    <w:p w:rsidR="00000000" w:rsidDel="00000000" w:rsidP="00000000" w:rsidRDefault="00000000" w:rsidRPr="00000000" w14:paraId="00000007">
      <w:pPr>
        <w:spacing w:after="120" w:line="264" w:lineRule="auto"/>
        <w:contextualSpacing w:val="0"/>
        <w:jc w:val="both"/>
        <w:rPr>
          <w:rFonts w:ascii="Arial" w:cs="Arial" w:eastAsia="Arial" w:hAnsi="Arial"/>
        </w:rPr>
      </w:pPr>
      <w:bookmarkStart w:colFirst="0" w:colLast="0" w:name="_gjdgxs" w:id="0"/>
      <w:bookmarkEnd w:id="0"/>
      <w:r w:rsidDel="00000000" w:rsidR="00000000" w:rsidRPr="00000000">
        <w:rPr>
          <w:rFonts w:ascii="Arial" w:cs="Arial" w:eastAsia="Arial" w:hAnsi="Arial"/>
          <w:rtl w:val="0"/>
        </w:rPr>
        <w:t xml:space="preserve">В презентации приведен пример про сбор денег на шторы. И тоже не понятно, чем указанная технология отличается от сбора, который можно уже сейчас организовать через ссылку в приложении банка. Рри этом Telegram-бот является удобным дополнением.</w:t>
      </w:r>
    </w:p>
    <w:p w:rsidR="00000000" w:rsidDel="00000000" w:rsidP="00000000" w:rsidRDefault="00000000" w:rsidRPr="00000000" w14:paraId="00000008">
      <w:pPr>
        <w:spacing w:after="120" w:line="264" w:lineRule="auto"/>
        <w:contextualSpacing w:val="0"/>
        <w:jc w:val="both"/>
        <w:rPr>
          <w:rFonts w:ascii="Arial" w:cs="Arial" w:eastAsia="Arial" w:hAnsi="Arial"/>
        </w:rPr>
      </w:pPr>
      <w:r w:rsidDel="00000000" w:rsidR="00000000" w:rsidRPr="00000000">
        <w:rPr>
          <w:rFonts w:ascii="Arial" w:cs="Arial" w:eastAsia="Arial" w:hAnsi="Arial"/>
          <w:rtl w:val="0"/>
        </w:rPr>
        <w:t xml:space="preserve">Возможно, следует добавить какое-то новое технологическое решение. Предложенная технология NFC похожа на эквайринг через мобильный телефон. Автору мог бы предложить свои технологии для B2C операций с доработкой кассового ПО на телефоне. Такой мобильный терминал мог бы быть доступнее существующих аналогов. NFC как ссылка на оплату могла бы быть полезна работникам сферы услуг, оформенным как ИП. Парикмехер мог предлагать клиенту оплатить картой или мобильным телефоном через свой мобильный телефон. При этом программа должна отправить соответсвующую информацию в налоговую и прислать кассовый чек. Дополнительно где-то должен работать сервер, который будет хранить все эти данные, и работать команда ИТ-специалистов, которые будут обслуживать все процессы.</w:t>
      </w:r>
    </w:p>
    <w:p w:rsidR="00000000" w:rsidDel="00000000" w:rsidP="00000000" w:rsidRDefault="00000000" w:rsidRPr="00000000" w14:paraId="00000009">
      <w:pPr>
        <w:spacing w:after="120" w:line="264" w:lineRule="auto"/>
        <w:contextualSpacing w:val="0"/>
        <w:jc w:val="both"/>
        <w:rPr>
          <w:rFonts w:ascii="Arial" w:cs="Arial" w:eastAsia="Arial" w:hAnsi="Arial"/>
        </w:rPr>
      </w:pPr>
      <w:r w:rsidDel="00000000" w:rsidR="00000000" w:rsidRPr="00000000">
        <w:rPr>
          <w:rFonts w:ascii="Arial" w:cs="Arial" w:eastAsia="Arial" w:hAnsi="Arial"/>
          <w:rtl w:val="0"/>
        </w:rPr>
        <w:t xml:space="preserve">Если речь идёт про переводы C2C, то тут информацию о транзакциях хранит банк, и процедура выглядит проще. Но и преимуществ по сравнению с бесплатным QR-кодом как будто меньше. </w:t>
      </w:r>
    </w:p>
    <w:sectPr>
      <w:pgSz w:h="16838" w:w="11906"/>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ru-R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