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Heading1"/>
        <w:spacing w:before="0" w:after="0"/>
        <w:rPr>
          <w:sz w:val="28"/>
          <w:szCs w:val="28"/>
        </w:rPr>
      </w:pPr>
      <w:r>
        <w:rPr>
          <w:sz w:val="28"/>
          <w:szCs w:val="28"/>
          <w:lang w:val="en-US"/>
        </w:rPr>
        <w:t>TAK (The Ad Kiln)</w:t>
      </w:r>
    </w:p>
    <w:p w14:paraId="00000002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Команда №39 @Vladislav_Vaharenko</w:t>
      </w:r>
    </w:p>
    <w:p w14:paraId="00000003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СибГУТИ</w:t>
      </w:r>
    </w:p>
    <w:p w14:paraId="00000004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Институт информатики и вычислительной техники (ИВТ)</w:t>
      </w:r>
    </w:p>
    <w:p w14:paraId="00000005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Четвёртый курс бакалавриата</w:t>
      </w:r>
    </w:p>
    <w:p w14:paraId="00000006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Описание проблемы выбора площадок для рекламы и ее решение: сервис ТАК</w:t>
      </w:r>
    </w:p>
    <w:p w14:paraId="00000007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08">
      <w:pPr>
        <w:pStyle w:val="Heading1"/>
        <w:spacing w:before="0" w:after="440"/>
        <w:rPr/>
      </w:pPr>
      <w:r>
        <w:rPr>
          <w:lang w:val="ru-RU"/>
        </w:rPr>
        <w:t>1. Описание проблемы</w:t>
      </w:r>
    </w:p>
    <w:p w14:paraId="00000009">
      <w:pPr>
        <w:pStyle w:val="Normal"/>
        <w:rPr/>
      </w:pPr>
      <w:r>
        <w:rPr>
          <w:lang w:val="ru-RU"/>
        </w:rPr>
        <w:t>Решается проблема выбора площадок для рекламы.</w:t>
      </w:r>
    </w:p>
    <w:p w14:paraId="0000000A">
      <w:pPr>
        <w:pStyle w:val="Normal"/>
        <w:rPr>
          <w:lang w:val="ru-RU"/>
        </w:rPr>
      </w:pPr>
      <w:r>
        <w:rPr>
          <w:lang w:val="ru-RU"/>
        </w:rPr>
        <w:t xml:space="preserve">Данная проблема затрагивает в первую очередь МСП (малые и средние предприятия). Это предприятия, у которых ограничен бюджет на маркетинг, они пытаются продвигать новый продукт, понимают, на какую аудиторию он направлен, но не могут понять, как привлечь эту аудиторию, и на каких площадках покупать рекламу. </w:t>
      </w:r>
      <w:r>
        <w:t xml:space="preserve">9% компаний МСП (малые и средние предприятия) являются новичками в использовании цифровых рекламных инструментов, ещё 20% имеет опыт не более полугода, 31% представителей микробизнеса, 20% представителей малого и 8% среднего бизнеса хотели бы получать меры поддержки в области интернет-рекламы </w:t>
      </w:r>
      <w:r>
        <w:rPr>
          <w:lang w:val="ru-RU"/>
        </w:rPr>
        <w:t>по данным НАФИ</w:t>
      </w:r>
      <w:r>
        <w:t xml:space="preserve"> </w:t>
      </w:r>
      <w:r>
        <w:rPr>
          <w:lang w:val="en-US"/>
        </w:rPr>
        <w:t xml:space="preserve">[1]. </w:t>
      </w:r>
      <w:r>
        <w:t xml:space="preserve">При этом общее количество субъектов МСП в России составляет 6 588 535 предприятий </w:t>
      </w:r>
      <w:r>
        <w:rPr>
          <w:lang w:val="ru-RU"/>
        </w:rPr>
        <w:t>по данным опоры России</w:t>
      </w:r>
      <w:r>
        <w:t xml:space="preserve"> и это число растёт </w:t>
      </w:r>
      <w:r>
        <w:rPr>
          <w:lang w:val="ru-RU"/>
        </w:rPr>
        <w:t>от года к году [2]</w:t>
      </w:r>
      <w:r>
        <w:rPr>
          <w:lang w:val="ru-RU"/>
        </w:rPr>
        <w:t>. А общий объём полученных МСП средств только в рамках НГС (национальная гарантийная система) в первом полугодии 2025 года составил почти 440 млрд рублей по данным минтранса РФ [3].</w:t>
      </w:r>
    </w:p>
    <w:p w14:paraId="0000000B">
      <w:pPr>
        <w:pStyle w:val="Normal"/>
        <w:rPr>
          <w:lang w:val="ru-RU"/>
        </w:rPr>
      </w:pPr>
      <w:r>
        <w:rPr>
          <w:lang w:val="ru-RU"/>
        </w:rPr>
        <w:t>В случае МСП реклама на нерелевантных площадках может привести к ликвидации предприятия, так как часто такие предприятия не разрабатывают много продуктов, и, если их единственный продукт не будет окупаться, то бизнесу придёт конец. Отсутствие окупаемости может быть связано с двумя ситуациями: затраты на рекламу были слишком малы, и о продукте никто не знает, либо затраты на рекламу оказались слишком большими, и даже хорошие продажи продукта не могут их</w:t>
      </w:r>
      <w:r>
        <w:rPr>
          <w:lang w:val="ru-RU"/>
        </w:rPr>
        <w:t xml:space="preserve"> покрыть.</w:t>
      </w:r>
    </w:p>
    <w:p w14:paraId="0000000C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0D">
      <w:pPr>
        <w:pStyle w:val="Heading1"/>
        <w:spacing w:before="0" w:after="440"/>
        <w:rPr/>
      </w:pPr>
      <w:r>
        <w:rPr>
          <w:lang w:val="ru-RU"/>
        </w:rPr>
        <w:t>2. Идея сервиса</w:t>
      </w:r>
    </w:p>
    <w:p w14:paraId="0000000E">
      <w:pPr>
        <w:pStyle w:val="Normal"/>
        <w:rPr/>
      </w:pPr>
      <w:r>
        <w:rPr>
          <w:lang w:val="ru-RU"/>
        </w:rPr>
        <w:t xml:space="preserve">Для решения данной проблемы на первом этапе создаётся агрегатор рекламных площадок. </w:t>
        <w:tab/>
        <w:t xml:space="preserve">Сервис платно получает данные об аудиториях различных площадок с </w:t>
      </w:r>
      <w:r>
        <w:rPr>
          <w:lang w:val="en-US"/>
        </w:rPr>
        <w:t xml:space="preserve">Brand Analytics. </w:t>
      </w:r>
      <w:r>
        <w:rPr>
          <w:lang w:val="ru-RU"/>
        </w:rPr>
        <w:t>Пользователь вводит свою ЦА и бюджет и получает список площадок, на которых находится наибольшее количество аудитории его продукта</w:t>
      </w:r>
      <w:r>
        <w:t>.</w:t>
      </w:r>
    </w:p>
    <w:p w14:paraId="0000000F">
      <w:pPr>
        <w:pStyle w:val="Normal"/>
        <w:rPr/>
      </w:pPr>
      <w:r>
        <w:rPr>
          <w:lang w:val="ru-RU"/>
        </w:rPr>
        <w:t xml:space="preserve">При развитии продукта будет создан аналог </w:t>
      </w:r>
      <w:r>
        <w:rPr>
          <w:lang w:val="en-US"/>
        </w:rPr>
        <w:t xml:space="preserve">ETF </w:t>
      </w:r>
      <w:r>
        <w:rPr>
          <w:lang w:val="ru-RU"/>
        </w:rPr>
        <w:t>в</w:t>
      </w:r>
      <w:r>
        <w:rPr>
          <w:lang w:val="ru-RU"/>
        </w:rPr>
        <w:t xml:space="preserve"> </w:t>
      </w:r>
      <w:r>
        <w:rPr>
          <w:lang w:val="en-US"/>
        </w:rPr>
        <w:t xml:space="preserve">S&amp;P 500 </w:t>
      </w:r>
      <w:r>
        <w:rPr>
          <w:lang w:val="ru-RU"/>
        </w:rPr>
        <w:t>для рекламы - ТАК-</w:t>
      </w:r>
      <w:r>
        <w:rPr>
          <w:lang w:val="ru-RU"/>
        </w:rPr>
        <w:t>2</w:t>
      </w:r>
      <w:r>
        <w:rPr>
          <w:lang w:val="ru-RU"/>
        </w:rPr>
        <w:t>0: ТАК будет владеть рекламными местами на разных площадках, и пользователи смогут покупать пакеты у ТАК, чтобы диверсифицировать рекламу, создавая небольшое количество объявлений на большом количестве площадок.</w:t>
      </w:r>
    </w:p>
    <w:p w14:paraId="00000010">
      <w:pPr>
        <w:pStyle w:val="Normal"/>
        <w:rPr/>
      </w:pPr>
      <w:r>
        <w:rPr>
          <w:lang w:val="ru-RU"/>
        </w:rPr>
        <w:t xml:space="preserve">На втором этапе на основе данных первого этапа создаётся экспертная система, которая будет выдавать пользователю наиболее релевантные площадки не только на основе данных об аудитории, но и на основе прошлого опыта. </w:t>
      </w:r>
    </w:p>
    <w:p w14:paraId="00000011">
      <w:pPr>
        <w:pStyle w:val="Normal"/>
        <w:rPr>
          <w:rFonts w:ascii="Times New Roman" w:cs="Times New Roman" w:hAnsi="Times New Roman"/>
          <w:sz w:val="24"/>
          <w:szCs w:val="24"/>
        </w:rPr>
      </w:pPr>
      <w:r>
        <w:rPr>
          <w:lang w:val="ru-RU"/>
        </w:rPr>
        <w:t>Таким образом, пользователь сможет правильно выбрать площадки для рекламы.</w:t>
      </w:r>
    </w:p>
    <w:p w14:paraId="00000012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13">
      <w:pPr>
        <w:pStyle w:val="Heading1"/>
        <w:spacing w:before="0" w:after="440"/>
        <w:rPr/>
      </w:pPr>
      <w:r>
        <w:rPr>
          <w:lang w:val="ru-RU"/>
        </w:rPr>
        <w:t>3. Участники сервиса</w:t>
      </w:r>
    </w:p>
    <w:p w14:paraId="00000014">
      <w:pPr>
        <w:pStyle w:val="Normal"/>
        <w:rPr/>
      </w:pPr>
      <w:r>
        <w:rPr>
          <w:lang w:val="ru-RU"/>
        </w:rPr>
        <w:t>Участники сервиса представлены в таблице 1.</w:t>
      </w:r>
    </w:p>
    <w:p w14:paraId="00000015">
      <w:pPr>
        <w:pStyle w:val="Normal"/>
        <w:spacing w:before="360"/>
        <w:ind w:left="0" w:firstLine="0"/>
        <w:jc w:val="right"/>
        <w:rPr/>
      </w:pPr>
      <w:r>
        <w:rPr>
          <w:i/>
          <w:iCs/>
          <w:lang w:val="ru-RU"/>
        </w:rPr>
        <w:t>Таблица 1. Акторы и их функции</w:t>
      </w:r>
    </w:p>
    <w:tbl>
      <w:tblPr>
        <w:tblStyle w:val="TableGrid"/>
        <w:tblInd w:w="0" w:type="dxa"/>
        <w:tblLayout w:type="auto"/>
      </w:tblPr>
      <w:tblGrid>
        <w:gridCol w:w="1673"/>
        <w:gridCol w:w="2259"/>
        <w:gridCol w:w="3406"/>
        <w:gridCol w:w="2230"/>
      </w:tblGrid>
      <w:tr>
        <w:trPr>
          <w:cnfStyle w:val="100000000000"/>
        </w:trPr>
        <w:tc>
          <w:tcPr>
            <w:cnfStyle w:val="100010000000"/>
            <w:tcW w:w="1673" w:type="dxa"/>
          </w:tcPr>
          <w:p w14:paraId="00000016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Участник</w:t>
            </w:r>
          </w:p>
        </w:tc>
        <w:tc>
          <w:tcPr>
            <w:cnfStyle w:val="100001000000"/>
            <w:tcW w:w="2259" w:type="dxa"/>
            <w:gridSpan w:val="1"/>
          </w:tcPr>
          <w:p w14:paraId="00000017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Кто может выступать</w:t>
            </w:r>
          </w:p>
        </w:tc>
        <w:tc>
          <w:tcPr>
            <w:cnfStyle w:val="100010000000"/>
            <w:tcW w:w="3406" w:type="dxa"/>
          </w:tcPr>
          <w:p w14:paraId="00000018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Функции</w:t>
            </w:r>
          </w:p>
        </w:tc>
        <w:tc>
          <w:tcPr>
            <w:cnfStyle w:val="100001000000"/>
            <w:tcW w:w="2230" w:type="dxa"/>
          </w:tcPr>
          <w:p w14:paraId="00000019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Выгода</w:t>
            </w:r>
          </w:p>
        </w:tc>
      </w:tr>
      <w:tr>
        <w:trPr>
          <w:cnfStyle w:val="000000000000"/>
        </w:trPr>
        <w:tc>
          <w:tcPr>
            <w:cnfStyle w:val="000010000000"/>
            <w:tcW w:w="1673" w:type="dxa"/>
          </w:tcPr>
          <w:p w14:paraId="0000001A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Рекламодатель (пользователь)</w:t>
            </w:r>
          </w:p>
        </w:tc>
        <w:tc>
          <w:tcPr>
            <w:cnfStyle w:val="000001000000"/>
            <w:tcW w:w="2259" w:type="dxa"/>
            <w:gridSpan w:val="1"/>
          </w:tcPr>
          <w:p w14:paraId="0000001B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МСП</w:t>
            </w:r>
          </w:p>
        </w:tc>
        <w:tc>
          <w:tcPr>
            <w:cnfStyle w:val="000010000000"/>
            <w:tcW w:w="3406" w:type="dxa"/>
          </w:tcPr>
          <w:p w14:paraId="0000001C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Запрос на получение помощи в рекламной кампании, оплата этой услуги</w:t>
            </w:r>
          </w:p>
        </w:tc>
        <w:tc>
          <w:tcPr>
            <w:cnfStyle w:val="000001000000"/>
            <w:tcW w:w="2230" w:type="dxa"/>
          </w:tcPr>
          <w:p w14:paraId="0000001D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Повышение вероятности создания успешной рекламной кампании</w:t>
            </w:r>
          </w:p>
        </w:tc>
      </w:tr>
      <w:tr>
        <w:trPr>
          <w:cnfStyle w:val="000000000000"/>
        </w:trPr>
        <w:tc>
          <w:tcPr>
            <w:cnfStyle w:val="000010000000"/>
            <w:tcW w:w="1673" w:type="dxa"/>
          </w:tcPr>
          <w:p w14:paraId="0000001E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Рекламные площадки</w:t>
            </w:r>
          </w:p>
        </w:tc>
        <w:tc>
          <w:tcPr>
            <w:cnfStyle w:val="000001000000"/>
            <w:tcW w:w="2259" w:type="dxa"/>
            <w:gridSpan w:val="1"/>
          </w:tcPr>
          <w:p w14:paraId="0000001F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Социальные сети, поисковики и другие сервисы, которые транслируют рекламу в интернете</w:t>
            </w:r>
          </w:p>
        </w:tc>
        <w:tc>
          <w:tcPr>
            <w:cnfStyle w:val="000010000000"/>
            <w:tcW w:w="3406" w:type="dxa"/>
          </w:tcPr>
          <w:p w14:paraId="00000020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Предоставление мест для рекламы, предоставление доступа сервису ТАК для настройки рекламы</w:t>
            </w:r>
          </w:p>
        </w:tc>
        <w:tc>
          <w:tcPr>
            <w:cnfStyle w:val="000001000000"/>
            <w:tcW w:w="2230" w:type="dxa"/>
          </w:tcPr>
          <w:p w14:paraId="00000021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новых клиентов, постоянный доход в случае вхождения в</w:t>
            </w:r>
            <w:r>
              <w:rPr>
                <w:sz w:val="22"/>
                <w:szCs w:val="22"/>
                <w:lang w:val="ru-RU"/>
              </w:rPr>
              <w:t xml:space="preserve"> ТАК-20</w:t>
            </w:r>
          </w:p>
        </w:tc>
      </w:tr>
      <w:tr>
        <w:trPr>
          <w:cnfStyle w:val="000000000000"/>
        </w:trPr>
        <w:tc>
          <w:tcPr>
            <w:cnfStyle w:val="000010000000"/>
            <w:tcW w:w="1673" w:type="dxa"/>
          </w:tcPr>
          <w:p w14:paraId="00000022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Оператор сервиса</w:t>
            </w:r>
          </w:p>
        </w:tc>
        <w:tc>
          <w:tcPr>
            <w:cnfStyle w:val="000001000000"/>
            <w:tcW w:w="2259" w:type="dxa"/>
            <w:gridSpan w:val="1"/>
          </w:tcPr>
          <w:p w14:paraId="00000023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Может быть создана новая компания, также может выступать, например, яндекс</w:t>
            </w:r>
          </w:p>
        </w:tc>
        <w:tc>
          <w:tcPr>
            <w:cnfStyle w:val="000010000000"/>
            <w:tcW w:w="3406" w:type="dxa"/>
          </w:tcPr>
          <w:p w14:paraId="00000024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Хостинг сайта ТАК, сбор данных от </w:t>
            </w:r>
            <w:r>
              <w:rPr>
                <w:sz w:val="22"/>
                <w:szCs w:val="22"/>
                <w:lang w:val="en-US"/>
              </w:rPr>
              <w:t xml:space="preserve">brand analytics, </w:t>
            </w:r>
            <w:r>
              <w:rPr>
                <w:sz w:val="22"/>
                <w:szCs w:val="22"/>
                <w:lang w:val="ru-RU"/>
              </w:rPr>
              <w:t xml:space="preserve">анализ рекламных кампаний, созданных с помощью сервиса ТАК и обучение на этих кейсах экспертной системы, покупка рекламных мест для создания </w:t>
            </w:r>
            <w:r>
              <w:rPr>
                <w:sz w:val="22"/>
                <w:szCs w:val="22"/>
                <w:lang w:val="en-US"/>
              </w:rPr>
              <w:t>S&amp;P 500</w:t>
            </w:r>
          </w:p>
        </w:tc>
        <w:tc>
          <w:tcPr>
            <w:cnfStyle w:val="000001000000"/>
            <w:tcW w:w="2230" w:type="dxa"/>
          </w:tcPr>
          <w:p w14:paraId="00000025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прибыли от услуг на площадке</w:t>
            </w:r>
          </w:p>
        </w:tc>
      </w:tr>
      <w:tr>
        <w:trPr>
          <w:cnfStyle w:val="000000000000"/>
        </w:trPr>
        <w:tc>
          <w:tcPr>
            <w:cnfStyle w:val="000010000000"/>
            <w:tcW w:w="1673" w:type="dxa"/>
          </w:tcPr>
          <w:p w14:paraId="00000026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Агрегатор статистики по площадкам</w:t>
            </w:r>
          </w:p>
        </w:tc>
        <w:tc>
          <w:tcPr>
            <w:cnfStyle w:val="000001000000"/>
            <w:tcW w:w="2259" w:type="dxa"/>
            <w:gridSpan w:val="1"/>
          </w:tcPr>
          <w:p w14:paraId="00000027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BrandAnalytics</w:t>
            </w:r>
          </w:p>
        </w:tc>
        <w:tc>
          <w:tcPr>
            <w:cnfStyle w:val="000010000000"/>
            <w:tcW w:w="3406" w:type="dxa"/>
          </w:tcPr>
          <w:p w14:paraId="00000028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Предоставление данных об аудиториях на площадках за плату</w:t>
            </w:r>
          </w:p>
        </w:tc>
        <w:tc>
          <w:tcPr>
            <w:cnfStyle w:val="000001000000"/>
            <w:tcW w:w="2230" w:type="dxa"/>
          </w:tcPr>
          <w:p w14:paraId="00000029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прибыли от предоставления данных</w:t>
            </w:r>
          </w:p>
        </w:tc>
      </w:tr>
    </w:tbl>
    <w:p w14:paraId="0000002A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2B">
      <w:pPr>
        <w:pStyle w:val="Heading1"/>
        <w:spacing w:before="0" w:after="200"/>
        <w:rPr/>
      </w:pPr>
      <w:r>
        <w:rPr>
          <w:lang w:val="ru-RU"/>
        </w:rPr>
        <w:t>4. Процессы в сервисе и их описание</w:t>
      </w:r>
    </w:p>
    <w:p w14:paraId="0000002C">
      <w:pPr>
        <w:pStyle w:val="Normal"/>
        <w:spacing w:after="440"/>
        <w:ind w:firstLine="567"/>
        <w:rPr>
          <w:b/>
          <w:bCs/>
          <w:lang w:val="en-US"/>
        </w:rPr>
      </w:pPr>
      <w:r>
        <w:rPr>
          <w:b/>
          <w:bCs/>
          <w:lang w:val="ru-RU"/>
        </w:rPr>
        <w:t xml:space="preserve">4.1. Схема </w:t>
      </w:r>
      <w:r>
        <w:rPr>
          <w:b/>
          <w:bCs/>
          <w:lang w:val="en-US"/>
        </w:rPr>
        <w:t>As Is</w:t>
      </w:r>
    </w:p>
    <w:p w14:paraId="0000002D">
      <w:pPr>
        <w:pStyle w:val="Normal"/>
        <w:spacing w:after="440"/>
        <w:ind w:left="0" w:firstLine="0"/>
        <w:rPr>
          <w:b/>
          <w:bCs/>
          <w:lang w:val="en-US"/>
        </w:rPr>
      </w:pPr>
      <w:r>
        <w:rPr>
          <w:b w:val="off"/>
          <w:bCs w:val="off"/>
          <w:lang w:val="en-US"/>
        </w:rPr>
        <w:tab/>
      </w:r>
      <w:r>
        <w:rPr>
          <w:b w:val="off"/>
          <w:bCs w:val="off"/>
          <w:lang w:val="ru-RU"/>
        </w:rPr>
        <w:t>Текущие процессы взаимодействия между акторами представлены на рисунке 1.</w:t>
      </w:r>
    </w:p>
    <w:p w14:paraId="0000002E">
      <w:pPr>
        <w:pStyle w:val="Normal"/>
        <w:ind w:left="0" w:firstLine="0"/>
        <w:jc w:val="center"/>
        <w:rPr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4398645" cy="3994785"/>
            <wp:effectExtent l="0" t="0" r="0" b="0"/>
            <wp:docPr id="1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43"/>
                    <pic:cNvPicPr>
                      <a:picLocks noGrp="0" noSelect="0" noChangeAspect="1" noMove="0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pStyle w:val="Normal"/>
        <w:spacing w:after="360"/>
        <w:ind w:left="0" w:firstLine="0"/>
        <w:jc w:val="center"/>
        <w:rPr>
          <w:lang w:val="en-US"/>
        </w:rPr>
      </w:pPr>
      <w:r>
        <w:rPr>
          <w:i/>
          <w:iCs/>
          <w:u w:val="none"/>
          <w:lang w:val="ru-RU"/>
        </w:rPr>
        <w:t xml:space="preserve">Рисунок 1. Схема </w:t>
      </w:r>
      <w:r>
        <w:rPr>
          <w:i/>
          <w:iCs/>
          <w:u w:val="none"/>
          <w:lang w:val="en-US"/>
        </w:rPr>
        <w:t>As Is</w:t>
      </w:r>
    </w:p>
    <w:p w14:paraId="00000030">
      <w:pPr>
        <w:pStyle w:val="Normal"/>
        <w:ind w:left="0" w:firstLine="0"/>
        <w:jc w:val="both"/>
        <w:rPr>
          <w:lang w:val="ru-RU"/>
        </w:rPr>
      </w:pPr>
      <w:r>
        <w:rPr>
          <w:lang w:val="ru-RU"/>
        </w:rPr>
        <w:tab/>
        <w:t>1 - МСП рассматривает рекламные площадки, собирает по ним информацию из открытых источников, чтобы выявить наиболее релевантные площадки</w:t>
      </w:r>
    </w:p>
    <w:p w14:paraId="00000031">
      <w:pPr>
        <w:pStyle w:val="Normal"/>
        <w:ind w:left="0" w:firstLine="0"/>
        <w:jc w:val="both"/>
        <w:rPr>
          <w:lang w:val="ru-RU"/>
        </w:rPr>
      </w:pPr>
      <w:r>
        <w:rPr>
          <w:lang w:val="ru-RU"/>
        </w:rPr>
        <w:tab/>
        <w:t>2 - МСП записывает найденную на прошлом шаге информацию в свою базу данных</w:t>
      </w:r>
    </w:p>
    <w:p w14:paraId="00000032">
      <w:pPr>
        <w:pStyle w:val="Normal"/>
        <w:ind w:left="0" w:firstLine="0"/>
        <w:jc w:val="both"/>
        <w:rPr>
          <w:lang w:val="ru-RU"/>
        </w:rPr>
      </w:pPr>
      <w:r>
        <w:rPr>
          <w:lang w:val="ru-RU"/>
        </w:rPr>
        <w:tab/>
        <w:t>3</w:t>
      </w:r>
      <w:r>
        <w:rPr>
          <w:lang w:val="ru-RU"/>
        </w:rPr>
        <w:t xml:space="preserve"> - МСП анализирует полученную информацию, чтобы принять решение о том, на каких площадках рекламироваться</w:t>
      </w:r>
    </w:p>
    <w:p w14:paraId="00000033">
      <w:pPr>
        <w:pStyle w:val="Normal"/>
        <w:ind w:left="0" w:firstLine="0"/>
        <w:jc w:val="both"/>
        <w:rPr>
          <w:lang w:val="ru-RU"/>
        </w:rPr>
      </w:pPr>
      <w:r>
        <w:rPr>
          <w:lang w:val="ru-RU"/>
        </w:rPr>
        <w:tab/>
        <w:t>4 - МСП публикует объявления на выбранных рекламных площадках</w:t>
      </w:r>
    </w:p>
    <w:p w14:paraId="00000034">
      <w:pPr>
        <w:pStyle w:val="Normal"/>
        <w:ind w:left="0" w:firstLine="0"/>
        <w:jc w:val="both"/>
        <w:rPr>
          <w:lang w:val="ru-RU"/>
        </w:rPr>
      </w:pPr>
      <w:r>
        <w:rPr>
          <w:lang w:val="ru-RU"/>
        </w:rPr>
        <w:tab/>
        <w:t>5 - МСП собирает аналитику с рекламных площадок, чтобы понять на каких площадках реклама работает, а на каких нет</w:t>
      </w:r>
    </w:p>
    <w:p w14:paraId="00000035">
      <w:pPr>
        <w:pStyle w:val="Normal"/>
        <w:ind w:left="0" w:firstLine="720"/>
        <w:jc w:val="both"/>
        <w:rPr/>
      </w:pPr>
      <w:r>
        <w:rPr>
          <w:lang w:val="ru-RU"/>
        </w:rPr>
        <w:t xml:space="preserve">6 - </w:t>
      </w:r>
      <w:r>
        <w:rPr>
          <w:lang w:val="ru-RU"/>
        </w:rPr>
        <w:t>МСП записывает найденную на прошлом шаге информацию в свою базу данных</w:t>
      </w:r>
    </w:p>
    <w:p w14:paraId="00000036">
      <w:pPr>
        <w:pStyle w:val="Normal"/>
        <w:ind w:left="0" w:firstLine="720"/>
        <w:jc w:val="both"/>
        <w:rPr>
          <w:lang w:val="en-US"/>
        </w:rPr>
      </w:pPr>
      <w:r>
        <w:rPr>
          <w:lang w:val="ru-RU"/>
        </w:rPr>
        <w:t xml:space="preserve">7 - </w:t>
      </w:r>
      <w:r>
        <w:rPr>
          <w:lang w:val="ru-RU"/>
        </w:rPr>
        <w:t>МСП анализирует полученную информацию, чтобы скорректировать рекламную кампанию</w:t>
      </w:r>
    </w:p>
    <w:p w14:paraId="00000037">
      <w:pPr>
        <w:pStyle w:val="Normal"/>
        <w:ind w:left="0" w:firstLine="720"/>
        <w:jc w:val="both"/>
        <w:rPr>
          <w:lang w:val="en-US"/>
        </w:rPr>
      </w:pPr>
      <w:r>
        <w:rPr>
          <w:lang w:val="en-US"/>
        </w:rPr>
        <w:t xml:space="preserve">8 - </w:t>
      </w:r>
      <w:r>
        <w:rPr>
          <w:lang w:val="ru-RU"/>
        </w:rPr>
        <w:t>По результатам анализа на рекламные площадки вносятся изменения</w:t>
      </w:r>
    </w:p>
    <w:p w14:paraId="00000038">
      <w:pPr>
        <w:pStyle w:val="Normal"/>
        <w:spacing w:before="440" w:after="440"/>
        <w:ind w:firstLine="567"/>
        <w:rPr>
          <w:b/>
          <w:bCs/>
          <w:lang w:val="ru-RU"/>
        </w:rPr>
      </w:pPr>
      <w:r>
        <w:rPr>
          <w:b/>
          <w:bCs/>
          <w:lang w:val="ru-RU"/>
        </w:rPr>
        <w:t>4.2. Работа сервиса ТАК на первом этапе</w:t>
      </w:r>
    </w:p>
    <w:p w14:paraId="00000039">
      <w:pPr>
        <w:pStyle w:val="Normal"/>
        <w:rPr>
          <w:lang w:val="ru-RU"/>
        </w:rPr>
      </w:pPr>
      <w:r>
        <w:rPr>
          <w:lang w:val="ru-RU"/>
        </w:rPr>
        <w:t>Ключевой процесс - формирование рекомендаций по выбору рекламных площадок.</w:t>
      </w:r>
    </w:p>
    <w:p w14:paraId="0000003A">
      <w:pPr>
        <w:pStyle w:val="Normal"/>
        <w:rPr/>
      </w:pPr>
      <w:r>
        <w:rPr>
          <w:lang w:val="ru-RU"/>
        </w:rPr>
        <w:t>Схема работы сервиса представлена на рисунке 2.</w:t>
      </w:r>
    </w:p>
    <w:p w14:paraId="0000003B">
      <w:pPr>
        <w:pStyle w:val="Normal"/>
        <w:rPr/>
      </w:pPr>
    </w:p>
    <w:p w14:paraId="0000003C">
      <w:pPr>
        <w:pStyle w:val="Normal"/>
        <w:ind w:left="0" w:firstLine="0"/>
        <w:jc w:val="center"/>
        <w:rPr/>
      </w:pPr>
      <w:r>
        <w:rPr/>
        <w:drawing xmlns:mc="http://schemas.openxmlformats.org/markup-compatibility/2006">
          <wp:inline distT="0" distB="0" distL="0" distR="0">
            <wp:extent cx="4699000" cy="3529330"/>
            <wp:effectExtent l="0" t="0" r="0" b="0"/>
            <wp:docPr id="10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44"/>
                    <pic:cNvPicPr>
                      <a:picLocks noGrp="0" noSelect="0" noChangeAspect="1" noMove="0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pStyle w:val="Normal"/>
        <w:spacing w:after="360"/>
        <w:ind w:left="0" w:firstLine="0"/>
        <w:jc w:val="center"/>
        <w:rPr/>
      </w:pPr>
      <w:r>
        <w:rPr>
          <w:i/>
          <w:iCs/>
          <w:u w:val="none"/>
          <w:lang w:val="ru-RU"/>
        </w:rPr>
        <w:t xml:space="preserve">Рисунок 2. Схема </w:t>
      </w:r>
      <w:r>
        <w:rPr>
          <w:i/>
          <w:iCs/>
          <w:u w:val="none"/>
          <w:lang w:val="en-US"/>
        </w:rPr>
        <w:t xml:space="preserve">To Be </w:t>
      </w:r>
      <w:r>
        <w:rPr>
          <w:i/>
          <w:iCs/>
          <w:u w:val="none"/>
          <w:lang w:val="ru-RU"/>
        </w:rPr>
        <w:t>на первом этапе работы сервиса ТАК</w:t>
      </w:r>
    </w:p>
    <w:p w14:paraId="0000003E">
      <w:pPr>
        <w:pStyle w:val="Normal"/>
        <w:ind w:left="0" w:firstLine="0"/>
        <w:jc w:val="both"/>
        <w:rPr/>
      </w:pPr>
      <w:r>
        <w:rPr>
          <w:lang w:val="ru-RU"/>
        </w:rPr>
        <w:tab/>
        <w:t xml:space="preserve">1 - ТАК договаривается с рекламными площадками о способе взаимодействия (может быть получен доступ по </w:t>
      </w:r>
      <w:r>
        <w:rPr>
          <w:lang w:val="en-US"/>
        </w:rPr>
        <w:t xml:space="preserve">API, </w:t>
      </w:r>
      <w:r>
        <w:rPr>
          <w:lang w:val="ru-RU"/>
        </w:rPr>
        <w:t xml:space="preserve">и пользователь сможет настраивать рекламу на площадке в сервисе ТАК, либо доступа по </w:t>
      </w:r>
      <w:r>
        <w:rPr>
          <w:lang w:val="en-US"/>
        </w:rPr>
        <w:t xml:space="preserve">API </w:t>
      </w:r>
      <w:r>
        <w:rPr>
          <w:lang w:val="ru-RU"/>
        </w:rPr>
        <w:t>не будет, и сервис ТАК будет давать ссылку на площадку)</w:t>
      </w:r>
    </w:p>
    <w:p w14:paraId="0000003F">
      <w:pPr>
        <w:pStyle w:val="Normal"/>
        <w:ind w:left="0" w:firstLine="0"/>
        <w:jc w:val="both"/>
        <w:rPr/>
      </w:pPr>
      <w:r>
        <w:rPr>
          <w:lang w:val="ru-RU"/>
        </w:rPr>
        <w:tab/>
        <w:t xml:space="preserve">2 - Сервис ТАК оформляет подписку на </w:t>
      </w:r>
      <w:r>
        <w:rPr>
          <w:lang w:val="en-US"/>
        </w:rPr>
        <w:t xml:space="preserve">API </w:t>
      </w:r>
      <w:r>
        <w:rPr>
          <w:lang w:val="ru-RU"/>
        </w:rPr>
        <w:t xml:space="preserve">от </w:t>
      </w:r>
      <w:r>
        <w:rPr>
          <w:lang w:val="en-US"/>
        </w:rPr>
        <w:t xml:space="preserve">Brand Analytics, </w:t>
      </w:r>
      <w:r>
        <w:rPr>
          <w:lang w:val="ru-RU"/>
        </w:rPr>
        <w:t>чтобы получить данные об аудиториях на различных площадках</w:t>
      </w:r>
    </w:p>
    <w:p w14:paraId="00000040">
      <w:pPr>
        <w:pStyle w:val="Normal"/>
        <w:ind w:left="0" w:firstLine="0"/>
        <w:jc w:val="both"/>
        <w:rPr>
          <w:lang w:val="ru-RU"/>
        </w:rPr>
      </w:pPr>
      <w:r>
        <w:rPr>
          <w:lang w:val="ru-RU"/>
        </w:rPr>
        <w:tab/>
        <w:t xml:space="preserve">3 - С </w:t>
      </w:r>
      <w:r>
        <w:rPr>
          <w:lang w:val="en-US"/>
        </w:rPr>
        <w:t>Brand Analytics</w:t>
      </w:r>
      <w:r>
        <w:rPr>
          <w:lang w:val="en-US"/>
        </w:rPr>
        <w:t xml:space="preserve"> </w:t>
      </w:r>
      <w:r>
        <w:rPr>
          <w:lang w:val="ru-RU"/>
        </w:rPr>
        <w:t>по</w:t>
      </w:r>
      <w:r>
        <w:rPr>
          <w:lang w:val="ru-RU"/>
        </w:rPr>
        <w:t>ступают данные в БД ТАК об аудитории на различных площадках</w:t>
      </w:r>
    </w:p>
    <w:p w14:paraId="00000041">
      <w:pPr>
        <w:pStyle w:val="Normal"/>
        <w:ind w:left="0" w:firstLine="720"/>
        <w:jc w:val="both"/>
        <w:rPr/>
      </w:pPr>
      <w:r>
        <w:rPr>
          <w:lang w:val="ru-RU"/>
        </w:rPr>
        <w:t>4 - Пользователь приходит в сервис ТАК, формирует запрос на поиск площадок, релевантных его продукту, вводя свою целевую аудиторию и бюджет</w:t>
      </w:r>
    </w:p>
    <w:p w14:paraId="00000042">
      <w:pPr>
        <w:pStyle w:val="Normal"/>
        <w:ind w:left="0" w:firstLine="720"/>
        <w:jc w:val="both"/>
        <w:rPr/>
      </w:pPr>
      <w:r>
        <w:rPr>
          <w:lang w:val="ru-RU"/>
        </w:rPr>
        <w:t>5 - На основе введённых пользователем данных сервис формирует запрос к БД</w:t>
      </w:r>
    </w:p>
    <w:p w14:paraId="00000043">
      <w:pPr>
        <w:pStyle w:val="Normal"/>
        <w:ind w:left="0" w:firstLine="720"/>
        <w:jc w:val="both"/>
        <w:rPr/>
      </w:pPr>
      <w:r>
        <w:rPr>
          <w:lang w:val="ru-RU"/>
        </w:rPr>
        <w:t>6 - Пользователь получает список площадок и публикует на выбранных площадках рекламу через сервис ТАК</w:t>
      </w:r>
    </w:p>
    <w:p w14:paraId="00000044">
      <w:pPr>
        <w:pStyle w:val="Normal"/>
        <w:ind w:left="0" w:firstLine="720"/>
        <w:jc w:val="both"/>
        <w:rPr>
          <w:lang w:val="ru-RU"/>
        </w:rPr>
      </w:pPr>
      <w:r>
        <w:rPr>
          <w:lang w:val="ru-RU"/>
        </w:rPr>
        <w:t>7 - Сервис ТАК публикует объявления пользователя на выбранных рекламных площадках и собирает статистику с площадок</w:t>
      </w:r>
    </w:p>
    <w:p w14:paraId="00000045">
      <w:pPr>
        <w:pStyle w:val="Normal"/>
        <w:ind w:left="0" w:firstLine="720"/>
        <w:jc w:val="both"/>
        <w:rPr>
          <w:lang w:val="ru-RU"/>
        </w:rPr>
      </w:pPr>
      <w:r>
        <w:rPr>
          <w:lang w:val="ru-RU"/>
        </w:rPr>
        <w:t>8 - Сервис ТАК предоставляет пользователю статистику, чтобы тот мог редактировать рекламную кампанию</w:t>
      </w:r>
    </w:p>
    <w:p w14:paraId="00000046">
      <w:pPr>
        <w:pStyle w:val="Normal"/>
        <w:ind w:left="0" w:firstLine="720"/>
        <w:jc w:val="both"/>
        <w:rPr>
          <w:lang w:val="ru-RU"/>
        </w:rPr>
      </w:pPr>
      <w:r>
        <w:rPr>
          <w:lang w:val="ru-RU"/>
        </w:rPr>
        <w:t>9 - Сервис ТАК записывает данные об эффективности рекламы в базу знаний</w:t>
      </w:r>
    </w:p>
    <w:p w14:paraId="00000047">
      <w:pPr>
        <w:pStyle w:val="Normal"/>
        <w:spacing w:before="440" w:after="440"/>
        <w:ind w:left="0" w:firstLine="567"/>
        <w:jc w:val="both"/>
        <w:rPr/>
      </w:pPr>
      <w:r>
        <w:rPr>
          <w:b/>
          <w:bCs/>
          <w:lang w:val="ru-RU"/>
        </w:rPr>
        <w:t>4.3. Работа сервиса ТАК на втором этапе</w:t>
      </w:r>
    </w:p>
    <w:p w14:paraId="00000048">
      <w:pPr>
        <w:pStyle w:val="Normal"/>
        <w:spacing w:before="440" w:after="440"/>
        <w:ind w:left="0" w:firstLine="0"/>
        <w:jc w:val="both"/>
        <w:rPr/>
      </w:pPr>
      <w:r>
        <w:rPr>
          <w:b/>
          <w:bCs/>
          <w:lang w:val="ru-RU"/>
        </w:rPr>
        <w:tab/>
      </w:r>
      <w:r>
        <w:rPr>
          <w:b w:val="off"/>
          <w:bCs w:val="off"/>
          <w:lang w:val="ru-RU"/>
        </w:rPr>
        <w:t>На втором этапе сервис ТАК будет работать так, как это описано на рисунке 3.</w:t>
      </w:r>
    </w:p>
    <w:p w14:paraId="00000049">
      <w:pPr>
        <w:pStyle w:val="Normal"/>
        <w:ind w:left="0" w:firstLine="0"/>
        <w:jc w:val="center"/>
        <w:rPr>
          <w:b/>
          <w:bCs/>
        </w:rPr>
      </w:pPr>
      <w:r>
        <w:rPr>
          <w:b/>
          <w:bCs/>
        </w:rPr>
        <w:drawing xmlns:mc="http://schemas.openxmlformats.org/markup-compatibility/2006">
          <wp:inline distT="0" distB="0" distL="0" distR="0">
            <wp:extent cx="4828540" cy="3482975"/>
            <wp:effectExtent l="0" t="0" r="0" b="0"/>
            <wp:docPr id="10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53"/>
                    <pic:cNvPicPr>
                      <a:picLocks noGrp="0" noSelect="0" noChangeAspect="1" noMove="0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>
      <w:pPr>
        <w:pStyle w:val="Normal"/>
        <w:spacing w:after="360"/>
        <w:ind w:left="0" w:firstLine="0"/>
        <w:jc w:val="center"/>
        <w:rPr>
          <w:b/>
          <w:bCs/>
        </w:rPr>
      </w:pPr>
      <w:r>
        <w:rPr>
          <w:i/>
          <w:iCs/>
          <w:u w:val="none"/>
          <w:lang w:val="ru-RU"/>
        </w:rPr>
        <w:t xml:space="preserve">Рисунок 3. Схема </w:t>
      </w:r>
      <w:r>
        <w:rPr>
          <w:i/>
          <w:iCs/>
          <w:u w:val="none"/>
          <w:lang w:val="en-US"/>
        </w:rPr>
        <w:t xml:space="preserve">To Be </w:t>
      </w:r>
      <w:r>
        <w:rPr>
          <w:i/>
          <w:iCs/>
          <w:u w:val="none"/>
          <w:lang w:val="ru-RU"/>
        </w:rPr>
        <w:t>на втором этапе работы сервиса ТАК</w:t>
      </w:r>
    </w:p>
    <w:p w14:paraId="0000004B">
      <w:pPr>
        <w:pStyle w:val="Normal"/>
        <w:ind w:left="0" w:firstLine="0"/>
        <w:jc w:val="both"/>
        <w:rPr/>
      </w:pPr>
      <w:r>
        <w:rPr>
          <w:lang w:val="ru-RU"/>
        </w:rPr>
        <w:tab/>
      </w:r>
      <w:r>
        <w:rPr>
          <w:lang w:val="ru-RU"/>
        </w:rPr>
        <w:t>1 - ТАК договаривается с рекламными площадками о способе взаимодействия (кроме описанных на первом этапе рекламные площадки могут войти в ТАК-20</w:t>
      </w:r>
      <w:r>
        <w:rPr>
          <w:lang w:val="ru-RU"/>
        </w:rPr>
        <w:t>)</w:t>
      </w:r>
    </w:p>
    <w:p w14:paraId="0000004C">
      <w:pPr>
        <w:pStyle w:val="Normal"/>
        <w:ind w:left="0" w:firstLine="0"/>
        <w:jc w:val="both"/>
        <w:rPr/>
      </w:pPr>
      <w:r>
        <w:rPr>
          <w:lang w:val="ru-RU"/>
        </w:rPr>
        <w:tab/>
        <w:t xml:space="preserve">2 - Сервис ТАК продолжает оплачивать подписку на </w:t>
      </w:r>
      <w:r>
        <w:rPr>
          <w:lang w:val="en-US"/>
        </w:rPr>
        <w:t xml:space="preserve">API </w:t>
      </w:r>
      <w:r>
        <w:rPr>
          <w:lang w:val="ru-RU"/>
        </w:rPr>
        <w:t xml:space="preserve">от </w:t>
      </w:r>
      <w:r>
        <w:rPr>
          <w:lang w:val="en-US"/>
        </w:rPr>
        <w:t xml:space="preserve">Brand Analytics, </w:t>
      </w:r>
      <w:r>
        <w:rPr>
          <w:lang w:val="ru-RU"/>
        </w:rPr>
        <w:t>чтобы актуализировать информацию об аудиториях на различных площадках</w:t>
      </w:r>
    </w:p>
    <w:p w14:paraId="0000004D">
      <w:pPr>
        <w:pStyle w:val="Normal"/>
        <w:ind w:left="0" w:firstLine="0"/>
        <w:jc w:val="both"/>
        <w:rPr>
          <w:lang w:val="ru-RU"/>
        </w:rPr>
      </w:pPr>
      <w:r>
        <w:rPr>
          <w:lang w:val="ru-RU"/>
        </w:rPr>
        <w:tab/>
        <w:t xml:space="preserve">3 - С </w:t>
      </w:r>
      <w:r>
        <w:rPr>
          <w:lang w:val="en-US"/>
        </w:rPr>
        <w:t>Brand Analytics</w:t>
      </w:r>
      <w:r>
        <w:rPr>
          <w:lang w:val="en-US"/>
        </w:rPr>
        <w:t xml:space="preserve"> </w:t>
      </w:r>
      <w:r>
        <w:rPr>
          <w:lang w:val="ru-RU"/>
        </w:rPr>
        <w:t>по</w:t>
      </w:r>
      <w:r>
        <w:rPr>
          <w:lang w:val="ru-RU"/>
        </w:rPr>
        <w:t>ступают данные в базу данных</w:t>
      </w:r>
      <w:r>
        <w:rPr>
          <w:lang w:val="ru-RU"/>
        </w:rPr>
        <w:t xml:space="preserve"> ТАК об аудитории на различных площадках</w:t>
      </w:r>
    </w:p>
    <w:p w14:paraId="0000004E">
      <w:pPr>
        <w:pStyle w:val="Normal"/>
        <w:ind w:left="0" w:firstLine="720"/>
        <w:jc w:val="both"/>
        <w:rPr>
          <w:lang w:val="ru-RU"/>
        </w:rPr>
      </w:pPr>
      <w:r>
        <w:rPr>
          <w:lang w:val="ru-RU"/>
        </w:rPr>
        <w:t>4 - Из базы данных ТАК данные об аудиториях на различных площадках переходят в базу знаний, так как на этом этапе формирование рекомендаций по выбору рекламных площадок происходит в базе знаний</w:t>
      </w:r>
    </w:p>
    <w:p w14:paraId="0000004F">
      <w:pPr>
        <w:pStyle w:val="Normal"/>
        <w:ind w:left="0" w:firstLine="720"/>
        <w:jc w:val="both"/>
        <w:rPr/>
      </w:pPr>
      <w:r>
        <w:rPr>
          <w:lang w:val="ru-RU"/>
        </w:rPr>
        <w:t>5 - Пользователь приходит в сервис ТАК, формирует запрос на поиск площадок, релевантных его продукту, вводя свою целевую аудиторию и бюджет</w:t>
      </w:r>
    </w:p>
    <w:p w14:paraId="00000050">
      <w:pPr>
        <w:pStyle w:val="Normal"/>
        <w:ind w:left="0" w:firstLine="720"/>
        <w:jc w:val="both"/>
        <w:rPr/>
      </w:pPr>
      <w:r>
        <w:rPr>
          <w:lang w:val="ru-RU"/>
        </w:rPr>
        <w:t>6 - На основе введённых пользователем данных сервис формирует запрос к базе знаний</w:t>
      </w:r>
    </w:p>
    <w:p w14:paraId="00000051">
      <w:pPr>
        <w:pStyle w:val="Normal"/>
        <w:ind w:left="0" w:firstLine="720"/>
        <w:jc w:val="both"/>
        <w:rPr/>
      </w:pPr>
      <w:r>
        <w:rPr>
          <w:lang w:val="ru-RU"/>
        </w:rPr>
        <w:t>7 - Пользователь получает список площадок и публикует на выбранных площадках рекламу через сервис ТАК</w:t>
      </w:r>
    </w:p>
    <w:p w14:paraId="00000052">
      <w:pPr>
        <w:pStyle w:val="Normal"/>
        <w:ind w:left="0" w:firstLine="720"/>
        <w:jc w:val="both"/>
        <w:rPr>
          <w:lang w:val="ru-RU"/>
        </w:rPr>
      </w:pPr>
      <w:r>
        <w:rPr>
          <w:lang w:val="ru-RU"/>
        </w:rPr>
        <w:t>8 - Сервис ТАК публикует объявления пользователя на выбранных рекламных площадках и собирает статистику с площадок</w:t>
      </w:r>
    </w:p>
    <w:p w14:paraId="00000053">
      <w:pPr>
        <w:pStyle w:val="Normal"/>
        <w:ind w:left="0" w:firstLine="720"/>
        <w:jc w:val="both"/>
        <w:rPr>
          <w:lang w:val="ru-RU"/>
        </w:rPr>
      </w:pPr>
      <w:r>
        <w:rPr>
          <w:lang w:val="ru-RU"/>
        </w:rPr>
        <w:t>9 - Сервис ТАК предоставляет пользователю статистику, чтобы тот мог редактировать рекламную кампанию</w:t>
      </w:r>
    </w:p>
    <w:p w14:paraId="00000054">
      <w:pPr>
        <w:pStyle w:val="Normal"/>
        <w:ind w:left="0" w:firstLine="720"/>
        <w:jc w:val="both"/>
        <w:rPr>
          <w:lang w:val="ru-RU"/>
        </w:rPr>
      </w:pPr>
      <w:r>
        <w:rPr>
          <w:lang w:val="ru-RU"/>
        </w:rPr>
        <w:t>10 - Сервис ТАК записывает данные об эффективности рекламы в базу знаний</w:t>
      </w:r>
    </w:p>
    <w:p w14:paraId="00000055">
      <w:pPr>
        <w:pStyle w:val="Heading1"/>
        <w:rPr/>
      </w:pPr>
      <w:r>
        <w:rPr>
          <w:lang w:val="ru-RU"/>
        </w:rPr>
        <w:t>5. Реклама и маркетинг</w:t>
      </w:r>
    </w:p>
    <w:p w14:paraId="00000056">
      <w:pPr>
        <w:pStyle w:val="Heading2"/>
        <w:spacing w:before="0" w:after="440"/>
        <w:ind w:left="0" w:firstLine="567"/>
        <w:rPr/>
      </w:pPr>
      <w:r>
        <w:rPr>
          <w:lang w:val="ru-RU"/>
        </w:rPr>
        <w:t>5.1. Образ целевого потребителя</w:t>
      </w:r>
    </w:p>
    <w:p w14:paraId="00000057">
      <w:pPr>
        <w:pStyle w:val="Normal"/>
        <w:ind w:left="0" w:firstLine="0"/>
        <w:rPr/>
      </w:pPr>
      <w:r>
        <w:rPr>
          <w:lang w:val="en-US"/>
        </w:rPr>
        <w:tab/>
      </w:r>
      <w:r>
        <w:rPr>
          <w:lang w:val="ru-RU"/>
        </w:rPr>
        <w:t>Основной потребитель - компании МСП, которые имеют ограниченный бюджет, не имеют опытных маркетологов и планируют запустить рекламную кампанию продукта.</w:t>
      </w:r>
    </w:p>
    <w:p w14:paraId="00000058">
      <w:pPr>
        <w:pStyle w:val="Heading2"/>
        <w:spacing w:before="440" w:after="440"/>
        <w:ind w:left="0" w:firstLine="567"/>
        <w:rPr/>
      </w:pPr>
      <w:r>
        <w:rPr>
          <w:lang w:val="ru-RU"/>
        </w:rPr>
        <w:t>5.2. Как о сервисе узнают потребители</w:t>
      </w:r>
    </w:p>
    <w:p w14:paraId="00000059">
      <w:pPr>
        <w:pStyle w:val="Normal"/>
        <w:ind w:left="0" w:firstLine="0"/>
        <w:rPr/>
      </w:pPr>
      <w:r>
        <w:rPr>
          <w:lang w:val="ru-RU"/>
        </w:rPr>
        <w:tab/>
        <w:t xml:space="preserve">Сервис ТАК будет представлен сайтом в интернете, и сообществами в социальных сетях. Соответственно будет </w:t>
      </w:r>
      <w:r>
        <w:rPr>
          <w:lang w:val="en-US"/>
        </w:rPr>
        <w:t>SEO-</w:t>
      </w:r>
      <w:r>
        <w:rPr>
          <w:lang w:val="ru-RU"/>
        </w:rPr>
        <w:t>оптимизация, реклама в соцсетях.</w:t>
      </w:r>
    </w:p>
    <w:p w14:paraId="0000005A">
      <w:pPr>
        <w:pStyle w:val="Normal"/>
        <w:ind w:left="0" w:firstLine="0"/>
        <w:rPr/>
      </w:pPr>
      <w:r>
        <w:rPr>
          <w:lang w:val="ru-RU"/>
        </w:rPr>
        <w:tab/>
        <w:t>Потребители будут искать сервисы для рекламы в интернете и в социальных сетях и наткнутся на сервис ТАК.</w:t>
      </w:r>
    </w:p>
    <w:p w14:paraId="0000005B">
      <w:pPr>
        <w:pStyle w:val="Heading2"/>
        <w:spacing w:before="440" w:after="440"/>
        <w:ind w:left="0" w:firstLine="567"/>
        <w:rPr>
          <w:lang w:val="ru-RU"/>
        </w:rPr>
      </w:pPr>
      <w:r>
        <w:rPr>
          <w:lang w:val="ru-RU"/>
        </w:rPr>
        <w:t>5.3. Причины использования</w:t>
      </w:r>
    </w:p>
    <w:p w14:paraId="0000005C">
      <w:pPr>
        <w:pStyle w:val="Normal"/>
        <w:ind w:left="0" w:firstLine="0"/>
        <w:rPr/>
      </w:pPr>
      <w:r>
        <w:rPr>
          <w:lang w:val="ru-RU"/>
        </w:rPr>
        <w:tab/>
        <w:t>Сервис ТАК делает создание рекламных кампаний проще: пользователю не нужно самому изучать десятки площадок, при этом снижается риск потратить деньги на нерелевантные площадки.</w:t>
      </w:r>
    </w:p>
    <w:p w14:paraId="0000005D">
      <w:pPr>
        <w:pStyle w:val="Heading2"/>
        <w:spacing w:before="440" w:after="440"/>
        <w:ind w:left="0" w:firstLine="567"/>
        <w:rPr/>
      </w:pPr>
      <w:r>
        <w:rPr>
          <w:lang w:val="ru-RU"/>
        </w:rPr>
        <w:t>5.4. Время жизни пользователя</w:t>
      </w:r>
    </w:p>
    <w:p w14:paraId="0000005E">
      <w:pPr>
        <w:pStyle w:val="Normal"/>
        <w:ind w:left="0" w:firstLine="0"/>
        <w:rPr/>
      </w:pPr>
      <w:r>
        <w:rPr>
          <w:lang w:val="ru-RU"/>
        </w:rPr>
        <w:tab/>
        <w:t>Если при использовании сервиса рекламодатели будут получать рекомендации, которые действительно приведут их на нужные рекламные площадки, то с высокой вероятностью эти рекламодатели будут регулярно возвращаться к сервису при запуске новых рекламных кампаний.</w:t>
      </w:r>
    </w:p>
    <w:p w14:paraId="0000005F">
      <w:pPr>
        <w:pStyle w:val="Heading2"/>
        <w:spacing w:before="440" w:after="440"/>
        <w:ind w:left="0" w:firstLine="567"/>
        <w:rPr/>
      </w:pPr>
      <w:r>
        <w:rPr>
          <w:lang w:val="ru-RU"/>
        </w:rPr>
        <w:t>5.5. Конкуренты</w:t>
      </w:r>
    </w:p>
    <w:p w14:paraId="00000060">
      <w:pPr>
        <w:pStyle w:val="Normal"/>
        <w:ind w:left="0" w:firstLine="567"/>
        <w:rPr/>
      </w:pPr>
      <w:r>
        <w:rPr>
          <w:lang w:val="ru-RU"/>
        </w:rPr>
        <w:t>Основные конкуренты представлены на рисунке 4.</w:t>
      </w:r>
    </w:p>
    <w:p w14:paraId="00000061">
      <w:pPr>
        <w:pStyle w:val="Normal"/>
        <w:ind w:left="0" w:firstLine="0"/>
        <w:rPr>
          <w:lang w:val="ru-RU"/>
        </w:rPr>
      </w:pPr>
      <w:r>
        <w:rPr>
          <w:lang w:val="ru-RU"/>
        </w:rPr>
        <w:drawing xmlns:mc="http://schemas.openxmlformats.org/markup-compatibility/2006">
          <wp:inline distT="0" distB="0" distL="0" distR="0">
            <wp:extent cx="5940425" cy="1612900"/>
            <wp:effectExtent l="0" t="0" r="0" b="0"/>
            <wp:docPr id="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8"/>
                    <pic:cNvPicPr>
                      <a:picLocks noGrp="0" noSelect="0" noChangeAspect="1" noMove="0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>
      <w:pPr>
        <w:pStyle w:val="Normal"/>
        <w:spacing w:after="360"/>
        <w:ind w:left="0" w:firstLine="0"/>
        <w:jc w:val="center"/>
        <w:rPr>
          <w:i/>
          <w:iCs/>
          <w:u w:val="none"/>
          <w:lang w:val="ru-RU"/>
        </w:rPr>
      </w:pPr>
      <w:r>
        <w:rPr>
          <w:i/>
          <w:iCs/>
          <w:u w:val="none"/>
          <w:lang w:val="ru-RU"/>
        </w:rPr>
        <w:t>Рисунок 4. Конкуренты сервиса ТАК</w:t>
      </w:r>
    </w:p>
    <w:p w14:paraId="00000063">
      <w:pPr>
        <w:pStyle w:val="Normal"/>
        <w:spacing w:after="360"/>
        <w:ind w:left="0" w:firstLine="0"/>
        <w:jc w:val="both"/>
        <w:rPr>
          <w:i/>
          <w:iCs/>
          <w:u w:val="none"/>
          <w:lang w:val="ru-RU"/>
        </w:rPr>
      </w:pPr>
      <w:r>
        <w:rPr>
          <w:i/>
          <w:iCs/>
          <w:u w:val="none"/>
          <w:lang w:val="ru-RU"/>
        </w:rPr>
        <w:tab/>
      </w:r>
      <w:r>
        <w:rPr>
          <w:b w:val="off"/>
          <w:bCs w:val="off"/>
          <w:i w:val="off"/>
          <w:iCs w:val="off"/>
          <w:u w:val="none"/>
          <w:lang w:val="ru-RU"/>
        </w:rPr>
        <w:t xml:space="preserve">Среди прямых конкурентов можно выделить </w:t>
      </w:r>
      <w:r>
        <w:rPr>
          <w:b w:val="off"/>
          <w:bCs w:val="off"/>
          <w:i w:val="off"/>
          <w:iCs w:val="off"/>
          <w:u w:val="none"/>
          <w:lang w:val="en-US"/>
        </w:rPr>
        <w:t xml:space="preserve">elama </w:t>
      </w:r>
      <w:r>
        <w:rPr>
          <w:b w:val="off"/>
          <w:bCs w:val="off"/>
          <w:i w:val="off"/>
          <w:iCs w:val="off"/>
          <w:u w:val="none"/>
          <w:lang w:val="ru-RU"/>
        </w:rPr>
        <w:t>и Точка Рекламу, которые также являются агрегаторами рекламных площадок, но они не обладают прогнозными моделями, оставляя выбор площадок за пользователем. Яндекс.Директ и Вконтакте предоставляет рекламу на площадках-партнёрах, которых довольно много, но нужно понимать, что эти косвенные конкуренты могут либо войти в ТАК, либо стать оператором данного сервиса.</w:t>
      </w:r>
    </w:p>
    <w:p w14:paraId="00000064">
      <w:pPr>
        <w:pStyle w:val="Heading1"/>
        <w:spacing w:before="0" w:after="440"/>
        <w:rPr>
          <w:lang w:val="ru-RU"/>
        </w:rPr>
      </w:pPr>
      <w:r>
        <w:rPr>
          <w:lang w:val="ru-RU"/>
        </w:rPr>
        <w:br w:type="page"/>
      </w:r>
    </w:p>
    <w:p w14:paraId="00000065">
      <w:pPr>
        <w:pStyle w:val="Heading1"/>
        <w:spacing w:before="0" w:after="440"/>
        <w:rPr/>
      </w:pPr>
      <w:r>
        <w:rPr>
          <w:lang w:val="ru-RU"/>
        </w:rPr>
        <w:t>6. Выводы</w:t>
      </w:r>
    </w:p>
    <w:p w14:paraId="00000066">
      <w:pPr>
        <w:pStyle w:val="Normal"/>
        <w:rPr/>
      </w:pPr>
      <w:r>
        <w:rPr>
          <w:lang w:val="ru-RU"/>
        </w:rPr>
        <w:t xml:space="preserve">Таким образом, сервис </w:t>
      </w:r>
      <w:r>
        <w:rPr>
          <w:lang w:val="en-US"/>
        </w:rPr>
        <w:t xml:space="preserve">TAK </w:t>
      </w:r>
      <w:r>
        <w:rPr>
          <w:lang w:val="ru-RU"/>
        </w:rPr>
        <w:t>помогает МСП подобрать лучшие рекламные площадки, исходя из целевой  аудитории и бюджета рекламодателя. В том числе этот сервис был бы актуальным для меня, так как при разработке стартапов я часто сталкиваюсь с проблемой, что денег на маркетинг мало, и навыков для эффективного построения рекламной кампании нет, поэтому хотелось бы прибегнуть к помощи сторонних сервисов, каким бы мог быть ТАК.</w:t>
      </w:r>
    </w:p>
    <w:p w14:paraId="00000067">
      <w:pPr>
        <w:pStyle w:val="Heading1"/>
        <w:spacing w:after="440"/>
        <w:rPr>
          <w:lang w:val="ru-RU"/>
        </w:rPr>
      </w:pPr>
      <w:r>
        <w:rPr>
          <w:lang w:val="ru-RU"/>
        </w:rPr>
        <w:t>Список использованной литературы</w:t>
      </w:r>
    </w:p>
    <w:p w14:paraId="00000068">
      <w:pPr>
        <w:pStyle w:val="Normal"/>
        <w:ind w:left="0" w:right="0" w:firstLine="0"/>
        <w:rPr/>
      </w:pPr>
      <w:r>
        <w:rPr>
          <w:rFonts w:ascii="Times New Roman" w:cs="Times New Roman" w:hAnsi="Times New Roman"/>
          <w:sz w:val="24"/>
          <w:szCs w:val="24"/>
          <w:lang w:val="ru-RU"/>
        </w:rPr>
        <w:t>1.</w: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begin"/>
      </w:r>
      <w:r>
        <w:rPr>
          <w:rStyle w:val="Hyperlink"/>
          <w:rFonts w:ascii="Times New Roman" w:cs="Times New Roman" w:hAnsi="Times New Roman"/>
          <w:sz w:val="24"/>
          <w:szCs w:val="24"/>
        </w:rPr>
        <w:instrText xml:space="preserve">HYPERLINK "https://nafi.ru/analytics/74-predstaviteley-msp-ispolzuyut-internet-reklamu-dlya-prodvizheniya-svoikh-tovarov-i-uslug/"</w:instrTex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separate"/>
      </w:r>
      <w:r>
        <w:rPr>
          <w:rStyle w:val="Hyperlink"/>
          <w:rFonts w:ascii="Times New Roman" w:cs="Times New Roman" w:hAnsi="Times New Roman"/>
          <w:sz w:val="24"/>
          <w:szCs w:val="24"/>
        </w:rPr>
        <w:t>https://nafi.ru/analytics/74-predstaviteley-msp-ispolzuyut-internet-reklamu-dlya-prodvizheniya-svoikh-tovarov-i-uslug/</w:t>
      </w:r>
      <w:r>
        <w:fldChar w:fldCharType="end"/>
      </w:r>
    </w:p>
    <w:p w14:paraId="00000069">
      <w:pPr>
        <w:pStyle w:val="Normal"/>
        <w:ind w:left="0" w:firstLine="0"/>
        <w:rPr/>
      </w:pPr>
      <w:r>
        <w:rPr>
          <w:rFonts w:ascii="Times New Roman" w:cs="Times New Roman" w:hAnsi="Times New Roman"/>
          <w:sz w:val="24"/>
          <w:szCs w:val="24"/>
          <w:lang w:val="ru-RU"/>
        </w:rPr>
        <w:t xml:space="preserve">2. </w: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begin"/>
      </w:r>
      <w:r>
        <w:rPr>
          <w:rStyle w:val="Hyperlink"/>
          <w:rFonts w:ascii="Times New Roman" w:cs="Times New Roman" w:hAnsi="Times New Roman"/>
          <w:sz w:val="24"/>
          <w:szCs w:val="24"/>
        </w:rPr>
        <w:instrText xml:space="preserve">HYPERLINK "https://opora.ru/site/assets/files/77211/statisticheskie_dannye_po_msp_yanvar_2025g.pdf"</w:instrText>
      </w:r>
      <w:r>
        <w:rPr>
          <w:rStyle w:val="Hyperlink"/>
          <w:rFonts w:ascii="Times New Roman" w:cs="Times New Roman" w:hAnsi="Times New Roman"/>
          <w:sz w:val="24"/>
          <w:szCs w:val="24"/>
        </w:rPr>
        <w:fldChar w:fldCharType="separate"/>
      </w:r>
      <w:r>
        <w:rPr>
          <w:rStyle w:val="Hyperlink"/>
          <w:rFonts w:ascii="Times New Roman" w:cs="Times New Roman" w:hAnsi="Times New Roman"/>
          <w:sz w:val="24"/>
          <w:szCs w:val="24"/>
        </w:rPr>
        <w:t>https://opora.ru/site/assets/files/77211/statisticheskie_dannye_po_msp_yanvar_2025g.pdf</w:t>
      </w:r>
      <w:r>
        <w:rPr>
          <w:rFonts w:ascii="Times New Roman" w:cs="Times New Roman" w:hAnsi="Times New Roman"/>
          <w:sz w:val="24"/>
          <w:szCs w:val="24"/>
        </w:rPr>
        <w:fldChar w:fldCharType="end"/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 w14:paraId="0000006A">
      <w:pPr>
        <w:pStyle w:val="Normal"/>
        <w:ind w:left="0" w:firstLine="0"/>
        <w:rPr/>
      </w:pPr>
      <w:r>
        <w:rPr>
          <w:lang w:val="ru-RU"/>
        </w:rPr>
        <w:t xml:space="preserve">3. </w:t>
      </w:r>
      <w:r>
        <w:rPr>
          <w:rStyle w:val="Hyperlink"/>
          <w:lang w:val="ru-RU"/>
        </w:rPr>
        <w:fldChar w:fldCharType="begin"/>
      </w:r>
      <w:r>
        <w:rPr>
          <w:rStyle w:val="Hyperlink"/>
          <w:lang w:val="ru-RU"/>
        </w:rPr>
        <w:instrText xml:space="preserve">HYPERLINK "https://mintrans.gov.ru/press-center/branch-news/7463"</w:instrText>
      </w:r>
      <w:r>
        <w:rPr>
          <w:rStyle w:val="Hyperlink"/>
          <w:lang w:val="ru-RU"/>
        </w:rPr>
        <w:fldChar w:fldCharType="separate"/>
      </w:r>
      <w:r>
        <w:rPr>
          <w:rStyle w:val="Hyperlink"/>
          <w:lang w:val="ru-RU"/>
        </w:rPr>
        <w:t>https://mintrans.gov.ru/press-center/branch-news/7463</w:t>
      </w:r>
      <w:r>
        <w:fldChar w:fldCharType="end"/>
      </w:r>
    </w:p>
    <w:p w14:paraId="0000006B">
      <w:pPr>
        <w:pStyle w:val="Normal"/>
        <w:ind w:left="0" w:firstLine="0"/>
        <w:rPr/>
      </w:pPr>
    </w:p>
    <w:p w14:paraId="0000006C">
      <w:pPr>
        <w:pStyle w:val="Normal"/>
        <w:rPr/>
      </w:pPr>
      <w:r>
        <w:rPr/>
        <w:br w:type="page"/>
      </w:r>
    </w:p>
    <w:p w14:paraId="0000006D">
      <w:pPr>
        <w:pStyle w:val="Heading1"/>
        <w:spacing w:before="0" w:after="0"/>
        <w:rPr>
          <w:sz w:val="28"/>
          <w:szCs w:val="28"/>
        </w:rPr>
      </w:pPr>
      <w:r>
        <w:rPr>
          <w:sz w:val="28"/>
          <w:szCs w:val="28"/>
          <w:lang w:val="ru-RU"/>
        </w:rPr>
        <w:t>СпортЯчейка</w:t>
      </w:r>
    </w:p>
    <w:p w14:paraId="0000006E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Команда №39 @Vladislav_Vaharenko</w:t>
      </w:r>
    </w:p>
    <w:p w14:paraId="0000006F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СибГУТИ</w:t>
      </w:r>
    </w:p>
    <w:p w14:paraId="00000070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Институт информатики и вычислительной техники (ИВТ)</w:t>
      </w:r>
    </w:p>
    <w:p w14:paraId="00000071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Четвёртый курс бакалавриата</w:t>
      </w:r>
    </w:p>
    <w:p w14:paraId="00000072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Описание проблемы хранения спортивной экипировки и ее решение: сервис СпортЯчейка</w:t>
      </w:r>
    </w:p>
    <w:p w14:paraId="00000073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74">
      <w:pPr>
        <w:pStyle w:val="Heading1"/>
        <w:spacing w:before="0" w:after="440"/>
        <w:rPr/>
      </w:pPr>
      <w:r>
        <w:rPr>
          <w:lang w:val="ru-RU"/>
        </w:rPr>
        <w:t>1. Описание проблемы</w:t>
      </w:r>
    </w:p>
    <w:p w14:paraId="00000075">
      <w:pPr>
        <w:pStyle w:val="Normal"/>
        <w:rPr>
          <w:lang w:val="ru-RU"/>
        </w:rPr>
      </w:pPr>
      <w:r>
        <w:rPr>
          <w:lang w:val="ru-RU"/>
        </w:rPr>
        <w:t>Решается проблема хранения спортивной экипировки.</w:t>
      </w:r>
    </w:p>
    <w:p w14:paraId="00000076">
      <w:pPr>
        <w:pStyle w:val="Normal"/>
        <w:rPr>
          <w:lang w:val="ru-RU"/>
        </w:rPr>
      </w:pPr>
      <w:r>
        <w:t xml:space="preserve">По данным министерства спорта за 2024 год хоккеем с шайбой занимается 702 370 человек, хоккеем с мячом - 51 863, фехтованием - 85 896, регби - 66 992 </w:t>
      </w:r>
      <w:r>
        <w:rPr>
          <w:lang w:val="en-US"/>
        </w:rPr>
        <w:t>[1]</w:t>
      </w:r>
      <w:r>
        <w:t>. Это только некоторые из видов спорта, для занятия которыми необходимо иметь занимающее много места снаряжение</w:t>
      </w:r>
      <w:r>
        <w:t xml:space="preserve">. </w:t>
      </w:r>
      <w:r>
        <w:rPr>
          <w:lang w:val="ru-RU"/>
        </w:rPr>
        <w:t>У большинства любителей, занимающихся этими видами спорта, возникают проблемы с хранением спортивной экипировки. При этом экипировка стоит денег, поэтому данная аудитория является платёжеспособной.</w:t>
      </w:r>
    </w:p>
    <w:p w14:paraId="00000077">
      <w:pPr>
        <w:pStyle w:val="Normal"/>
        <w:rPr>
          <w:lang w:val="ru-RU"/>
        </w:rPr>
      </w:pPr>
      <w:r>
        <w:rPr>
          <w:lang w:val="ru-RU"/>
        </w:rPr>
        <w:t>Предположим, человек днём работает, а после работы хочет поиграть в хоккей. Но у него нет машины, где бы он мог оставить форму, то есть, чтобы поиграть в хоккей, ему необходимо дойти до дома, взять баул, с баулом пойти на стадион и только тогда он сможет вечером поиграть. Кроме того, после игры ему вновь придётся осуществить путешествие с баулом уже до дома, где форму нужно будет постирать и высушить. Всё это доставляет человеку огромный дискомфорт, который может привести к отсутствию желания снова заниматься спортом.</w:t>
      </w:r>
    </w:p>
    <w:p w14:paraId="00000078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79">
      <w:pPr>
        <w:pStyle w:val="Heading1"/>
        <w:spacing w:before="0" w:after="440"/>
        <w:rPr/>
      </w:pPr>
      <w:r>
        <w:rPr>
          <w:lang w:val="ru-RU"/>
        </w:rPr>
        <w:t>2. Идея сервиса</w:t>
      </w:r>
    </w:p>
    <w:p w14:paraId="0000007A">
      <w:pPr>
        <w:pStyle w:val="Normal"/>
        <w:rPr>
          <w:lang w:val="ru-RU"/>
        </w:rPr>
      </w:pPr>
      <w:r>
        <w:rPr>
          <w:lang w:val="ru-RU"/>
        </w:rPr>
        <w:t xml:space="preserve">Для решения данной проблемы в шаговой доступности от спортивных центров/стадионов организуются точки хранения спортивной экипировки. Также создаётся приложение СпортЯчейка на телефон, в котором пользователь сможет: забронировать ячейку, запросить чистку формы, заказать доставку формы на стадион. Чистка и ремонт будут осуществляться по соглашению с существующими химчистками и мастерскими: экипировка из СпортЯчейки будет силами СпортЯчейки отвозиться в химчистки и мастерские, где за экипировкой будет осуществляться соответствующий уход, при этом по соглашению цена за уход для СпортЯчейки будет более низкой, что для химчисток и мастерских будет компенсироваться объёмом поставляемой для ухода экипировки. </w:t>
      </w:r>
    </w:p>
    <w:p w14:paraId="0000007B">
      <w:pPr>
        <w:pStyle w:val="Normal"/>
        <w:rPr/>
      </w:pPr>
      <w:r>
        <w:t>На первом этапе рассматривается запуск пилота в одном городе с дальнейшим расширением в случае успеха.</w:t>
      </w:r>
    </w:p>
    <w:p w14:paraId="0000007C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7D">
      <w:pPr>
        <w:pStyle w:val="Heading1"/>
        <w:spacing w:before="0" w:after="440"/>
        <w:rPr/>
      </w:pPr>
      <w:r>
        <w:rPr>
          <w:lang w:val="ru-RU"/>
        </w:rPr>
        <w:t>3. Участники сервиса</w:t>
      </w:r>
    </w:p>
    <w:p w14:paraId="0000007E">
      <w:pPr>
        <w:pStyle w:val="Normal"/>
        <w:rPr/>
      </w:pPr>
      <w:r>
        <w:rPr>
          <w:lang w:val="ru-RU"/>
        </w:rPr>
        <w:t>Участники сервиса представлены в таблице 1.</w:t>
      </w:r>
    </w:p>
    <w:p w14:paraId="0000007F">
      <w:pPr>
        <w:pStyle w:val="Normal"/>
        <w:spacing w:before="360"/>
        <w:ind w:left="0" w:firstLine="0"/>
        <w:jc w:val="right"/>
        <w:rPr/>
      </w:pPr>
      <w:r>
        <w:rPr>
          <w:i/>
          <w:iCs/>
          <w:lang w:val="ru-RU"/>
        </w:rPr>
        <w:t>Таблица 1. Акторы и их функции</w:t>
      </w:r>
    </w:p>
    <w:tbl>
      <w:tblPr>
        <w:tblStyle w:val="TableGrid"/>
        <w:jc w:val="left"/>
        <w:tblInd w:w="0" w:type="dxa"/>
        <w:tblLayout w:type="auto"/>
      </w:tblPr>
      <w:tblGrid>
        <w:gridCol w:w="1666"/>
        <w:gridCol w:w="2439"/>
        <w:gridCol w:w="2923"/>
        <w:gridCol w:w="2543"/>
      </w:tblGrid>
      <w:tr>
        <w:trPr>
          <w:cnfStyle w:val="100000000000"/>
        </w:trPr>
        <w:tc>
          <w:tcPr>
            <w:cnfStyle w:val="100010000000"/>
            <w:tcW w:w="1666" w:type="dxa"/>
          </w:tcPr>
          <w:p w14:paraId="00000080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Участник</w:t>
            </w:r>
          </w:p>
        </w:tc>
        <w:tc>
          <w:tcPr>
            <w:cnfStyle w:val="100001000000"/>
            <w:tcW w:w="2439" w:type="dxa"/>
            <w:gridSpan w:val="1"/>
          </w:tcPr>
          <w:p w14:paraId="00000081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Кто может выступать</w:t>
            </w:r>
          </w:p>
        </w:tc>
        <w:tc>
          <w:tcPr>
            <w:cnfStyle w:val="100010000000"/>
            <w:tcW w:w="2923" w:type="dxa"/>
          </w:tcPr>
          <w:p w14:paraId="00000082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Функции</w:t>
            </w:r>
          </w:p>
        </w:tc>
        <w:tc>
          <w:tcPr>
            <w:cnfStyle w:val="100001000000"/>
            <w:tcW w:w="2543" w:type="dxa"/>
          </w:tcPr>
          <w:p w14:paraId="00000083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Выгода</w:t>
            </w:r>
          </w:p>
        </w:tc>
      </w:tr>
      <w:tr>
        <w:trPr>
          <w:cnfStyle w:val="000000000000"/>
        </w:trPr>
        <w:tc>
          <w:tcPr>
            <w:cnfStyle w:val="000010000000"/>
            <w:tcW w:w="1666" w:type="dxa"/>
          </w:tcPr>
          <w:p w14:paraId="00000084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Пользователь</w:t>
            </w:r>
          </w:p>
        </w:tc>
        <w:tc>
          <w:tcPr>
            <w:cnfStyle w:val="000001000000"/>
            <w:tcW w:w="2439" w:type="dxa"/>
            <w:gridSpan w:val="1"/>
          </w:tcPr>
          <w:p w14:paraId="00000085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Спортсмены-любители</w:t>
            </w:r>
          </w:p>
        </w:tc>
        <w:tc>
          <w:tcPr>
            <w:cnfStyle w:val="000010000000"/>
            <w:tcW w:w="2923" w:type="dxa"/>
          </w:tcPr>
          <w:p w14:paraId="00000086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Сдача формы, указание необходимых дополнительных услуг, оплата услуг </w:t>
            </w:r>
          </w:p>
        </w:tc>
        <w:tc>
          <w:tcPr>
            <w:cnfStyle w:val="000001000000"/>
            <w:tcW w:w="2543" w:type="dxa"/>
          </w:tcPr>
          <w:p w14:paraId="00000087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Проще заниматься спортом, хранить и ухаживать за экипировкой</w:t>
            </w:r>
          </w:p>
        </w:tc>
      </w:tr>
      <w:tr>
        <w:trPr>
          <w:cnfStyle w:val="000000000000"/>
        </w:trPr>
        <w:tc>
          <w:tcPr>
            <w:cnfStyle w:val="000010000000"/>
            <w:tcW w:w="1666" w:type="dxa"/>
          </w:tcPr>
          <w:p w14:paraId="00000088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Оператор сервиса</w:t>
            </w:r>
          </w:p>
        </w:tc>
        <w:tc>
          <w:tcPr>
            <w:cnfStyle w:val="000001000000"/>
            <w:tcW w:w="2439" w:type="dxa"/>
            <w:gridSpan w:val="1"/>
          </w:tcPr>
          <w:p w14:paraId="00000089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Может быть создана новая компания</w:t>
            </w:r>
          </w:p>
        </w:tc>
        <w:tc>
          <w:tcPr>
            <w:cnfStyle w:val="000010000000"/>
            <w:tcW w:w="2923" w:type="dxa"/>
          </w:tcPr>
          <w:p w14:paraId="0000008A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Предоставление места для хранения и выполнение дополнительных услуг</w:t>
            </w:r>
          </w:p>
        </w:tc>
        <w:tc>
          <w:tcPr>
            <w:cnfStyle w:val="000001000000"/>
            <w:tcW w:w="2543" w:type="dxa"/>
          </w:tcPr>
          <w:p w14:paraId="0000008B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дохода за хранение и дополнительные услуги</w:t>
            </w:r>
          </w:p>
        </w:tc>
      </w:tr>
      <w:tr>
        <w:trPr>
          <w:cnfStyle w:val="000000000000"/>
        </w:trPr>
        <w:tc>
          <w:tcPr>
            <w:cnfStyle w:val="000010000000"/>
            <w:tcW w:w="1666" w:type="dxa"/>
          </w:tcPr>
          <w:p w14:paraId="0000008C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Сервисы чистки и починки экипировки</w:t>
            </w:r>
          </w:p>
        </w:tc>
        <w:tc>
          <w:tcPr>
            <w:cnfStyle w:val="000001000000"/>
            <w:tcW w:w="2439" w:type="dxa"/>
            <w:gridSpan w:val="1"/>
          </w:tcPr>
          <w:p w14:paraId="0000008D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Химчистки, мастерские</w:t>
            </w:r>
          </w:p>
        </w:tc>
        <w:tc>
          <w:tcPr>
            <w:cnfStyle w:val="000010000000"/>
            <w:tcW w:w="2923" w:type="dxa"/>
          </w:tcPr>
          <w:p w14:paraId="0000008E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Осуществляют соответствующий уход за экипировкой, предоставляемой СпортЯчейкой</w:t>
            </w:r>
          </w:p>
        </w:tc>
        <w:tc>
          <w:tcPr>
            <w:cnfStyle w:val="000001000000"/>
            <w:tcW w:w="2543" w:type="dxa"/>
          </w:tcPr>
          <w:p w14:paraId="0000008F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дохода за уход за экипировкой, большое количество заказов</w:t>
            </w:r>
          </w:p>
        </w:tc>
      </w:tr>
    </w:tbl>
    <w:p w14:paraId="00000090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91">
      <w:pPr>
        <w:pStyle w:val="Heading1"/>
        <w:spacing w:before="0" w:after="200"/>
        <w:rPr/>
      </w:pPr>
      <w:r>
        <w:rPr>
          <w:lang w:val="ru-RU"/>
        </w:rPr>
        <w:t>4. Процессы в сервисе и их описание</w:t>
      </w:r>
    </w:p>
    <w:p w14:paraId="00000092">
      <w:pPr>
        <w:pStyle w:val="Normal"/>
        <w:spacing w:after="440"/>
        <w:ind w:firstLine="567"/>
        <w:rPr>
          <w:b/>
          <w:bCs/>
          <w:lang w:val="ru-RU"/>
        </w:rPr>
      </w:pPr>
      <w:r>
        <w:rPr>
          <w:b/>
          <w:bCs/>
          <w:lang w:val="ru-RU"/>
        </w:rPr>
        <w:t xml:space="preserve">4.1. Схема </w:t>
      </w:r>
      <w:r>
        <w:rPr>
          <w:b/>
          <w:bCs/>
          <w:lang w:val="en-US"/>
        </w:rPr>
        <w:t>As Is</w:t>
      </w:r>
    </w:p>
    <w:p w14:paraId="00000093">
      <w:pPr>
        <w:pStyle w:val="Normal"/>
        <w:spacing w:after="440"/>
        <w:ind w:left="0" w:firstLine="0"/>
        <w:rPr>
          <w:b/>
          <w:bCs/>
          <w:lang w:val="ru-RU"/>
        </w:rPr>
      </w:pPr>
      <w:r>
        <w:rPr>
          <w:b w:val="off"/>
          <w:bCs w:val="off"/>
          <w:lang w:val="en-US"/>
        </w:rPr>
        <w:tab/>
      </w:r>
      <w:r>
        <w:rPr>
          <w:b w:val="off"/>
          <w:bCs w:val="off"/>
          <w:lang w:val="ru-RU"/>
        </w:rPr>
        <w:t>Текущие процессы взаимодействия между акторами представлены на рисунке 1.</w:t>
      </w:r>
    </w:p>
    <w:p w14:paraId="00000094">
      <w:pPr>
        <w:pStyle w:val="Normal"/>
        <w:ind w:left="0"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drawing xmlns:mc="http://schemas.openxmlformats.org/markup-compatibility/2006">
          <wp:inline distT="0" distB="0" distL="0" distR="0">
            <wp:extent cx="3689350" cy="3045460"/>
            <wp:effectExtent l="0" t="0" r="0" b="0"/>
            <wp:docPr id="11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47"/>
                    <pic:cNvPicPr>
                      <a:picLocks noGrp="0" noSelect="0" noChangeAspect="1" noMove="0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5">
      <w:pPr>
        <w:pStyle w:val="Normal"/>
        <w:spacing w:after="360"/>
        <w:ind w:left="0" w:firstLine="0"/>
        <w:jc w:val="center"/>
        <w:rPr>
          <w:b/>
          <w:bCs/>
          <w:lang w:val="ru-RU"/>
        </w:rPr>
      </w:pPr>
      <w:r>
        <w:rPr>
          <w:i/>
          <w:iCs/>
          <w:u w:val="none"/>
          <w:lang w:val="ru-RU"/>
        </w:rPr>
        <w:t xml:space="preserve">Рисунок 1. Схема </w:t>
      </w:r>
      <w:r>
        <w:rPr>
          <w:i/>
          <w:iCs/>
          <w:u w:val="none"/>
          <w:lang w:val="en-US"/>
        </w:rPr>
        <w:t>As Is</w:t>
      </w:r>
    </w:p>
    <w:p w14:paraId="00000096">
      <w:pPr>
        <w:pStyle w:val="Normal"/>
        <w:ind w:left="0" w:firstLine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ab/>
      </w:r>
      <w:r>
        <w:rPr>
          <w:b w:val="off"/>
          <w:bCs w:val="off"/>
          <w:lang w:val="ru-RU"/>
        </w:rPr>
        <w:t>1 - Человек после работы идёт домой за экипировкой для занятия спортом</w:t>
      </w:r>
    </w:p>
    <w:p w14:paraId="00000097">
      <w:pPr>
        <w:pStyle w:val="Normal"/>
        <w:ind w:left="0" w:firstLine="0"/>
        <w:jc w:val="both"/>
        <w:rPr>
          <w:b/>
          <w:bCs/>
          <w:lang w:val="ru-RU"/>
        </w:rPr>
      </w:pPr>
      <w:r>
        <w:rPr>
          <w:b w:val="off"/>
          <w:bCs w:val="off"/>
          <w:lang w:val="ru-RU"/>
        </w:rPr>
        <w:tab/>
        <w:t>2 - Человек берёт дома экипировку и идёт заниматься в место проведения тренировки и после тренировки возвращается домой</w:t>
      </w:r>
    </w:p>
    <w:p w14:paraId="00000098">
      <w:pPr>
        <w:pStyle w:val="Normal"/>
        <w:ind w:left="0" w:firstLine="0"/>
        <w:jc w:val="both"/>
        <w:rPr>
          <w:b/>
          <w:bCs/>
          <w:lang w:val="ru-RU"/>
        </w:rPr>
      </w:pPr>
      <w:r>
        <w:rPr>
          <w:b w:val="off"/>
          <w:bCs w:val="off"/>
          <w:lang w:val="ru-RU"/>
        </w:rPr>
        <w:tab/>
        <w:t>3 - После тренировки человек при необходимости сам</w:t>
      </w:r>
      <w:r>
        <w:rPr>
          <w:b w:val="off"/>
          <w:bCs w:val="off"/>
          <w:lang w:val="ru-RU"/>
        </w:rPr>
        <w:t xml:space="preserve"> стирает или чистит форму, либо относит её в химчистку</w:t>
      </w:r>
    </w:p>
    <w:p w14:paraId="00000099">
      <w:pPr>
        <w:pStyle w:val="Normal"/>
        <w:ind w:left="0" w:firstLine="0"/>
        <w:jc w:val="both"/>
        <w:rPr>
          <w:b/>
          <w:bCs/>
          <w:lang w:val="ru-RU"/>
        </w:rPr>
      </w:pPr>
      <w:r>
        <w:rPr>
          <w:b w:val="off"/>
          <w:bCs w:val="off"/>
          <w:lang w:val="ru-RU"/>
        </w:rPr>
        <w:tab/>
        <w:t>4 - Если экипировка нуждается в ремонте, человек должен найти соответствующую мастерскую и отнести экипировку туда для починки</w:t>
      </w:r>
    </w:p>
    <w:p w14:paraId="0000009A">
      <w:pPr>
        <w:pStyle w:val="Normal"/>
        <w:ind w:left="0" w:firstLine="0"/>
        <w:jc w:val="both"/>
        <w:rPr>
          <w:b/>
          <w:bCs/>
          <w:lang w:val="ru-RU"/>
        </w:rPr>
      </w:pPr>
      <w:r>
        <w:rPr>
          <w:b w:val="off"/>
          <w:bCs w:val="off"/>
          <w:lang w:val="ru-RU"/>
        </w:rPr>
        <w:tab/>
        <w:t>5 - В остальное время человек может заниматься личными делами</w:t>
      </w:r>
    </w:p>
    <w:p w14:paraId="0000009B">
      <w:pPr>
        <w:pStyle w:val="Normal"/>
        <w:spacing w:before="440" w:after="440"/>
        <w:ind w:firstLine="567"/>
        <w:rPr>
          <w:b/>
          <w:bCs/>
          <w:lang w:val="ru-RU"/>
        </w:rPr>
      </w:pPr>
      <w:r>
        <w:rPr>
          <w:b/>
          <w:bCs/>
          <w:lang w:val="ru-RU"/>
        </w:rPr>
        <w:t xml:space="preserve">4.2. Схема </w:t>
      </w:r>
      <w:r>
        <w:rPr>
          <w:b/>
          <w:bCs/>
          <w:lang w:val="en-US"/>
        </w:rPr>
        <w:t>To Be</w:t>
      </w:r>
    </w:p>
    <w:p w14:paraId="0000009C">
      <w:pPr>
        <w:pStyle w:val="Normal"/>
        <w:rPr>
          <w:lang w:val="ru-RU"/>
        </w:rPr>
      </w:pPr>
      <w:r>
        <w:rPr>
          <w:lang w:val="ru-RU"/>
        </w:rPr>
        <w:t>Ключевой процесс - хранение формы.</w:t>
      </w:r>
    </w:p>
    <w:p w14:paraId="0000009D">
      <w:pPr>
        <w:pStyle w:val="Normal"/>
        <w:rPr/>
      </w:pPr>
      <w:r>
        <w:rPr>
          <w:lang w:val="ru-RU"/>
        </w:rPr>
        <w:t>Схема работы сервиса представлена на рисунке 2.</w:t>
      </w:r>
    </w:p>
    <w:p w14:paraId="0000009E">
      <w:pPr>
        <w:pStyle w:val="Normal"/>
        <w:ind w:left="0" w:firstLine="0"/>
        <w:jc w:val="center"/>
        <w:rPr/>
      </w:pPr>
      <w:r>
        <w:rPr/>
        <w:drawing xmlns:mc="http://schemas.openxmlformats.org/markup-compatibility/2006">
          <wp:inline distT="0" distB="0" distL="0" distR="0">
            <wp:extent cx="4734560" cy="4094480"/>
            <wp:effectExtent l="0" t="0" r="0" b="0"/>
            <wp:docPr id="11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>
                      <a:picLocks noGrp="0" noSelect="0" noChangeAspect="1" noMove="0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F">
      <w:pPr>
        <w:pStyle w:val="Normal"/>
        <w:spacing w:after="360"/>
        <w:ind w:left="0" w:firstLine="0"/>
        <w:jc w:val="center"/>
        <w:rPr/>
      </w:pPr>
      <w:r>
        <w:rPr>
          <w:i/>
          <w:iCs/>
          <w:u w:val="none"/>
          <w:lang w:val="ru-RU"/>
        </w:rPr>
        <w:t xml:space="preserve">Рисунок 2. Схема </w:t>
      </w:r>
      <w:r>
        <w:rPr>
          <w:i/>
          <w:iCs/>
          <w:u w:val="none"/>
          <w:lang w:val="en-US"/>
        </w:rPr>
        <w:t xml:space="preserve">To Be </w:t>
      </w:r>
      <w:r>
        <w:rPr>
          <w:i/>
          <w:iCs/>
          <w:u w:val="none"/>
          <w:lang w:val="ru-RU"/>
        </w:rPr>
        <w:t>на первом этапе работы сервиса ТАК</w:t>
      </w:r>
    </w:p>
    <w:p w14:paraId="000000A0">
      <w:pPr>
        <w:pStyle w:val="Normal"/>
        <w:ind w:left="0" w:firstLine="720"/>
        <w:jc w:val="both"/>
        <w:rPr/>
      </w:pPr>
      <w:r>
        <w:rPr>
          <w:lang w:val="ru-RU"/>
        </w:rPr>
        <w:t>1 - Человек после работы идёт за формой в сервис СпортЯчейка, который расположен рядом с местом проведения тренировки</w:t>
      </w:r>
    </w:p>
    <w:p w14:paraId="000000A1">
      <w:pPr>
        <w:pStyle w:val="Normal"/>
        <w:ind w:left="0" w:firstLine="0"/>
        <w:jc w:val="both"/>
        <w:rPr/>
      </w:pPr>
      <w:r>
        <w:rPr>
          <w:lang w:val="ru-RU"/>
        </w:rPr>
        <w:tab/>
        <w:t xml:space="preserve">2 - </w:t>
      </w:r>
      <w:r>
        <w:rPr>
          <w:b w:val="off"/>
          <w:bCs w:val="off"/>
          <w:lang w:val="ru-RU"/>
        </w:rPr>
        <w:t>Человек забирает экипировку и идёт заниматься в место проведения тренировки и после тренировки возвращает форму в СпортЯчейку</w:t>
      </w:r>
    </w:p>
    <w:p w14:paraId="000000A2">
      <w:pPr>
        <w:pStyle w:val="Normal"/>
        <w:ind w:left="0" w:firstLine="0"/>
        <w:jc w:val="both"/>
        <w:rPr/>
      </w:pPr>
      <w:r>
        <w:rPr>
          <w:b w:val="off"/>
          <w:bCs w:val="off"/>
          <w:lang w:val="ru-RU"/>
        </w:rPr>
        <w:tab/>
        <w:t>3</w:t>
      </w:r>
      <w:r>
        <w:rPr>
          <w:b w:val="off"/>
          <w:bCs w:val="off"/>
          <w:lang w:val="ru-RU"/>
        </w:rPr>
        <w:t xml:space="preserve"> - При сдаче экипировки пользователь отмечает, нужны ли ему дополнительные услуги: чистка и ремонт. В случае необходимости СпортЯчейка силами курьеров, работающих в СпортЯчейке, отправляет вещи соответственно в химчимстку и мастерскую, также курьер сможет доставлять форму до зала/дома пользователя/ в любое отделение СпортЯчейки, это пользователь сможет указать в приложении</w:t>
      </w:r>
    </w:p>
    <w:p w14:paraId="000000A3">
      <w:pPr>
        <w:pStyle w:val="Normal"/>
        <w:ind w:left="0" w:firstLine="0"/>
        <w:jc w:val="both"/>
        <w:rPr/>
      </w:pPr>
      <w:r>
        <w:rPr>
          <w:lang w:val="ru-RU"/>
        </w:rPr>
        <w:tab/>
        <w:t>4 - Человек может заниматься личными делами</w:t>
      </w:r>
    </w:p>
    <w:p w14:paraId="000000A4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A5">
      <w:pPr>
        <w:pStyle w:val="Heading1"/>
        <w:spacing w:before="0"/>
        <w:rPr/>
      </w:pPr>
      <w:r>
        <w:rPr>
          <w:lang w:val="ru-RU"/>
        </w:rPr>
        <w:t>5. Реклама и маркетинг</w:t>
      </w:r>
    </w:p>
    <w:p w14:paraId="000000A6">
      <w:pPr>
        <w:pStyle w:val="Heading2"/>
        <w:spacing w:before="0" w:after="440"/>
        <w:ind w:left="0" w:firstLine="567"/>
        <w:rPr/>
      </w:pPr>
      <w:r>
        <w:rPr>
          <w:lang w:val="ru-RU"/>
        </w:rPr>
        <w:t>5.1. Образ целевого потребителя</w:t>
      </w:r>
    </w:p>
    <w:p w14:paraId="000000A7">
      <w:pPr>
        <w:pStyle w:val="Normal"/>
        <w:ind w:left="0" w:firstLine="0"/>
        <w:rPr/>
      </w:pPr>
      <w:r>
        <w:rPr>
          <w:lang w:val="en-US"/>
        </w:rPr>
        <w:tab/>
      </w:r>
      <w:r>
        <w:rPr>
          <w:lang w:val="ru-RU"/>
        </w:rPr>
        <w:t xml:space="preserve">Основные потребители - спортсмены-любители, которые </w:t>
      </w:r>
      <w:r>
        <w:rPr>
          <w:lang w:val="ru-RU"/>
        </w:rPr>
        <w:t>в свободное от работы время</w:t>
      </w:r>
      <w:r>
        <w:rPr>
          <w:lang w:val="ru-RU"/>
        </w:rPr>
        <w:t xml:space="preserve"> занимаются спортом, подразумевающим большое количество крупно габаритной экипировки. </w:t>
      </w:r>
    </w:p>
    <w:p w14:paraId="000000A8">
      <w:pPr>
        <w:pStyle w:val="Heading2"/>
        <w:spacing w:before="440" w:after="440"/>
        <w:ind w:left="0" w:firstLine="567"/>
        <w:rPr/>
      </w:pPr>
      <w:r>
        <w:rPr>
          <w:lang w:val="ru-RU"/>
        </w:rPr>
        <w:t>5.2. Как о сервисе узнают потребители</w:t>
      </w:r>
    </w:p>
    <w:p w14:paraId="000000A9">
      <w:pPr>
        <w:pStyle w:val="Normal"/>
        <w:ind w:left="0" w:firstLine="0"/>
        <w:rPr/>
      </w:pPr>
      <w:r>
        <w:rPr>
          <w:lang w:val="ru-RU"/>
        </w:rPr>
        <w:tab/>
        <w:t xml:space="preserve">Реклама в городах, где будет запускаться сервис, кросс-маркетинг со стадионами/спортивными центрами, бизнес-центрами, где может находиться наша целевая аудитория. </w:t>
      </w:r>
    </w:p>
    <w:p w14:paraId="000000AA">
      <w:pPr>
        <w:pStyle w:val="Heading2"/>
        <w:spacing w:before="440" w:after="440"/>
        <w:ind w:left="0" w:firstLine="567"/>
        <w:rPr>
          <w:lang w:val="ru-RU"/>
        </w:rPr>
      </w:pPr>
      <w:r>
        <w:rPr>
          <w:lang w:val="ru-RU"/>
        </w:rPr>
        <w:t>5.3. Причины использования</w:t>
      </w:r>
    </w:p>
    <w:p w14:paraId="000000AB">
      <w:pPr>
        <w:pStyle w:val="Normal"/>
        <w:ind w:left="0" w:firstLine="720"/>
        <w:rPr>
          <w:lang w:val="ru-RU"/>
        </w:rPr>
      </w:pPr>
      <w:r>
        <w:rPr>
          <w:lang w:val="ru-RU"/>
        </w:rPr>
        <w:t>Сервис СпортЯчейка помогает заниматься спортом без забот об экипировке, что было бы актуально для многих людей.</w:t>
      </w:r>
    </w:p>
    <w:p w14:paraId="000000AC">
      <w:pPr>
        <w:pStyle w:val="Heading2"/>
        <w:spacing w:before="440" w:after="440"/>
        <w:ind w:left="0" w:firstLine="567"/>
        <w:rPr/>
      </w:pPr>
      <w:r>
        <w:rPr>
          <w:lang w:val="ru-RU"/>
        </w:rPr>
        <w:t>5.4. Время жизни пользователя</w:t>
      </w:r>
    </w:p>
    <w:p w14:paraId="000000AD">
      <w:pPr>
        <w:pStyle w:val="Normal"/>
        <w:ind w:left="0" w:firstLine="0"/>
        <w:rPr/>
      </w:pPr>
      <w:r>
        <w:rPr>
          <w:lang w:val="ru-RU"/>
        </w:rPr>
        <w:tab/>
        <w:t>Сервис СпортЯчейка будет актуален для пользователя всё время, пока он занимается спортом.</w:t>
      </w:r>
    </w:p>
    <w:p w14:paraId="000000AE">
      <w:pPr>
        <w:pStyle w:val="Heading2"/>
        <w:spacing w:before="440" w:after="440"/>
        <w:ind w:left="0" w:firstLine="567"/>
        <w:rPr/>
      </w:pPr>
      <w:r>
        <w:rPr>
          <w:lang w:val="ru-RU"/>
        </w:rPr>
        <w:t>5.5. Главные конкуренты</w:t>
      </w:r>
    </w:p>
    <w:p w14:paraId="000000AF">
      <w:pPr>
        <w:pStyle w:val="Normal"/>
        <w:ind w:left="0" w:firstLine="0"/>
        <w:rPr/>
      </w:pPr>
      <w:r>
        <w:rPr>
          <w:lang w:val="ru-RU"/>
        </w:rPr>
        <w:tab/>
        <w:t>Прямых конкурентов в данный момент нет. Для чистки можно отдать экипировку в химчистку, для ремонта можно отдать экипировку в мастерскую, а форму хранить в машине, но чистка и ремонт платные, а машина есть не у всех.</w:t>
      </w:r>
    </w:p>
    <w:p w14:paraId="000000B0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B1">
      <w:pPr>
        <w:pStyle w:val="Heading1"/>
        <w:rPr/>
      </w:pPr>
      <w:r>
        <w:rPr>
          <w:lang w:val="ru-RU"/>
        </w:rPr>
        <w:t>6. Выводы</w:t>
      </w:r>
    </w:p>
    <w:p w14:paraId="000000B2">
      <w:pPr>
        <w:pStyle w:val="Normal"/>
        <w:rPr/>
      </w:pPr>
      <w:r>
        <w:rPr>
          <w:lang w:val="ru-RU"/>
        </w:rPr>
        <w:t>Таким образом, сервис СпортЯчейка поможет проще заниматься спортом с крупно габаритной экипировкой. В том числе этот сервис был бы актуален для меня. Последние 4 года я живу в общежитии, у меня возникают проблемы не только с тем, чтобы доставлять форму на стадион, но и с тем, чтобы её хранить. В следствие этого я временно перестал заниматься хоккеем, поэтому, если бы появился такой сервис, я бы с удовольствием воспользовался им, чтобы вернуться к занятиям.</w:t>
      </w:r>
    </w:p>
    <w:p w14:paraId="000000B3">
      <w:pPr>
        <w:pStyle w:val="Heading1"/>
        <w:rPr>
          <w:lang w:val="ru-RU"/>
        </w:rPr>
      </w:pPr>
      <w:r>
        <w:rPr>
          <w:lang w:val="ru-RU"/>
        </w:rPr>
        <w:t>Список использованной литературы</w:t>
      </w:r>
    </w:p>
    <w:p w14:paraId="000000B4">
      <w:pPr>
        <w:pStyle w:val="Normal"/>
        <w:ind w:left="0" w:firstLine="0"/>
        <w:rPr/>
      </w:pPr>
      <w:r>
        <w:rPr>
          <w:lang w:val="en-US"/>
        </w:rPr>
        <w:t>1.https://storage.minsport.gov.ru/cms-uploads/cms/Svodnyj_otchet_1_FK_po_Rossijskoj_Federaczii_c59f937566.xlsx</w:t>
      </w:r>
      <w:r>
        <w:rPr>
          <w:lang w:val="en-US"/>
        </w:rPr>
        <w:br w:type="page"/>
      </w:r>
    </w:p>
    <w:p w14:paraId="000000B5">
      <w:pPr>
        <w:pStyle w:val="Heading1"/>
        <w:spacing w:before="0" w:after="0"/>
        <w:rPr>
          <w:sz w:val="28"/>
          <w:szCs w:val="28"/>
        </w:rPr>
      </w:pPr>
      <w:r>
        <w:rPr>
          <w:sz w:val="28"/>
          <w:szCs w:val="28"/>
          <w:lang w:val="ru-RU"/>
        </w:rPr>
        <w:t>КриптоМир</w:t>
      </w:r>
    </w:p>
    <w:p w14:paraId="000000B6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Команда №39 @Vladislav_Vaharenko</w:t>
      </w:r>
    </w:p>
    <w:p w14:paraId="000000B7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СибГУТИ</w:t>
      </w:r>
    </w:p>
    <w:p w14:paraId="000000B8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Институт информатики и вычислительной техники (ИВТ)</w:t>
      </w:r>
    </w:p>
    <w:p w14:paraId="000000B9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Четвёртый курс бакалавриата</w:t>
      </w:r>
    </w:p>
    <w:p w14:paraId="000000BA">
      <w:pPr>
        <w:rPr>
          <w:rFonts w:ascii="Arial Narrow" w:hAnsi="Arial Narrow"/>
        </w:rPr>
      </w:pPr>
      <w:r>
        <w:rPr>
          <w:rFonts w:ascii="Arial Narrow" w:hAnsi="Arial Narrow"/>
          <w:lang w:val="ru-RU"/>
        </w:rPr>
        <w:t>Описание проблемы осуществления трансграничных платежей</w:t>
      </w:r>
      <w:r>
        <w:rPr>
          <w:rFonts w:ascii="Arial Narrow" w:hAnsi="Arial Narrow"/>
          <w:lang w:val="ru-RU"/>
        </w:rPr>
        <w:t xml:space="preserve"> и ее решение: сервис КриптоМир</w:t>
      </w:r>
    </w:p>
    <w:p w14:paraId="000000BB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BC">
      <w:pPr>
        <w:pStyle w:val="Heading1"/>
        <w:spacing w:before="0" w:after="440"/>
        <w:rPr/>
      </w:pPr>
      <w:r>
        <w:rPr>
          <w:lang w:val="ru-RU"/>
        </w:rPr>
        <w:t>1. Описание проблемы</w:t>
      </w:r>
    </w:p>
    <w:p w14:paraId="000000BD">
      <w:pPr>
        <w:pStyle w:val="Normal"/>
        <w:rPr>
          <w:lang w:val="ru-RU"/>
        </w:rPr>
      </w:pPr>
      <w:r>
        <w:rPr>
          <w:lang w:val="ru-RU"/>
        </w:rPr>
        <w:t>Решается проблема осуществления трансграничных платежей.</w:t>
      </w:r>
    </w:p>
    <w:p w14:paraId="000000BE">
      <w:pPr>
        <w:pStyle w:val="Normal"/>
        <w:rPr>
          <w:lang w:val="ru-RU"/>
        </w:rPr>
      </w:pPr>
      <w:r>
        <w:rPr>
          <w:lang w:val="ru-RU"/>
        </w:rPr>
        <w:t xml:space="preserve">По данным отчёта </w:t>
      </w:r>
      <w:r>
        <w:rPr>
          <w:lang w:val="en-US"/>
        </w:rPr>
        <w:t xml:space="preserve">State of Crypto 2025 </w:t>
      </w:r>
      <w:r>
        <w:rPr>
          <w:lang w:val="ru-RU"/>
        </w:rPr>
        <w:t xml:space="preserve">от венчурной компании </w:t>
      </w:r>
      <w:r>
        <w:rPr>
          <w:lang w:val="en-US"/>
        </w:rPr>
        <w:t>a16z</w:t>
      </w:r>
      <w:r>
        <w:rPr>
          <w:lang w:val="en-US"/>
        </w:rPr>
        <w:t xml:space="preserve"> </w:t>
      </w:r>
      <w:r>
        <w:rPr>
          <w:lang w:val="ru-RU"/>
        </w:rPr>
        <w:t>в 2025 году капитализация рынка криптовалют впервые превысила 4 трлн долларов [1]. При этом в России криптовалюта не является платёжным средством, но в условиях санкций криптовалюта является популярным средством для трансграничных платежей. Это противоречие порождает проблему: при осуществлении трансграничных платежей гражданам РФ приходится использовать инфраструктуру, которая не регулируется в РФ. Это вновь отсылает нас к проблеме осуществления трансграничных платежей: пользователям приходится совершать дополнительные действия - переводить деньги из банков РФ в банки, работающие с криптовалютой. В условиях глобализации трансграничные платежи стали обычным делом, поэтому многие бы хотели осуществлять их без лишних усилий.</w:t>
      </w:r>
      <w:r>
        <w:rPr>
          <w:lang w:val="ru-RU"/>
        </w:rPr>
        <w:br w:type="page"/>
      </w:r>
    </w:p>
    <w:p w14:paraId="000000BF">
      <w:pPr>
        <w:pStyle w:val="Heading1"/>
        <w:spacing w:before="0" w:after="440"/>
        <w:rPr/>
      </w:pPr>
      <w:r>
        <w:rPr>
          <w:lang w:val="ru-RU"/>
        </w:rPr>
        <w:t>2. Идея сервиса</w:t>
      </w:r>
    </w:p>
    <w:p w14:paraId="000000C0">
      <w:pPr>
        <w:pStyle w:val="Normal"/>
        <w:rPr>
          <w:lang w:val="ru-RU"/>
        </w:rPr>
      </w:pPr>
      <w:r>
        <w:rPr>
          <w:lang w:val="ru-RU"/>
        </w:rPr>
        <w:t>Для решения данной проблемы предлагается интегрировать карты Мир с криптообменниками.</w:t>
      </w:r>
    </w:p>
    <w:p w14:paraId="000000C1">
      <w:pPr>
        <w:pStyle w:val="Normal"/>
        <w:rPr>
          <w:lang w:val="ru-RU"/>
        </w:rPr>
      </w:pPr>
      <w:r>
        <w:rPr>
          <w:lang w:val="ru-RU"/>
        </w:rPr>
        <w:t xml:space="preserve">Банки заключают договоры с криптообменниками и встраивают в свой интерфейс трансграничные переводы с использованием криптовалюты. </w:t>
      </w:r>
      <w:r>
        <w:rPr>
          <w:lang w:val="ru-RU"/>
        </w:rPr>
        <w:t xml:space="preserve">При переходе в соответствующую вкладку в приложении банка можно будет ввести либо адрес криптокошелька, либо номер карты, если карта получателя также интегрирована с криптобиржей. </w:t>
      </w:r>
      <w:r>
        <w:rPr>
          <w:lang w:val="ru-RU"/>
        </w:rPr>
        <w:t>В первом случае пользователь вводит сумму для списания, ищется наиболее выгодный для пользователя курс, фиатные деньги пользователя переводятся в криптовалюту, криптовалюта зачисляется на кошелёк получателя, во втором случае пользователь вводит сумму для списания, формируется путь платежа: ищется биржа, которая предоставит лучший курс для перевода фиатной валюты пользователя в криптовалюту, затем ищется биржа, которая предоставит наиболее выгодный курс для перевода криптовалюты в фиатную валюту получателя, после формирования пути осуществляется перевод.</w:t>
      </w:r>
    </w:p>
    <w:p w14:paraId="000000C2">
      <w:pPr>
        <w:pStyle w:val="Normal"/>
        <w:rPr>
          <w:lang w:val="ru-RU"/>
        </w:rPr>
      </w:pPr>
      <w:r>
        <w:rPr>
          <w:lang w:val="ru-RU"/>
        </w:rPr>
        <w:t>Таким образом, пользователи смогут легко осуществлять трансграничные платежи.</w:t>
      </w:r>
    </w:p>
    <w:p w14:paraId="000000C3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C4">
      <w:pPr>
        <w:pStyle w:val="Heading1"/>
        <w:spacing w:before="0" w:after="440"/>
        <w:rPr/>
      </w:pPr>
      <w:r>
        <w:rPr>
          <w:lang w:val="ru-RU"/>
        </w:rPr>
        <w:t>3. Участники сервиса</w:t>
      </w:r>
    </w:p>
    <w:p w14:paraId="000000C5">
      <w:pPr>
        <w:pStyle w:val="Normal"/>
        <w:rPr/>
      </w:pPr>
      <w:r>
        <w:rPr>
          <w:lang w:val="ru-RU"/>
        </w:rPr>
        <w:t>Участники сервиса представлены в таблице 1.</w:t>
      </w:r>
    </w:p>
    <w:p w14:paraId="000000C6">
      <w:pPr>
        <w:pStyle w:val="Normal"/>
        <w:spacing w:before="360"/>
        <w:ind w:left="0" w:firstLine="0"/>
        <w:jc w:val="right"/>
        <w:rPr/>
      </w:pPr>
      <w:r>
        <w:rPr>
          <w:i/>
          <w:iCs/>
          <w:lang w:val="ru-RU"/>
        </w:rPr>
        <w:t>Таблица 1. Акторы и их функции</w:t>
      </w:r>
    </w:p>
    <w:tbl>
      <w:tblPr>
        <w:tblStyle w:val="TableGrid"/>
        <w:tblInd w:w="0" w:type="dxa"/>
        <w:tblLayout w:type="auto"/>
      </w:tblPr>
      <w:tblGrid>
        <w:gridCol w:w="1652"/>
        <w:gridCol w:w="2500"/>
        <w:gridCol w:w="2898"/>
        <w:gridCol w:w="2521"/>
      </w:tblGrid>
      <w:tr>
        <w:trPr>
          <w:cnfStyle w:val="100000000000"/>
        </w:trPr>
        <w:tc>
          <w:tcPr>
            <w:cnfStyle w:val="100010000000"/>
            <w:tcW w:w="1666" w:type="dxa"/>
          </w:tcPr>
          <w:p w14:paraId="000000C7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Участник</w:t>
            </w:r>
          </w:p>
        </w:tc>
        <w:tc>
          <w:tcPr>
            <w:cnfStyle w:val="100001000000"/>
            <w:tcW w:w="2439" w:type="dxa"/>
            <w:gridSpan w:val="1"/>
          </w:tcPr>
          <w:p w14:paraId="000000C8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Кто может выступать</w:t>
            </w:r>
          </w:p>
        </w:tc>
        <w:tc>
          <w:tcPr>
            <w:cnfStyle w:val="100010000000"/>
            <w:tcW w:w="2923" w:type="dxa"/>
          </w:tcPr>
          <w:p w14:paraId="000000C9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Функции</w:t>
            </w:r>
          </w:p>
        </w:tc>
        <w:tc>
          <w:tcPr>
            <w:cnfStyle w:val="100001000000"/>
            <w:tcW w:w="2543" w:type="dxa"/>
          </w:tcPr>
          <w:p w14:paraId="000000CA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Выгода</w:t>
            </w:r>
          </w:p>
        </w:tc>
      </w:tr>
      <w:tr>
        <w:trPr>
          <w:cnfStyle w:val="000000000000"/>
        </w:trPr>
        <w:tc>
          <w:tcPr>
            <w:cnfStyle w:val="000010000000"/>
            <w:tcW w:w="1666" w:type="dxa"/>
          </w:tcPr>
          <w:p w14:paraId="000000CB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Пользователь</w:t>
            </w:r>
          </w:p>
        </w:tc>
        <w:tc>
          <w:tcPr>
            <w:cnfStyle w:val="000001000000"/>
            <w:tcW w:w="2439" w:type="dxa"/>
            <w:gridSpan w:val="1"/>
          </w:tcPr>
          <w:p w14:paraId="000000CC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Физлица РФ</w:t>
            </w:r>
          </w:p>
        </w:tc>
        <w:tc>
          <w:tcPr>
            <w:cnfStyle w:val="000010000000"/>
            <w:tcW w:w="2923" w:type="dxa"/>
          </w:tcPr>
          <w:p w14:paraId="000000CD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Запрос на трансграничный перевод</w:t>
            </w:r>
          </w:p>
        </w:tc>
        <w:tc>
          <w:tcPr>
            <w:cnfStyle w:val="000001000000"/>
            <w:tcW w:w="2543" w:type="dxa"/>
          </w:tcPr>
          <w:p w14:paraId="000000CE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Проще осуществлять трансграничные платежи</w:t>
            </w:r>
          </w:p>
        </w:tc>
      </w:tr>
      <w:tr>
        <w:trPr>
          <w:cnfStyle w:val="000000000000"/>
        </w:trPr>
        <w:tc>
          <w:tcPr>
            <w:cnfStyle w:val="000010000000"/>
            <w:tcW w:w="1666" w:type="dxa"/>
          </w:tcPr>
          <w:p w14:paraId="000000CF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Банк</w:t>
            </w:r>
          </w:p>
        </w:tc>
        <w:tc>
          <w:tcPr>
            <w:cnfStyle w:val="000001000000"/>
            <w:tcW w:w="2439" w:type="dxa"/>
            <w:gridSpan w:val="1"/>
          </w:tcPr>
          <w:p w14:paraId="000000D0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Любой банк - участник соглашения</w:t>
            </w:r>
          </w:p>
        </w:tc>
        <w:tc>
          <w:tcPr>
            <w:cnfStyle w:val="000010000000"/>
            <w:tcW w:w="2923" w:type="dxa"/>
          </w:tcPr>
          <w:p w14:paraId="000000D1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Интерфейс для пользователей, </w:t>
            </w:r>
            <w:r>
              <w:rPr>
                <w:sz w:val="22"/>
                <w:szCs w:val="22"/>
                <w:lang w:val="en-US"/>
              </w:rPr>
              <w:t>KYC, AML</w:t>
            </w:r>
          </w:p>
        </w:tc>
        <w:tc>
          <w:tcPr>
            <w:cnfStyle w:val="000001000000"/>
            <w:tcW w:w="2543" w:type="dxa"/>
          </w:tcPr>
          <w:p w14:paraId="000000D2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дохода от комиссии - 0,5% с перевода</w:t>
            </w:r>
          </w:p>
        </w:tc>
      </w:tr>
      <w:tr>
        <w:trPr>
          <w:cnfStyle w:val="000000000000"/>
        </w:trPr>
        <w:tc>
          <w:tcPr>
            <w:cnfStyle w:val="000010000000"/>
            <w:tcW w:w="1666" w:type="dxa"/>
          </w:tcPr>
          <w:p w14:paraId="000000D3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Криптообменник</w:t>
            </w:r>
          </w:p>
        </w:tc>
        <w:tc>
          <w:tcPr>
            <w:cnfStyle w:val="000001000000"/>
            <w:tcW w:w="2439" w:type="dxa"/>
            <w:gridSpan w:val="1"/>
          </w:tcPr>
          <w:p w14:paraId="000000D4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Любой криптообменник - участник соглашения</w:t>
            </w:r>
          </w:p>
        </w:tc>
        <w:tc>
          <w:tcPr>
            <w:cnfStyle w:val="000010000000"/>
            <w:tcW w:w="2923" w:type="dxa"/>
          </w:tcPr>
          <w:p w14:paraId="000000D5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Обмен фиата на криптовалюту и криптовалюты на фиат, перевод средств</w:t>
            </w:r>
          </w:p>
        </w:tc>
        <w:tc>
          <w:tcPr>
            <w:cnfStyle w:val="000001000000"/>
            <w:tcW w:w="2543" w:type="dxa"/>
          </w:tcPr>
          <w:p w14:paraId="000000D6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Получение дохода от комиссии - 1% с перевода</w:t>
            </w:r>
          </w:p>
        </w:tc>
      </w:tr>
      <w:tr>
        <w:trPr>
          <w:cnfStyle w:val="000000000000"/>
        </w:trPr>
        <w:tc>
          <w:tcPr>
            <w:cnfStyle w:val="000010000000"/>
            <w:tcW w:w="1666" w:type="dxa"/>
          </w:tcPr>
          <w:p w14:paraId="000000D7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Оператор платформы</w:t>
            </w:r>
          </w:p>
        </w:tc>
        <w:tc>
          <w:tcPr>
            <w:cnfStyle w:val="000001000000"/>
            <w:tcW w:w="2439" w:type="dxa"/>
            <w:gridSpan w:val="1"/>
          </w:tcPr>
          <w:p w14:paraId="000000D8">
            <w:pPr>
              <w:pStyle w:val="Normal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Суперквалифицированный финансовый оператор</w:t>
            </w:r>
          </w:p>
        </w:tc>
        <w:tc>
          <w:tcPr>
            <w:cnfStyle w:val="000010000000"/>
            <w:tcW w:w="2923" w:type="dxa"/>
          </w:tcPr>
          <w:p w14:paraId="000000D9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Разработка шаблонов смарт-контрактов, управление оракул-шлюзом</w:t>
            </w:r>
          </w:p>
        </w:tc>
        <w:tc>
          <w:tcPr>
            <w:cnfStyle w:val="000001000000"/>
            <w:tcW w:w="2543" w:type="dxa"/>
          </w:tcPr>
          <w:p w14:paraId="000000DA">
            <w:pPr>
              <w:pStyle w:val="Normal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Доход после лицензирования технологии</w:t>
            </w:r>
          </w:p>
        </w:tc>
      </w:tr>
    </w:tbl>
    <w:p w14:paraId="000000DB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DC">
      <w:pPr>
        <w:pStyle w:val="Heading1"/>
        <w:spacing w:before="0" w:after="200"/>
        <w:rPr/>
      </w:pPr>
      <w:r>
        <w:rPr>
          <w:lang w:val="ru-RU"/>
        </w:rPr>
        <w:t>4. Процессы в сервисе и их описание</w:t>
      </w:r>
    </w:p>
    <w:p w14:paraId="000000DD">
      <w:pPr>
        <w:pStyle w:val="Normal"/>
        <w:spacing w:after="440"/>
        <w:ind w:firstLine="567"/>
        <w:rPr>
          <w:b/>
          <w:bCs/>
          <w:lang w:val="ru-RU"/>
        </w:rPr>
      </w:pPr>
      <w:r>
        <w:rPr>
          <w:b/>
          <w:bCs/>
          <w:lang w:val="ru-RU"/>
        </w:rPr>
        <w:t xml:space="preserve">4.1. Схема </w:t>
      </w:r>
      <w:r>
        <w:rPr>
          <w:b/>
          <w:bCs/>
          <w:lang w:val="en-US"/>
        </w:rPr>
        <w:t>As Is</w:t>
      </w:r>
    </w:p>
    <w:p w14:paraId="000000DE">
      <w:pPr>
        <w:pStyle w:val="Normal"/>
        <w:spacing w:after="440"/>
        <w:ind w:left="0" w:firstLine="0"/>
        <w:rPr>
          <w:b/>
          <w:bCs/>
          <w:lang w:val="ru-RU"/>
        </w:rPr>
      </w:pPr>
      <w:r>
        <w:rPr>
          <w:b w:val="off"/>
          <w:bCs w:val="off"/>
          <w:lang w:val="en-US"/>
        </w:rPr>
        <w:tab/>
      </w:r>
      <w:r>
        <w:rPr>
          <w:b w:val="off"/>
          <w:bCs w:val="off"/>
          <w:lang w:val="ru-RU"/>
        </w:rPr>
        <w:t>Текущие процессы взаимодействия между акторами представлены на рисунке 1.</w:t>
      </w:r>
    </w:p>
    <w:p w14:paraId="000000DF">
      <w:pPr>
        <w:pStyle w:val="Normal"/>
        <w:ind w:left="0" w:firstLine="0"/>
        <w:rPr>
          <w:lang w:val="ru-RU"/>
        </w:rPr>
      </w:pPr>
      <w:r>
        <w:rPr>
          <w:lang w:val="ru-RU"/>
        </w:rPr>
        <w:drawing xmlns:mc="http://schemas.openxmlformats.org/markup-compatibility/2006">
          <wp:inline distT="0" distB="0" distL="0" distR="0">
            <wp:extent cx="5940425" cy="3262630"/>
            <wp:effectExtent l="0" t="0" r="0" b="0"/>
            <wp:docPr id="1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57"/>
                    <pic:cNvPicPr>
                      <a:picLocks noGrp="0" noSelect="0" noChangeAspect="1" noMove="0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0">
      <w:pPr>
        <w:pStyle w:val="Normal"/>
        <w:spacing w:after="360"/>
        <w:ind w:left="0" w:firstLine="0"/>
        <w:jc w:val="center"/>
        <w:rPr>
          <w:lang w:val="ru-RU"/>
        </w:rPr>
      </w:pPr>
      <w:r>
        <w:rPr>
          <w:i/>
          <w:iCs/>
          <w:u w:val="none"/>
          <w:lang w:val="ru-RU"/>
        </w:rPr>
        <w:t xml:space="preserve">Рисунок 1. Схема </w:t>
      </w:r>
      <w:r>
        <w:rPr>
          <w:i/>
          <w:iCs/>
          <w:u w:val="none"/>
          <w:lang w:val="en-US"/>
        </w:rPr>
        <w:t>As Is</w:t>
      </w:r>
    </w:p>
    <w:p w14:paraId="000000E1">
      <w:pPr>
        <w:pStyle w:val="Normal"/>
        <w:ind w:left="0" w:firstLine="0"/>
        <w:rPr>
          <w:lang w:val="ru-RU"/>
        </w:rPr>
      </w:pPr>
      <w:r>
        <w:rPr>
          <w:lang w:val="ru-RU"/>
        </w:rPr>
        <w:tab/>
        <w:t>1 - Гражданин РФ заходит в приложение банка РФ, чтобы перевести деньги в банк, который работает с криптой</w:t>
      </w:r>
    </w:p>
    <w:p w14:paraId="000000E2">
      <w:pPr>
        <w:pStyle w:val="Normal"/>
        <w:ind w:left="0" w:firstLine="0"/>
        <w:rPr>
          <w:lang w:val="ru-RU"/>
        </w:rPr>
      </w:pPr>
      <w:r>
        <w:rPr>
          <w:lang w:val="ru-RU"/>
        </w:rPr>
        <w:tab/>
        <w:t>2 - Из банка РФ по инициативе пользователя происходит перевод в банк, работающий с криптовалютой</w:t>
      </w:r>
    </w:p>
    <w:p w14:paraId="000000E3">
      <w:pPr>
        <w:pStyle w:val="Normal"/>
        <w:ind w:left="0" w:firstLine="720"/>
        <w:rPr>
          <w:lang w:val="ru-RU"/>
        </w:rPr>
      </w:pPr>
      <w:r>
        <w:rPr>
          <w:lang w:val="ru-RU"/>
        </w:rPr>
        <w:t>3 - Из банка, работающего с криптовалютой, происходит перевод на криптобиржу</w:t>
      </w:r>
    </w:p>
    <w:p w14:paraId="000000E4">
      <w:pPr>
        <w:pStyle w:val="Normal"/>
        <w:ind w:left="0" w:firstLine="0"/>
        <w:rPr>
          <w:lang w:val="ru-RU"/>
        </w:rPr>
      </w:pPr>
      <w:r>
        <w:rPr>
          <w:lang w:val="ru-RU"/>
        </w:rPr>
        <w:tab/>
        <w:t>4 - Криптобиржа переводит средства со счёта одного пользователя на счёт другого пользователя</w:t>
      </w:r>
    </w:p>
    <w:p w14:paraId="000000E5">
      <w:pPr>
        <w:pStyle w:val="Normal"/>
        <w:ind w:left="0" w:firstLine="0"/>
        <w:rPr>
          <w:lang w:val="ru-RU"/>
        </w:rPr>
      </w:pPr>
      <w:r>
        <w:rPr>
          <w:lang w:val="ru-RU"/>
        </w:rPr>
        <w:tab/>
        <w:t>5 - Получатель переводит средства с криптобиржи на счёт своего банка (считаем, что он работает с криптой)</w:t>
      </w:r>
    </w:p>
    <w:p w14:paraId="000000E6">
      <w:pPr>
        <w:pStyle w:val="Normal"/>
        <w:ind w:left="0" w:firstLine="0"/>
        <w:rPr>
          <w:lang w:val="ru-RU"/>
        </w:rPr>
      </w:pPr>
      <w:r>
        <w:rPr>
          <w:lang w:val="ru-RU"/>
        </w:rPr>
        <w:tab/>
        <w:t>6 - Получатель получает деньги</w:t>
      </w:r>
    </w:p>
    <w:p w14:paraId="000000E7">
      <w:pPr>
        <w:pStyle w:val="Normal"/>
        <w:spacing w:before="440" w:after="440"/>
        <w:ind w:firstLine="567"/>
        <w:rPr>
          <w:b/>
          <w:bCs/>
          <w:lang w:val="ru-RU"/>
        </w:rPr>
      </w:pPr>
      <w:r>
        <w:rPr>
          <w:b/>
          <w:bCs/>
          <w:lang w:val="ru-RU"/>
        </w:rPr>
        <w:t xml:space="preserve">4.2. Схема </w:t>
      </w:r>
      <w:r>
        <w:rPr>
          <w:b/>
          <w:bCs/>
          <w:lang w:val="en-US"/>
        </w:rPr>
        <w:t>To Be</w:t>
      </w:r>
    </w:p>
    <w:p w14:paraId="000000E8">
      <w:pPr>
        <w:pStyle w:val="Normal"/>
        <w:rPr>
          <w:lang w:val="ru-RU"/>
        </w:rPr>
      </w:pPr>
      <w:r>
        <w:rPr>
          <w:lang w:val="ru-RU"/>
        </w:rPr>
        <w:t>Ключевой процесс - трансграничный перевод.</w:t>
      </w:r>
    </w:p>
    <w:p w14:paraId="000000E9">
      <w:pPr>
        <w:pStyle w:val="Normal"/>
        <w:ind w:left="0" w:firstLine="720"/>
        <w:rPr>
          <w:b/>
          <w:bCs/>
          <w:lang w:val="ru-RU"/>
        </w:rPr>
      </w:pPr>
      <w:r>
        <w:rPr>
          <w:lang w:val="ru-RU"/>
        </w:rPr>
        <w:t>Схема работы сервиса представлена на рисунке 2.</w:t>
      </w:r>
    </w:p>
    <w:p w14:paraId="000000EA">
      <w:pPr>
        <w:pStyle w:val="Normal"/>
        <w:ind w:left="0" w:firstLine="0"/>
        <w:rPr>
          <w:lang w:val="ru-RU"/>
        </w:rPr>
      </w:pPr>
      <w:r>
        <w:rPr>
          <w:lang w:val="ru-RU"/>
        </w:rPr>
        <w:drawing xmlns:mc="http://schemas.openxmlformats.org/markup-compatibility/2006">
          <wp:inline distT="0" distB="0" distL="0" distR="0">
            <wp:extent cx="5940425" cy="2807970"/>
            <wp:effectExtent l="0" t="0" r="0" b="0"/>
            <wp:docPr id="114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Grp="0" noSelect="0" noChangeAspect="1" noMove="0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B">
      <w:pPr>
        <w:pStyle w:val="Normal"/>
        <w:spacing w:after="360"/>
        <w:ind w:left="0" w:firstLine="0"/>
        <w:jc w:val="center"/>
        <w:rPr>
          <w:lang w:val="ru-RU"/>
        </w:rPr>
      </w:pPr>
      <w:r>
        <w:rPr>
          <w:i/>
          <w:iCs/>
          <w:u w:val="none"/>
          <w:lang w:val="ru-RU"/>
        </w:rPr>
        <w:t xml:space="preserve">Рисунок 2. Схема </w:t>
      </w:r>
      <w:r>
        <w:rPr>
          <w:i/>
          <w:iCs/>
          <w:u w:val="none"/>
          <w:lang w:val="en-US"/>
        </w:rPr>
        <w:t>To Be</w:t>
      </w:r>
    </w:p>
    <w:p w14:paraId="000000EC">
      <w:pPr>
        <w:pStyle w:val="Normal"/>
        <w:ind w:left="0" w:firstLine="720"/>
        <w:rPr>
          <w:lang w:val="ru-RU"/>
        </w:rPr>
      </w:pPr>
      <w:r>
        <w:rPr>
          <w:lang w:val="ru-RU"/>
        </w:rPr>
        <w:t>1 -</w:t>
      </w:r>
      <w:r>
        <w:rPr>
          <w:lang w:val="ru-RU"/>
        </w:rPr>
        <w:t xml:space="preserve"> Гражданин РФ</w:t>
      </w:r>
      <w:r>
        <w:rPr>
          <w:lang w:val="ru-RU"/>
        </w:rPr>
        <w:t xml:space="preserve"> инициирует перевод в другую страну в приложении банка</w:t>
      </w:r>
    </w:p>
    <w:p w14:paraId="000000ED">
      <w:pPr>
        <w:pStyle w:val="Normal"/>
        <w:ind w:left="0" w:firstLine="720"/>
        <w:rPr>
          <w:lang w:val="ru-RU"/>
        </w:rPr>
      </w:pPr>
      <w:r>
        <w:rPr>
          <w:lang w:val="ru-RU"/>
        </w:rPr>
        <w:t>2 - Банк находит наиболее выгодный по курсу криптообменник, на этом этапе формируется смарт-контракт, в котором прописывается, что банк должен перевести сумму в рублях в криптообменник, а криптообменник должен конвертировать крипту в валюту государства получателя и перевести на карту получателя фиат его страны, при этом весь путь формируется сразу. Смарт-контракт привнесёт прозрачность и неизменяемость, так как логика перевода будет записана в блокчейне используемой при переводе крипты и ни одна из сторон не сможет её изменить, а также защиту от сбоев: если перевод не сможет дойти до получателя, по смарт-контракту отправителю вернут его средства. Шаблоны смарт-контрактов разрабатываются оператором платформы “КриптоМир” и управляются оракул-шлюзом, разработанным им же</w:t>
      </w:r>
    </w:p>
    <w:p w14:paraId="000000EE">
      <w:pPr>
        <w:pStyle w:val="Normal"/>
        <w:ind w:left="0" w:firstLine="720"/>
        <w:rPr>
          <w:lang w:val="ru-RU"/>
        </w:rPr>
      </w:pPr>
      <w:r>
        <w:rPr>
          <w:lang w:val="ru-RU"/>
        </w:rPr>
        <w:t>3.1 - В случае, если перевод осуществляется через несколько криптобирж (это может происходить, когда наиболее выгодные биржи не работают с некоторыми банками) происходит перевод с криптобиржи на следующую криптобиржу, которая сможет доставить актив до получателя, в соответствии с путём, определённым на шаге 2</w:t>
      </w:r>
    </w:p>
    <w:p w14:paraId="000000EF">
      <w:pPr>
        <w:pStyle w:val="Normal"/>
        <w:ind w:left="0" w:firstLine="720"/>
        <w:rPr/>
      </w:pPr>
      <w:r>
        <w:rPr>
          <w:lang w:val="ru-RU"/>
        </w:rPr>
        <w:t>3.2, 4 - Криптобиржа в соответствии со смарт-контрактом переводит в банк иностранного государства фиат этого иностранного государства</w:t>
      </w:r>
    </w:p>
    <w:p w14:paraId="000000F0">
      <w:pPr>
        <w:pStyle w:val="Normal"/>
        <w:ind w:left="0" w:firstLine="720"/>
        <w:rPr/>
      </w:pPr>
      <w:r>
        <w:rPr>
          <w:lang w:val="ru-RU"/>
        </w:rPr>
        <w:t>5 - Получатель получает деньги</w:t>
      </w:r>
    </w:p>
    <w:p w14:paraId="000000F1">
      <w:pPr>
        <w:pStyle w:val="Heading1"/>
        <w:rPr/>
      </w:pPr>
      <w:r>
        <w:rPr>
          <w:lang w:val="ru-RU"/>
        </w:rPr>
        <w:t>5. Реклама и маркетинг</w:t>
      </w:r>
    </w:p>
    <w:p w14:paraId="000000F2">
      <w:pPr>
        <w:pStyle w:val="Heading2"/>
        <w:spacing w:before="440" w:after="440"/>
        <w:ind w:left="0" w:firstLine="567"/>
        <w:rPr/>
      </w:pPr>
      <w:r>
        <w:rPr>
          <w:lang w:val="ru-RU"/>
        </w:rPr>
        <w:t>5.1. Образ целевого потребителя</w:t>
      </w:r>
    </w:p>
    <w:p w14:paraId="000000F3">
      <w:pPr>
        <w:pStyle w:val="Normal"/>
        <w:spacing w:before="440" w:after="440"/>
        <w:ind w:left="0" w:firstLine="720"/>
        <w:rPr/>
      </w:pPr>
      <w:r>
        <w:rPr>
          <w:lang w:val="ru-RU"/>
        </w:rPr>
        <w:t>Физические лица, пользующиеся картами МИР и регулярно совершающие трансграничные переводы.</w:t>
      </w:r>
    </w:p>
    <w:p w14:paraId="000000F4">
      <w:pPr>
        <w:pStyle w:val="Heading2"/>
        <w:spacing w:before="440" w:after="440"/>
        <w:ind w:left="0" w:firstLine="567"/>
        <w:rPr/>
      </w:pPr>
      <w:r>
        <w:rPr>
          <w:lang w:val="ru-RU"/>
        </w:rPr>
        <w:t>5.2. Как о сервисе узнают потребители</w:t>
      </w:r>
    </w:p>
    <w:p w14:paraId="000000F5">
      <w:pPr>
        <w:pStyle w:val="Normal"/>
        <w:spacing w:before="440" w:after="440"/>
        <w:ind w:left="0" w:firstLine="0"/>
        <w:rPr/>
      </w:pPr>
      <w:r>
        <w:rPr>
          <w:lang w:val="ru-RU"/>
        </w:rPr>
        <w:tab/>
        <w:t>Пользователи смогут найти новый вариант трансграничных платежей в интерфейсе своих банков. Так как предполагается, что в сервисе будут принимать участие все банки РФ, возможна масштабная рекламная кампания на ТВ и в интернете силами банков.</w:t>
      </w:r>
    </w:p>
    <w:p w14:paraId="000000F6">
      <w:pPr>
        <w:pStyle w:val="Heading2"/>
        <w:spacing w:before="440" w:after="440"/>
        <w:ind w:left="0" w:firstLine="567"/>
        <w:rPr>
          <w:lang w:val="ru-RU"/>
        </w:rPr>
      </w:pPr>
      <w:r>
        <w:rPr>
          <w:lang w:val="ru-RU"/>
        </w:rPr>
        <w:t>5.3. Причины использования</w:t>
      </w:r>
    </w:p>
    <w:p w14:paraId="000000F7">
      <w:pPr>
        <w:pStyle w:val="Normal"/>
        <w:spacing w:before="440" w:after="440"/>
        <w:ind w:left="0" w:firstLine="0"/>
        <w:rPr/>
      </w:pPr>
      <w:r>
        <w:rPr>
          <w:lang w:val="ru-RU"/>
        </w:rPr>
        <w:tab/>
        <w:t>КриптоМир будет являться самым простым и легальным способом совершения трансграничного платежа, поэтому люди предпочтут использовать его.</w:t>
      </w:r>
    </w:p>
    <w:p w14:paraId="000000F8">
      <w:pPr>
        <w:pStyle w:val="Heading2"/>
        <w:spacing w:before="440" w:after="440"/>
        <w:ind w:left="0" w:firstLine="567"/>
        <w:rPr/>
      </w:pPr>
      <w:r>
        <w:rPr>
          <w:lang w:val="ru-RU"/>
        </w:rPr>
        <w:t>5.4. Время жизни пользователя</w:t>
      </w:r>
    </w:p>
    <w:p w14:paraId="000000F9">
      <w:pPr>
        <w:pStyle w:val="Normal"/>
        <w:bidi w:val="off"/>
        <w:rPr>
          <w:highlight w:val="white"/>
          <w:rtl w:val="off"/>
          <w:lang w:val="en-US"/>
        </w:rPr>
      </w:pPr>
      <w:r>
        <w:rPr>
          <w:lang w:val="ru-RU"/>
        </w:rPr>
        <w:tab/>
      </w:r>
      <w:r>
        <w:rPr>
          <w:highlight w:val="white"/>
          <w:rtl w:val="off"/>
          <w:lang w:val="ru-RU"/>
        </w:rPr>
        <w:t xml:space="preserve">Пользователь будет обращаться к сервису </w:t>
      </w:r>
      <w:r>
        <w:rPr>
          <w:highlight w:val="white"/>
          <w:rtl w:val="off"/>
          <w:lang w:val="ru-RU"/>
        </w:rPr>
        <w:t>каждый раз при необходимости отправить или получить международный перевод</w:t>
      </w:r>
      <w:r>
        <w:rPr>
          <w:highlight w:val="white"/>
          <w:rtl w:val="off"/>
          <w:lang w:val="en-US"/>
        </w:rPr>
        <w:t xml:space="preserve">. </w:t>
      </w:r>
      <w:r>
        <w:rPr>
          <w:highlight w:val="white"/>
          <w:rtl w:val="off"/>
          <w:lang w:val="ru-RU"/>
        </w:rPr>
        <w:t>Так как под целевой аудиторией сервиса понимаются лица, которым необходимо осуществлять трансграничные платежи, предполагается, что они будут пользоваться этим сервисом постоянно.</w:t>
      </w:r>
    </w:p>
    <w:p w14:paraId="000000FA">
      <w:pPr>
        <w:pStyle w:val="Heading2"/>
        <w:spacing w:before="440" w:after="440"/>
        <w:ind w:left="0" w:firstLine="567"/>
        <w:rPr/>
      </w:pPr>
      <w:r>
        <w:rPr>
          <w:lang w:val="ru-RU"/>
        </w:rPr>
        <w:t>5.5. Главные конкуренты</w:t>
      </w:r>
    </w:p>
    <w:p w14:paraId="000000FB">
      <w:pPr>
        <w:pStyle w:val="Normal"/>
        <w:ind w:left="0" w:firstLine="0"/>
        <w:rPr/>
      </w:pPr>
      <w:r>
        <w:rPr>
          <w:lang w:val="ru-RU"/>
        </w:rPr>
        <w:tab/>
        <w:t>В данный момент трансграничные платежи можно осуществлять, используя обычный банковский перевод, но этот способ в условиях санкций включает цепочки банков-посредников, что делает его медленнее, дороже и менее отказоустойчивым. Текущий криптовалютный перевод обладает схожими недостатками из-за наличия посредников в работе с криптой, поэтому сервис КриптоМир смотрится особенно выгодно на фоне конкурентов.</w:t>
      </w:r>
    </w:p>
    <w:p w14:paraId="000000FC">
      <w:pPr>
        <w:pStyle w:val="Heading1"/>
        <w:rPr>
          <w:lang w:val="ru-RU"/>
        </w:rPr>
      </w:pPr>
      <w:r>
        <w:rPr>
          <w:lang w:val="ru-RU"/>
        </w:rPr>
        <w:br w:type="page"/>
      </w:r>
    </w:p>
    <w:p w14:paraId="000000FD">
      <w:pPr>
        <w:pStyle w:val="Heading1"/>
        <w:spacing w:before="0" w:after="440"/>
        <w:rPr/>
      </w:pPr>
      <w:r>
        <w:rPr>
          <w:lang w:val="ru-RU"/>
        </w:rPr>
        <w:t>6. Выводы</w:t>
      </w:r>
    </w:p>
    <w:p w14:paraId="000000FE">
      <w:pPr>
        <w:pStyle w:val="Normal"/>
        <w:ind w:left="0" w:firstLine="0"/>
        <w:rPr>
          <w:lang w:val="ru-RU"/>
        </w:rPr>
      </w:pPr>
      <w:r>
        <w:rPr>
          <w:lang w:val="ru-RU"/>
        </w:rPr>
        <w:t xml:space="preserve">Таким образом, сервис КриптоМир позволит легко осуществлять трансграничные платежи. В том числе этот сервис был бы актуальным для меня, так как позволил бы легко оплачивать взносы и получать вознаграждения на международных киберспортивных турнирах и при работе с международными </w:t>
      </w:r>
      <w:r>
        <w:rPr>
          <w:lang w:val="en-US"/>
        </w:rPr>
        <w:t>it-</w:t>
      </w:r>
      <w:r>
        <w:rPr>
          <w:lang w:val="ru-RU"/>
        </w:rPr>
        <w:t>компаниями.</w:t>
      </w:r>
    </w:p>
    <w:p w14:paraId="000000FF">
      <w:pPr>
        <w:pStyle w:val="Heading1"/>
        <w:rPr>
          <w:lang w:val="ru-RU"/>
        </w:rPr>
      </w:pPr>
      <w:r>
        <w:rPr>
          <w:lang w:val="ru-RU"/>
        </w:rPr>
        <w:t>Список использованной литературы</w:t>
      </w:r>
    </w:p>
    <w:p w14:paraId="00000100">
      <w:pPr>
        <w:pStyle w:val="Normal"/>
        <w:ind w:left="0" w:firstLine="0"/>
        <w:rPr/>
      </w:pPr>
      <w:r>
        <w:rPr>
          <w:lang w:val="en-US"/>
        </w:rPr>
        <w:t>1. https://a16zcrypto.com/posts/article/state-of-crypto-report-2025/</w:t>
      </w:r>
    </w:p>
    <w:sectPr>
      <w:headerReference w:type="default" r:id="rId100"/>
      <w:footerReference w:type="default" r:id="rId101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Arial Narrow"/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02"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13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101"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10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  <w:pPr>
      <w:spacing w:after="0"/>
      <w:ind w:firstLine="709"/>
      <w:jc w:val="both"/>
    </w:pPr>
    <w:rPr>
      <w:rFonts w:ascii="Arial Narrow" w:hAnsi="Arial Narro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40" w:after="200"/>
      <w:ind w:firstLine="0"/>
      <w:jc w:val="center"/>
    </w:pPr>
    <w:rPr>
      <w:rFonts w:ascii="Arial Narrow" w:cstheme="majorBidi" w:eastAsiaTheme="majorEastAsia" w:hAnsi="Arial Narrow"/>
      <w:b/>
      <w:bCs/>
      <w:color w:val="000000" w:themeColor="dk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  <w:ind w:left="567" w:hanging="567"/>
    </w:pPr>
    <w:rPr>
      <w:rFonts w:ascii="Arial Narrow" w:cstheme="majorBidi" w:eastAsiaTheme="majorEastAsia" w:hAnsi="Arial Narrow"/>
      <w:b/>
      <w:bCs/>
      <w:color w:val="000000" w:themeColor="dk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styleId="Heading1Char">
    <w:name w:val="Heading 1 Char"/>
    <w:basedOn w:val="Normal"/>
    <w:link w:val="Heading1"/>
    <w:uiPriority w:val="9"/>
    <w:qFormat w:val="on"/>
    <w:rPr>
      <w:rFonts w:ascii="Arial Narrow" w:cstheme="majorBidi" w:eastAsiaTheme="majorEastAsia" w:hAnsi="Arial Narrow"/>
      <w:b/>
      <w:bCs/>
      <w:color w:val="000000" w:themeColor="dk1"/>
      <w:sz w:val="32"/>
      <w:szCs w:val="32"/>
    </w:rPr>
  </w:style>
  <w:style w:type="character" w:styleId="Heading2Char">
    <w:name w:val="Heading 2 Char"/>
    <w:basedOn w:val="Normal"/>
    <w:link w:val="Heading2"/>
    <w:uiPriority w:val="9"/>
    <w:unhideWhenUsed w:val="on"/>
    <w:qFormat w:val="on"/>
    <w:rPr>
      <w:rFonts w:ascii="Arial Narrow" w:cstheme="majorBidi" w:eastAsiaTheme="majorEastAsia" w:hAnsi="Arial Narrow"/>
      <w:b/>
      <w:bCs/>
      <w:color w:val="000000" w:themeColor="dk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0" Type="http://schemas.openxmlformats.org/officeDocument/2006/relationships/header" Target="header1.xml"/><Relationship Id="rId101" Type="http://schemas.openxmlformats.org/officeDocument/2006/relationships/footer" Target="footer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61" Type="http://schemas.openxmlformats.org/officeDocument/2006/relationships/numbering" Target="numbering.xml"/><Relationship Id="rId8" Type="http://schemas.openxmlformats.org/officeDocument/2006/relationships/settings" Target="settings.xml"/><Relationship Id="rId92" Type="http://schemas.openxmlformats.org/officeDocument/2006/relationships/image" Target="media/image2.png"/><Relationship Id="rId93" Type="http://schemas.openxmlformats.org/officeDocument/2006/relationships/image" Target="media/image3.png"/><Relationship Id="rId94" Type="http://schemas.openxmlformats.org/officeDocument/2006/relationships/image" Target="media/image5.png"/><Relationship Id="rId95" Type="http://schemas.openxmlformats.org/officeDocument/2006/relationships/image" Target="media/image9.png"/><Relationship Id="rId96" Type="http://schemas.openxmlformats.org/officeDocument/2006/relationships/image" Target="media/image10.png"/><Relationship Id="rId97" Type="http://schemas.openxmlformats.org/officeDocument/2006/relationships/image" Target="media/image11.png"/><Relationship Id="rId98" Type="http://schemas.openxmlformats.org/officeDocument/2006/relationships/image" Target="media/image12.png"/><Relationship Id="rId99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ИМ-271 Владислав Вахаренко</dc:creator>
  <cp:lastModifiedBy>ИМ-271 Владислав Вахаренко</cp:lastModifiedBy>
</cp:coreProperties>
</file>