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A101" w14:textId="5785C92C" w:rsidR="00826827" w:rsidRPr="00715F24" w:rsidRDefault="00E67D35" w:rsidP="006869FD">
      <w:pPr>
        <w:spacing w:before="100" w:beforeAutospacing="1" w:after="100" w:afterAutospacing="1"/>
        <w:outlineLvl w:val="2"/>
        <w:rPr>
          <w:rFonts w:ascii="Times New Roman" w:eastAsia="Times New Roman" w:hAnsi="Times New Roman" w:cs="Times New Roman"/>
          <w:b/>
          <w:bCs/>
          <w:sz w:val="27"/>
          <w:szCs w:val="27"/>
          <w:lang w:val="en-GB"/>
        </w:rPr>
      </w:pPr>
      <w:r w:rsidRPr="00715F24">
        <w:rPr>
          <w:rFonts w:ascii="Times New Roman" w:eastAsia="Times New Roman" w:hAnsi="Times New Roman" w:cs="Times New Roman"/>
          <w:b/>
          <w:bCs/>
          <w:sz w:val="27"/>
          <w:szCs w:val="27"/>
          <w:lang w:val="ru-RU"/>
        </w:rPr>
        <w:t>К</w:t>
      </w:r>
      <w:r w:rsidRPr="001A6863">
        <w:rPr>
          <w:rFonts w:ascii="Times New Roman" w:eastAsia="Times New Roman" w:hAnsi="Times New Roman" w:cs="Times New Roman"/>
          <w:b/>
          <w:bCs/>
          <w:sz w:val="27"/>
          <w:szCs w:val="27"/>
        </w:rPr>
        <w:t>арточка идеи № </w:t>
      </w:r>
      <w:r w:rsidRPr="00715F24">
        <w:rPr>
          <w:rFonts w:ascii="Times New Roman" w:eastAsia="Times New Roman" w:hAnsi="Times New Roman" w:cs="Times New Roman"/>
          <w:b/>
          <w:bCs/>
          <w:sz w:val="27"/>
          <w:szCs w:val="27"/>
          <w:lang w:val="ru-RU"/>
        </w:rPr>
        <w:t>1</w:t>
      </w:r>
    </w:p>
    <w:p w14:paraId="475215A1" w14:textId="77777777" w:rsidR="00736463" w:rsidRPr="00715F24" w:rsidRDefault="00736463" w:rsidP="00736463">
      <w:pPr>
        <w:numPr>
          <w:ilvl w:val="0"/>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Сфера и причина выбора</w:t>
      </w:r>
    </w:p>
    <w:p w14:paraId="3314AC1D" w14:textId="77777777" w:rsidR="00736463" w:rsidRPr="00715F24" w:rsidRDefault="00736463" w:rsidP="00736463">
      <w:pPr>
        <w:spacing w:before="100" w:beforeAutospacing="1" w:after="100" w:afterAutospacing="1"/>
        <w:ind w:left="720"/>
        <w:rPr>
          <w:rFonts w:ascii="Times New Roman" w:hAnsi="Times New Roman" w:cs="Times New Roman"/>
          <w:sz w:val="24"/>
          <w:szCs w:val="24"/>
        </w:rPr>
      </w:pPr>
      <w:r w:rsidRPr="00715F24">
        <w:rPr>
          <w:rFonts w:ascii="Times New Roman" w:hAnsi="Times New Roman" w:cs="Times New Roman"/>
          <w:sz w:val="24"/>
          <w:szCs w:val="24"/>
        </w:rPr>
        <w:t>Я выбираю сферу здравоохранения, а именно донорство крови в России. Донорская кровь и её компоненты жизненно необходимы для хирургии, акушерства и лечения тяжёлых заболеваний. Однако по данным Национального центра гематологии только 1,7 % россиян регулярно сдают кровь, тогда как для устойчивого запаса необходимо 4 % населения . После перехода к безвозмездному донорству количество доноров снизилось до 1,28 млн человек (0,87 % населения) ; к 2023 г. это число выросло до 1,43 млн, но частота сдачи составляет лишь 2,2 сдачи на донора . Одновременно Министерство здравоохранения признаёт, что для производства лекарств из плазмы необходимы большие объёмы кровеплазмы . Таким образом, сфера донорства испытывает нехватку ресурсов и требует новых механизмов привлечения и удержания доноров.</w:t>
      </w:r>
    </w:p>
    <w:p w14:paraId="5384F477" w14:textId="12AF8EF7" w:rsidR="0064086E" w:rsidRPr="00715F24" w:rsidRDefault="00736463" w:rsidP="0064086E">
      <w:pPr>
        <w:numPr>
          <w:ilvl w:val="0"/>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Известные проблемы (клиентские боли)</w:t>
      </w:r>
    </w:p>
    <w:p w14:paraId="2CF82D56"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Нехватка доноров и низкая регулярность сдач. Несмотря на рост числа доноров, их доля в населении остаётся низкой (около 1,7 % населения) . Исследования показывают, что в некоторых регионах (Белгородская и Курская области) количество доноров на 1000 жителей ниже среднего, а рекламные кампании малоэффективны .</w:t>
      </w:r>
    </w:p>
    <w:p w14:paraId="47F011A9"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Слабая вовлечённость молодёжи. Всероссийское исследование среди молодых людей (16–23 лет) показало, что лишь 18 % респондентов сдавали кровь; при этом отсутствие материального вознаграждения снижает желание донорствовать у трети опрошенных .</w:t>
      </w:r>
    </w:p>
    <w:p w14:paraId="5FE25CEE"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Недостаточная информированность и неудобный процесс. Авторы исследовательской статьи отмечают, что многие россияне не знают, где сдать кровь; чтобы записаться, нужно самостоятельно искать ближайший пункт и заполнять анкеты . Эффективность информационных сервисов вроде «светофора доноров» низкая .</w:t>
      </w:r>
    </w:p>
    <w:p w14:paraId="0A13FCD1"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Смешанные мотивы и необходимость компенсаций. Более 95 % российских доноров считаются безвозмездными, но по закону им положены два дополнительных выходных и питание (часто денежная компенсация) . Попытка отменить компенсации привела к резкому снижению числа доноров . Молодёжь указывает, что уведомление о том, что их кровь спасла человека, является сильным нематериальным стимулом .</w:t>
      </w:r>
    </w:p>
    <w:p w14:paraId="3BD6960C"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Отсутствие единого цифрового сервиса. В России нет универсального приложения для поиска пунктов сдачи, записи и заполнения анкет. Исследователи предлагают создать единый сервис с напоминаниями по SMS/электронной почте .</w:t>
      </w:r>
    </w:p>
    <w:p w14:paraId="32472613"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Недостаточность плазмы и иностранного участия. Правительственный приказ № 291</w:t>
      </w:r>
      <w:r w:rsidRPr="00715F24">
        <w:rPr>
          <w:rFonts w:ascii="Times New Roman" w:hAnsi="Times New Roman" w:cs="Times New Roman"/>
          <w:sz w:val="24"/>
          <w:szCs w:val="24"/>
        </w:rPr>
        <w:noBreakHyphen/>
        <w:t>р требует собрать 780 т плазмы к 2025 году; при этом участие иностранных студентов (около 355 000 человек) в донорском движении остаётся недостаточным, хотя имеет высокий потенциал .</w:t>
      </w:r>
    </w:p>
    <w:p w14:paraId="6E8C66F7" w14:textId="77777777" w:rsidR="00736463" w:rsidRPr="00AB609E"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 xml:space="preserve">Недоверие к технологиям и защита данных. Зарубежный опыт показывает, что цифровые анкеты уменьшают число отводов на 31,9 % и </w:t>
      </w:r>
      <w:r w:rsidRPr="00715F24">
        <w:rPr>
          <w:rFonts w:ascii="Times New Roman" w:hAnsi="Times New Roman" w:cs="Times New Roman"/>
          <w:sz w:val="24"/>
          <w:szCs w:val="24"/>
        </w:rPr>
        <w:lastRenderedPageBreak/>
        <w:t>сокращают интервал между сдачами , но пользователи беспокоятся о конфиденциальности и защите персональных данных .</w:t>
      </w:r>
    </w:p>
    <w:p w14:paraId="78F08DF7" w14:textId="77777777" w:rsidR="00AB609E" w:rsidRPr="00715F24" w:rsidRDefault="00AB609E" w:rsidP="00AB609E">
      <w:pPr>
        <w:spacing w:before="100" w:beforeAutospacing="1" w:after="100" w:afterAutospacing="1"/>
        <w:ind w:left="1440"/>
        <w:rPr>
          <w:rFonts w:ascii="Times New Roman" w:hAnsi="Times New Roman" w:cs="Times New Roman"/>
          <w:sz w:val="24"/>
          <w:szCs w:val="24"/>
        </w:rPr>
      </w:pPr>
    </w:p>
    <w:p w14:paraId="1B56F730" w14:textId="77777777" w:rsidR="00736463" w:rsidRPr="00715F24" w:rsidRDefault="00736463" w:rsidP="00736463">
      <w:pPr>
        <w:numPr>
          <w:ilvl w:val="0"/>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Как эти проблемы решаются сейчас</w:t>
      </w:r>
    </w:p>
    <w:p w14:paraId="72559DAA"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Государственные меры. Законодательство предусматривает два оплачиваемых выходных и бесплатное питание/денежную компенсацию для каждого донора ; существуют государственные награды (орден Пирогова, медаль Луки Крымского) и почётный статус «Почётный донор». После 2013 г., когда планировали отменить компенсации, это вызвало падение числа доноров, поэтому компенсации сохранили .</w:t>
      </w:r>
    </w:p>
    <w:p w14:paraId="598E698F"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Цифровые платформы и сообщества. Портал DonorSearch.org объединяет более 260 000 пользователей и использует личные кабинеты, геймификацию, бонусную программу и корпоративные акции . Он помогает центрам публиковать заявки на компоненты и удерживать доноров через значки, браслеты, программу лояльности и работу с бизнесом .</w:t>
      </w:r>
    </w:p>
    <w:p w14:paraId="477474E1"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Мобильные приложения. За рубежом применение мобильных приложений («Mein Blut») позволяет заполнить анкету онлайн, сократить число отводов на 31,9 % и уменьшить средний интервал между сдачами с 316 до 193 дней; приложение выдаёт донорскую карту, результаты анализов и значки за активность . Российские разработчики предлагают создать приложение для поиска пунктов сдачи, записи, анкетирования и напоминаний .</w:t>
      </w:r>
    </w:p>
    <w:p w14:paraId="59B4C516"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Привлечение молодёжи. Исследования рекомендуют использовать социальные сети, показывать гуманистические мотивы и информировать о влиянии донорства; важна обратная связь – уведомление о том, что donated blood помогло пациенту . DonorSearch и региональные центры внедряют геймификацию, специальные мероприятия и бонусы.</w:t>
      </w:r>
    </w:p>
    <w:p w14:paraId="06F9C5AC"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Поиск новых доноров и плазмы. Правительство стремится увеличить сбор плазмы; рассматривается привлечение иностранных студентов и мигрантов .</w:t>
      </w:r>
    </w:p>
    <w:p w14:paraId="37210172"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Технологии отслеживания. В мире разрабатываются блокчейн</w:t>
      </w:r>
      <w:r w:rsidRPr="00715F24">
        <w:rPr>
          <w:rFonts w:ascii="Times New Roman" w:hAnsi="Times New Roman" w:cs="Times New Roman"/>
          <w:sz w:val="24"/>
          <w:szCs w:val="24"/>
        </w:rPr>
        <w:noBreakHyphen/>
        <w:t>системы для отслеживания пути каждой единицы крови от донора до пациента, обеспечивающие прозрачность и безопасность цепочки поставок .</w:t>
      </w:r>
    </w:p>
    <w:p w14:paraId="08414178" w14:textId="77777777" w:rsidR="00736463" w:rsidRPr="00715F24" w:rsidRDefault="00736463" w:rsidP="00736463">
      <w:pPr>
        <w:numPr>
          <w:ilvl w:val="0"/>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Источники данных</w:t>
      </w:r>
    </w:p>
    <w:p w14:paraId="4A793DE8" w14:textId="01FEFF69"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Материалы платформы DonorSearch, приводящие статистику о снижении числа доноров и модули сервиса .</w:t>
      </w:r>
      <w:r w:rsidR="00444DBF" w:rsidRPr="00715F24">
        <w:rPr>
          <w:rFonts w:ascii="Times New Roman" w:hAnsi="Times New Roman" w:cs="Times New Roman"/>
          <w:sz w:val="24"/>
          <w:szCs w:val="24"/>
          <w:lang w:val="ru-RU"/>
        </w:rPr>
        <w:t xml:space="preserve">( </w:t>
      </w:r>
      <w:hyperlink r:id="rId5" w:anchor=":~:text=Source%20processed%20https%3A%2F%2Ftass,updating%20of%20the%20donor%20community" w:history="1">
        <w:r w:rsidR="00D1214A" w:rsidRPr="00715F24">
          <w:rPr>
            <w:rStyle w:val="a3"/>
            <w:rFonts w:ascii="Times New Roman" w:hAnsi="Times New Roman" w:cs="Times New Roman"/>
            <w:sz w:val="24"/>
            <w:szCs w:val="24"/>
            <w:lang w:val="ru-RU"/>
          </w:rPr>
          <w:t>https://bricsawards.tech/practices/18050#:~:text=Source%20processed%20https%3A%2F%2Ftass,updating%20of%20the%20donor%20community</w:t>
        </w:r>
      </w:hyperlink>
      <w:r w:rsidR="00D1214A" w:rsidRPr="00715F24">
        <w:rPr>
          <w:rFonts w:ascii="Times New Roman" w:hAnsi="Times New Roman" w:cs="Times New Roman"/>
          <w:sz w:val="24"/>
          <w:szCs w:val="24"/>
          <w:lang w:val="ru-RU"/>
        </w:rPr>
        <w:t xml:space="preserve"> </w:t>
      </w:r>
      <w:hyperlink r:id="rId6" w:anchor=":~:text=The%20DonorSearch%20IT%20platform%20consists,com%2Fdonorsearch%20FLOW" w:history="1">
        <w:r w:rsidR="00EF467B" w:rsidRPr="00715F24">
          <w:rPr>
            <w:rStyle w:val="a3"/>
            <w:rFonts w:ascii="Times New Roman" w:hAnsi="Times New Roman" w:cs="Times New Roman"/>
            <w:sz w:val="24"/>
            <w:szCs w:val="24"/>
            <w:lang w:val="ru-RU"/>
          </w:rPr>
          <w:t>https://bricsawards.tech/practices/18050#:~:text=The%20DonorSearch%20IT%20platform%20consists,com%2Fdonorsearch%20FLOW</w:t>
        </w:r>
      </w:hyperlink>
      <w:r w:rsidR="00EF467B" w:rsidRPr="00715F24">
        <w:rPr>
          <w:rFonts w:ascii="Times New Roman" w:hAnsi="Times New Roman" w:cs="Times New Roman"/>
          <w:sz w:val="24"/>
          <w:szCs w:val="24"/>
          <w:lang w:val="ru-RU"/>
        </w:rPr>
        <w:t xml:space="preserve"> </w:t>
      </w:r>
    </w:p>
    <w:p w14:paraId="2848D8A8" w14:textId="70F1980C"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Статья «Blood Donation as a Social Practice in Russia» о мотивации доноров, роли компенсаций и семейных донаций .</w:t>
      </w:r>
      <w:r w:rsidR="005572E2" w:rsidRPr="00715F24">
        <w:rPr>
          <w:rFonts w:ascii="Times New Roman" w:hAnsi="Times New Roman" w:cs="Times New Roman"/>
          <w:sz w:val="24"/>
          <w:szCs w:val="24"/>
        </w:rPr>
        <w:t xml:space="preserve"> </w:t>
      </w:r>
      <w:hyperlink r:id="rId7" w:history="1">
        <w:r w:rsidR="005572E2" w:rsidRPr="00715F24">
          <w:rPr>
            <w:rStyle w:val="a3"/>
            <w:rFonts w:ascii="Times New Roman" w:hAnsi="Times New Roman" w:cs="Times New Roman"/>
            <w:sz w:val="24"/>
            <w:szCs w:val="24"/>
          </w:rPr>
          <w:t>https://www.researchgate.net/publication/315658884_Blood_Donation_as_a_Social_Practice_in_Russia</w:t>
        </w:r>
      </w:hyperlink>
      <w:r w:rsidR="005572E2" w:rsidRPr="00715F24">
        <w:rPr>
          <w:rFonts w:ascii="Times New Roman" w:hAnsi="Times New Roman" w:cs="Times New Roman"/>
          <w:sz w:val="24"/>
          <w:szCs w:val="24"/>
          <w:lang w:val="ru-RU"/>
        </w:rPr>
        <w:t xml:space="preserve"> </w:t>
      </w:r>
    </w:p>
    <w:p w14:paraId="1390C763" w14:textId="7C7A72A1" w:rsidR="00687DD5" w:rsidRPr="00715F24" w:rsidRDefault="00736463" w:rsidP="00687DD5">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Исследование о мотивации российской молодёжи к донорству и влиянии финансовых и нематериальных стимулов .</w:t>
      </w:r>
      <w:r w:rsidR="00687DD5" w:rsidRPr="00715F24">
        <w:rPr>
          <w:rFonts w:ascii="Times New Roman" w:hAnsi="Times New Roman" w:cs="Times New Roman"/>
          <w:sz w:val="24"/>
          <w:szCs w:val="24"/>
          <w:lang w:val="ru-RU"/>
        </w:rPr>
        <w:t xml:space="preserve"> </w:t>
      </w:r>
      <w:hyperlink r:id="rId8" w:history="1">
        <w:r w:rsidR="00687DD5" w:rsidRPr="00715F24">
          <w:rPr>
            <w:rStyle w:val="a3"/>
            <w:rFonts w:ascii="Times New Roman" w:hAnsi="Times New Roman" w:cs="Times New Roman"/>
            <w:sz w:val="24"/>
            <w:szCs w:val="24"/>
            <w:lang w:val="ru-RU"/>
          </w:rPr>
          <w:t>https://www.researchgate.net/publication/384895135_MOTIVATION_OF_RUSSIAN_YOUTH_TO_DONATE_BLOOD</w:t>
        </w:r>
      </w:hyperlink>
      <w:r w:rsidR="00687DD5" w:rsidRPr="00715F24">
        <w:rPr>
          <w:rFonts w:ascii="Times New Roman" w:hAnsi="Times New Roman" w:cs="Times New Roman"/>
          <w:sz w:val="24"/>
          <w:szCs w:val="24"/>
          <w:lang w:val="ru-RU"/>
        </w:rPr>
        <w:t xml:space="preserve"> </w:t>
      </w:r>
    </w:p>
    <w:p w14:paraId="297891A1" w14:textId="44AE1E1B"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Работа по улучшению донорской системы в Белгородской и Курской областях, отмечающая низкую эффективность рекламных кампаний и необходимость корректировать маркетинг .</w:t>
      </w:r>
      <w:r w:rsidR="00687DD5" w:rsidRPr="00715F24">
        <w:rPr>
          <w:rFonts w:ascii="Times New Roman" w:hAnsi="Times New Roman" w:cs="Times New Roman"/>
          <w:sz w:val="24"/>
          <w:szCs w:val="24"/>
          <w:lang w:val="ru-RU"/>
        </w:rPr>
        <w:t xml:space="preserve"> </w:t>
      </w:r>
      <w:hyperlink r:id="rId9" w:history="1">
        <w:r w:rsidR="00A94D28" w:rsidRPr="00715F24">
          <w:rPr>
            <w:rStyle w:val="a3"/>
            <w:rFonts w:ascii="Times New Roman" w:hAnsi="Times New Roman" w:cs="Times New Roman"/>
            <w:sz w:val="24"/>
            <w:szCs w:val="24"/>
            <w:lang w:val="ru-RU"/>
          </w:rPr>
          <w:t>https://www.researchgate.net/publication/374678912_Improvement_of_the_blood_donor_system_in_russia_the_case_of_belgorod_and_kursk_regions</w:t>
        </w:r>
      </w:hyperlink>
      <w:r w:rsidR="00A94D28" w:rsidRPr="00715F24">
        <w:rPr>
          <w:rFonts w:ascii="Times New Roman" w:hAnsi="Times New Roman" w:cs="Times New Roman"/>
          <w:sz w:val="24"/>
          <w:szCs w:val="24"/>
          <w:lang w:val="ru-RU"/>
        </w:rPr>
        <w:t xml:space="preserve"> </w:t>
      </w:r>
    </w:p>
    <w:p w14:paraId="067E7482" w14:textId="77777777" w:rsidR="005428CC"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Научная статья о создании веб</w:t>
      </w:r>
      <w:r w:rsidRPr="00715F24">
        <w:rPr>
          <w:rFonts w:ascii="Times New Roman" w:hAnsi="Times New Roman" w:cs="Times New Roman"/>
          <w:sz w:val="24"/>
          <w:szCs w:val="24"/>
        </w:rPr>
        <w:noBreakHyphen/>
        <w:t>приложения для доноров, где указано, что только 1,7 % россиян сдают кровь, а также описаны задачи по упрощению поиска пунктов сдачи и созданию единого сервиса</w:t>
      </w:r>
    </w:p>
    <w:p w14:paraId="3641345A" w14:textId="2C3F56C7" w:rsidR="00736463" w:rsidRPr="00715F24" w:rsidRDefault="005428CC"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lang w:val="ru-RU"/>
        </w:rPr>
        <w:t>https://cyberleninka.ru/article/n/a-web-application-to-promote-blood-donation-in-russia#:~:text=Today%2C%20blood%20transfusion%20services%20around,the%20population%20to%20be%20donors</w:t>
      </w:r>
      <w:r w:rsidRPr="00715F24">
        <w:rPr>
          <w:rFonts w:ascii="Times New Roman" w:hAnsi="Times New Roman" w:cs="Times New Roman"/>
          <w:sz w:val="24"/>
          <w:szCs w:val="24"/>
        </w:rPr>
        <w:t xml:space="preserve"> </w:t>
      </w:r>
      <w:r w:rsidR="00736463" w:rsidRPr="00715F24">
        <w:rPr>
          <w:rFonts w:ascii="Times New Roman" w:hAnsi="Times New Roman" w:cs="Times New Roman"/>
          <w:sz w:val="24"/>
          <w:szCs w:val="24"/>
        </w:rPr>
        <w:t>Статья об участии иностранных доноров и цели собрать 780 т плазмы к 2025 году .</w:t>
      </w:r>
      <w:r w:rsidR="0067079E" w:rsidRPr="00715F24">
        <w:rPr>
          <w:rFonts w:ascii="Times New Roman" w:hAnsi="Times New Roman" w:cs="Times New Roman"/>
          <w:sz w:val="24"/>
          <w:szCs w:val="24"/>
        </w:rPr>
        <w:t xml:space="preserve"> https://www.lifescience.net/publications/1492568/on-the-traces-of-brics-involvement-of-foreign-dono/</w:t>
      </w:r>
    </w:p>
    <w:p w14:paraId="7E8238CF" w14:textId="20944770"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Сообщение Минздрава о росте числа доноров на 10 % за два года и достаточности запасов крови, при том что производство препаратов из плазмы требует усиления .</w:t>
      </w:r>
      <w:r w:rsidR="00EC5C9B" w:rsidRPr="00715F24">
        <w:rPr>
          <w:rFonts w:ascii="Times New Roman" w:hAnsi="Times New Roman" w:cs="Times New Roman"/>
          <w:sz w:val="24"/>
          <w:szCs w:val="24"/>
        </w:rPr>
        <w:t xml:space="preserve"> https://gxpnews.net/en/2024/03/health-ministry-increasing-blood-products-production-is-a-state-responsibility/#:~:text=Over%20the%20past%20two%20years%2C,matter%20during%20a%20press%20conference</w:t>
      </w:r>
    </w:p>
    <w:p w14:paraId="64CA4E6A" w14:textId="50290A45"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Публикация о цифровом приложении «Mein Blut», где показано уменьшение отводов и сокращение интервалов между сдачами благодаря цифровому анкетированию и мотивирующим функциям .</w:t>
      </w:r>
      <w:r w:rsidR="00D46B56" w:rsidRPr="00715F24">
        <w:rPr>
          <w:rFonts w:ascii="Times New Roman" w:hAnsi="Times New Roman" w:cs="Times New Roman"/>
          <w:sz w:val="24"/>
          <w:szCs w:val="24"/>
        </w:rPr>
        <w:t xml:space="preserve"> https://pmc.ncbi.nlm.nih.gov/articles/PMC10712983/#:~:text=Eighteen%20months%20after%20the%20launch,collection%20of%20badges%20among%20others</w:t>
      </w:r>
    </w:p>
    <w:p w14:paraId="402F2408" w14:textId="2A823941"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Международный опыт применения блокчейна для отслеживания крови от донора до пациента .</w:t>
      </w:r>
      <w:r w:rsidR="004A5BE2" w:rsidRPr="00715F24">
        <w:rPr>
          <w:rFonts w:ascii="Times New Roman" w:hAnsi="Times New Roman" w:cs="Times New Roman"/>
          <w:sz w:val="24"/>
          <w:szCs w:val="24"/>
        </w:rPr>
        <w:t xml:space="preserve"> https://www.ey.com/en_ua/insights/blockchain/how-blockchain-could-ensure-every-drop-of-blood-is-tracked-and-every-outcome-is-measured#:~:text=Blood%20donation%2C%20processing%2C%20testing%2C%20distribution,traceability%20from%20donor%20to%20patient</w:t>
      </w:r>
    </w:p>
    <w:p w14:paraId="6B86137B" w14:textId="77777777" w:rsidR="00736463" w:rsidRPr="00715F24" w:rsidRDefault="00736463" w:rsidP="00736463">
      <w:pPr>
        <w:numPr>
          <w:ilvl w:val="0"/>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Почему известные способы решения неидеальны</w:t>
      </w:r>
    </w:p>
    <w:p w14:paraId="11A647F4" w14:textId="05F40F89"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Компенсации (дни отдыха, питание, почётный статус) дают базовую мотивацию, но их ценность ограничена; молодёжь считает, что отсутствие материального вознаграждения снижает мотивацию</w:t>
      </w:r>
    </w:p>
    <w:p w14:paraId="33230F44"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Платформа DonorSearch ориентирована на геймификацию и информирование, но не интегрирована с финансовыми сервисами; бонусная программа основана на скидках у партнёров, а не на полноценной финансовой экосистеме.</w:t>
      </w:r>
    </w:p>
    <w:p w14:paraId="630D834F" w14:textId="471A75BD"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Исследователи отмечают, что до сих пор доноры ищут центры и регистрируются вручную .</w:t>
      </w:r>
    </w:p>
    <w:p w14:paraId="18736536"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Региональные рекламные кампании и инструменты (например, «светофор доноров») неэффективны ; молодёжь воспринимает информацию в социальных сетях, но официальные каналы недостаточно активны.</w:t>
      </w:r>
    </w:p>
    <w:p w14:paraId="691B8197" w14:textId="77777777" w:rsidR="00736463" w:rsidRPr="00715F24" w:rsidRDefault="00736463" w:rsidP="00736463">
      <w:pPr>
        <w:numPr>
          <w:ilvl w:val="1"/>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lastRenderedPageBreak/>
        <w:t>Системы отслеживания на блокчейне пока пилотируются в других странах ; они требуют значительных инвестиций и не интегрированы с отечественными платформами.</w:t>
      </w:r>
    </w:p>
    <w:p w14:paraId="68C50558" w14:textId="77777777" w:rsidR="00AC12D9" w:rsidRPr="00715F24" w:rsidRDefault="00AC12D9" w:rsidP="00736463">
      <w:pPr>
        <w:numPr>
          <w:ilvl w:val="1"/>
          <w:numId w:val="1"/>
        </w:numPr>
        <w:spacing w:before="100" w:beforeAutospacing="1" w:after="100" w:afterAutospacing="1"/>
        <w:rPr>
          <w:rFonts w:ascii="Times New Roman" w:hAnsi="Times New Roman" w:cs="Times New Roman"/>
          <w:sz w:val="24"/>
          <w:szCs w:val="24"/>
        </w:rPr>
      </w:pPr>
    </w:p>
    <w:p w14:paraId="5F47627C" w14:textId="450019B1" w:rsidR="00736463" w:rsidRPr="00715F24" w:rsidRDefault="00736463" w:rsidP="00736463">
      <w:pPr>
        <w:numPr>
          <w:ilvl w:val="0"/>
          <w:numId w:val="1"/>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Предлагаемая финтех</w:t>
      </w:r>
      <w:r w:rsidRPr="00715F24">
        <w:rPr>
          <w:rFonts w:ascii="Times New Roman" w:hAnsi="Times New Roman" w:cs="Times New Roman"/>
          <w:sz w:val="24"/>
          <w:szCs w:val="24"/>
        </w:rPr>
        <w:noBreakHyphen/>
        <w:t xml:space="preserve">идея: </w:t>
      </w:r>
      <w:r w:rsidR="008415FE" w:rsidRPr="00715F24">
        <w:rPr>
          <w:rFonts w:ascii="Times New Roman" w:hAnsi="Times New Roman" w:cs="Times New Roman"/>
          <w:sz w:val="24"/>
          <w:szCs w:val="24"/>
          <w:lang w:val="ru-RU"/>
        </w:rPr>
        <w:t xml:space="preserve">Улучшить приложение </w:t>
      </w:r>
      <w:r w:rsidR="000D1635" w:rsidRPr="00715F24">
        <w:rPr>
          <w:rFonts w:ascii="Times New Roman" w:hAnsi="Times New Roman" w:cs="Times New Roman"/>
          <w:sz w:val="24"/>
          <w:szCs w:val="24"/>
          <w:lang w:val="ru-RU"/>
        </w:rPr>
        <w:t xml:space="preserve">«Служба крови» </w:t>
      </w:r>
      <w:proofErr w:type="spellStart"/>
      <w:r w:rsidR="000D1635" w:rsidRPr="00715F24">
        <w:rPr>
          <w:rFonts w:ascii="Times New Roman" w:hAnsi="Times New Roman" w:cs="Times New Roman"/>
          <w:sz w:val="24"/>
          <w:szCs w:val="24"/>
          <w:lang w:val="ru-RU"/>
        </w:rPr>
        <w:t>финтех</w:t>
      </w:r>
      <w:proofErr w:type="spellEnd"/>
      <w:r w:rsidR="000D1635" w:rsidRPr="00715F24">
        <w:rPr>
          <w:rFonts w:ascii="Times New Roman" w:hAnsi="Times New Roman" w:cs="Times New Roman"/>
          <w:sz w:val="24"/>
          <w:szCs w:val="24"/>
          <w:lang w:val="ru-RU"/>
        </w:rPr>
        <w:t xml:space="preserve"> идеей </w:t>
      </w:r>
    </w:p>
    <w:p w14:paraId="509A06B6" w14:textId="77777777" w:rsidR="00736463" w:rsidRPr="00715F24" w:rsidRDefault="00736463" w:rsidP="00736463">
      <w:pPr>
        <w:spacing w:before="100" w:beforeAutospacing="1" w:after="100" w:afterAutospacing="1"/>
        <w:ind w:left="720"/>
        <w:rPr>
          <w:rFonts w:ascii="Times New Roman" w:hAnsi="Times New Roman" w:cs="Times New Roman"/>
          <w:sz w:val="24"/>
          <w:szCs w:val="24"/>
        </w:rPr>
      </w:pPr>
      <w:r w:rsidRPr="00715F24">
        <w:rPr>
          <w:rFonts w:ascii="Times New Roman" w:hAnsi="Times New Roman" w:cs="Times New Roman"/>
          <w:sz w:val="24"/>
          <w:szCs w:val="24"/>
        </w:rPr>
        <w:t>Цель — превратить донорство в удобный и поощряемый сервис, объединяющий медицинские учреждения, государство, банки и бизнес. Механизм работы:</w:t>
      </w:r>
    </w:p>
    <w:p w14:paraId="400061E3" w14:textId="36599B5B" w:rsidR="00736463" w:rsidRPr="00715F24" w:rsidRDefault="00736463" w:rsidP="00736463">
      <w:pPr>
        <w:numPr>
          <w:ilvl w:val="1"/>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Регистрация и идентификация. Потенциальный донор устанавливает приложение «</w:t>
      </w:r>
      <w:r w:rsidR="000D1635" w:rsidRPr="00715F24">
        <w:rPr>
          <w:rFonts w:ascii="Times New Roman" w:hAnsi="Times New Roman" w:cs="Times New Roman"/>
          <w:sz w:val="24"/>
          <w:szCs w:val="24"/>
          <w:lang w:val="ru-RU"/>
        </w:rPr>
        <w:t>Служба крови</w:t>
      </w:r>
      <w:r w:rsidRPr="00715F24">
        <w:rPr>
          <w:rFonts w:ascii="Times New Roman" w:hAnsi="Times New Roman" w:cs="Times New Roman"/>
          <w:sz w:val="24"/>
          <w:szCs w:val="24"/>
        </w:rPr>
        <w:t>» или использует веб</w:t>
      </w:r>
      <w:r w:rsidRPr="00715F24">
        <w:rPr>
          <w:rFonts w:ascii="Times New Roman" w:hAnsi="Times New Roman" w:cs="Times New Roman"/>
          <w:sz w:val="24"/>
          <w:szCs w:val="24"/>
        </w:rPr>
        <w:noBreakHyphen/>
        <w:t>сервис. Чер</w:t>
      </w:r>
      <w:proofErr w:type="spellStart"/>
      <w:r w:rsidR="00AC12D9" w:rsidRPr="00715F24">
        <w:rPr>
          <w:rFonts w:ascii="Times New Roman" w:hAnsi="Times New Roman" w:cs="Times New Roman"/>
          <w:sz w:val="24"/>
          <w:szCs w:val="24"/>
          <w:lang w:val="ru-RU"/>
        </w:rPr>
        <w:t>ез</w:t>
      </w:r>
      <w:proofErr w:type="spellEnd"/>
      <w:r w:rsidR="00AC12D9" w:rsidRPr="00715F24">
        <w:rPr>
          <w:rFonts w:ascii="Times New Roman" w:hAnsi="Times New Roman" w:cs="Times New Roman"/>
          <w:sz w:val="24"/>
          <w:szCs w:val="24"/>
          <w:lang w:val="ru-RU"/>
        </w:rPr>
        <w:t xml:space="preserve"> </w:t>
      </w:r>
      <w:proofErr w:type="spellStart"/>
      <w:r w:rsidR="00AC12D9" w:rsidRPr="00715F24">
        <w:rPr>
          <w:rFonts w:ascii="Times New Roman" w:hAnsi="Times New Roman" w:cs="Times New Roman"/>
          <w:sz w:val="24"/>
          <w:szCs w:val="24"/>
          <w:lang w:val="ru-RU"/>
        </w:rPr>
        <w:t>ГОСУЛСУГИ</w:t>
      </w:r>
      <w:proofErr w:type="spellEnd"/>
      <w:r w:rsidR="000D1635" w:rsidRPr="00715F24">
        <w:rPr>
          <w:rFonts w:ascii="Times New Roman" w:hAnsi="Times New Roman" w:cs="Times New Roman"/>
          <w:sz w:val="24"/>
          <w:szCs w:val="24"/>
          <w:lang w:val="ru-RU"/>
        </w:rPr>
        <w:t xml:space="preserve"> </w:t>
      </w:r>
      <w:r w:rsidRPr="00715F24">
        <w:rPr>
          <w:rFonts w:ascii="Times New Roman" w:hAnsi="Times New Roman" w:cs="Times New Roman"/>
          <w:sz w:val="24"/>
          <w:szCs w:val="24"/>
        </w:rPr>
        <w:t>проводится подтверждение личности, а через интеграцию с Федеральной медико-биологической службой проверяется возможность сдачи (возраст, пол, предыдущие сдачи, временные отводы). Это решает проблему поиска информации и повышает доверие.</w:t>
      </w:r>
    </w:p>
    <w:p w14:paraId="69B81F46" w14:textId="77777777" w:rsidR="00736463" w:rsidRPr="00715F24" w:rsidRDefault="00736463" w:rsidP="00736463">
      <w:pPr>
        <w:numPr>
          <w:ilvl w:val="1"/>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Выбор типа и места сдачи. Сервис показывает карту ближайших центров крови, график приёма и доступные слоты по видам донорства (цельная кровь, плазма, тромбоциты). Информация собирается из региональных центров крови. Пользователь выбирает удобное время, тип сдачи и подтверждает запись. При необходимости приложение предлагает подвезти доноров на мобильных пунктах или организует корпоративные выезды.</w:t>
      </w:r>
    </w:p>
    <w:p w14:paraId="5794AA27" w14:textId="77777777" w:rsidR="00736463" w:rsidRPr="00715F24" w:rsidRDefault="00736463" w:rsidP="00736463">
      <w:pPr>
        <w:numPr>
          <w:ilvl w:val="1"/>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Цифровая анкета и уведомления. Заранее в приложении заполняется электронная анкета о здоровье. Система оценивает риски и, если присутствует временный отвод (болезнь, прививка), автоматически предлагает доступную дату после истечения срока и ставит напоминание. Этот механизм основан на выводах, что цифровая анкета и напоминания сокращают число отводов и привлекают молодых доноров .</w:t>
      </w:r>
    </w:p>
    <w:p w14:paraId="7D507F51" w14:textId="77777777" w:rsidR="00736463" w:rsidRPr="00715F24" w:rsidRDefault="00736463" w:rsidP="00736463">
      <w:pPr>
        <w:numPr>
          <w:ilvl w:val="1"/>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Сдача крови и токенизация. При входе в центр крови донор предъявляет QR</w:t>
      </w:r>
      <w:r w:rsidRPr="00715F24">
        <w:rPr>
          <w:rFonts w:ascii="Times New Roman" w:hAnsi="Times New Roman" w:cs="Times New Roman"/>
          <w:sz w:val="24"/>
          <w:szCs w:val="24"/>
        </w:rPr>
        <w:noBreakHyphen/>
        <w:t>код из приложения. Данные анкеты загружаются в систему центра, что экономит время. После процедуры приложение фиксирует факт сдачи, автоматически размещает уникальную метку (токен) о партии крови в блокчейн</w:t>
      </w:r>
      <w:r w:rsidRPr="00715F24">
        <w:rPr>
          <w:rFonts w:ascii="Times New Roman" w:hAnsi="Times New Roman" w:cs="Times New Roman"/>
          <w:sz w:val="24"/>
          <w:szCs w:val="24"/>
        </w:rPr>
        <w:noBreakHyphen/>
        <w:t>реестре. Как показано в международных пилотах, блокчейн обеспечивает прозрачное отслеживание пути крови от донора до пациента .</w:t>
      </w:r>
    </w:p>
    <w:p w14:paraId="14314EE0" w14:textId="77777777" w:rsidR="00736463" w:rsidRPr="00715F24" w:rsidRDefault="00736463" w:rsidP="00736463">
      <w:pPr>
        <w:numPr>
          <w:ilvl w:val="1"/>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Финансовое вознаграждение и портфель услуг. За каждую сдачу донор получает донор</w:t>
      </w:r>
      <w:r w:rsidRPr="00715F24">
        <w:rPr>
          <w:rFonts w:ascii="Times New Roman" w:hAnsi="Times New Roman" w:cs="Times New Roman"/>
          <w:sz w:val="24"/>
          <w:szCs w:val="24"/>
        </w:rPr>
        <w:noBreakHyphen/>
        <w:t>токены (число токенов зависит от типа сдачи и дефицитности группы). Эти токены поступают на встроенный электронный кошелёк. Их можно:</w:t>
      </w:r>
    </w:p>
    <w:p w14:paraId="42AB9202" w14:textId="77777777" w:rsidR="00736463" w:rsidRPr="00715F24" w:rsidRDefault="00736463" w:rsidP="00736463">
      <w:pPr>
        <w:numPr>
          <w:ilvl w:val="2"/>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Конвертировать в цифровые рубли по фиксированному курсу и вывести на банковский счёт или карту.</w:t>
      </w:r>
    </w:p>
    <w:p w14:paraId="4B0D3E21" w14:textId="77777777" w:rsidR="00736463" w:rsidRPr="00715F24" w:rsidRDefault="00736463" w:rsidP="00736463">
      <w:pPr>
        <w:numPr>
          <w:ilvl w:val="2"/>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Оплатить товары/услуги у партнёров (аптеки, спортклубы, городские сервисы, общественный транспорт) – партнёры получают налоговые льготы за участие.</w:t>
      </w:r>
    </w:p>
    <w:p w14:paraId="43D82B22" w14:textId="77777777" w:rsidR="00736463" w:rsidRPr="00715F24" w:rsidRDefault="00736463" w:rsidP="00736463">
      <w:pPr>
        <w:numPr>
          <w:ilvl w:val="1"/>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 xml:space="preserve">Нематериальная мотивация и обратная связь. Когда кровь используется или изготовленные из плазмы препараты поступают пациенту, система blockchain обновляет статус. Донор получает уведомление: «Ваши эритроциты помогли пациенту в [регион/город]». Исследование </w:t>
      </w:r>
      <w:r w:rsidRPr="00715F24">
        <w:rPr>
          <w:rFonts w:ascii="Times New Roman" w:hAnsi="Times New Roman" w:cs="Times New Roman"/>
          <w:sz w:val="24"/>
          <w:szCs w:val="24"/>
        </w:rPr>
        <w:lastRenderedPageBreak/>
        <w:t>мотивации молодёжи показало, что информация о том, кому помогла кровь, является сильным нематериальным стимулом .</w:t>
      </w:r>
    </w:p>
    <w:p w14:paraId="56FB91DD" w14:textId="77777777" w:rsidR="00736463" w:rsidRPr="00715F24" w:rsidRDefault="00736463" w:rsidP="00736463">
      <w:pPr>
        <w:numPr>
          <w:ilvl w:val="1"/>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Геймификация и социальная вовлечённость. В приложении отображается история сдач, количество спасённых жизней (в расчёте на средний объём), редкость группы. Донор получает уровни и значки за регулярность, редкую кровь, участие в корпоративных акциях. Лидеры получают дополнительные токены, а их компании – статус социально ответственного работодателя.</w:t>
      </w:r>
    </w:p>
    <w:p w14:paraId="0493725E" w14:textId="77777777" w:rsidR="00736463" w:rsidRPr="00715F24" w:rsidRDefault="00736463" w:rsidP="00736463">
      <w:pPr>
        <w:numPr>
          <w:ilvl w:val="1"/>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Аналитика и прогнозирование. Обезличенные данные о донорах, типах крови, частоте сдач и токенах поступают в аналитический модуль. Сервис прогнозирует дефицит компонентов, планирует мобильные акции, информирует доноров с редкими группами. Это соответствует задачам увеличения запасов плазмы, обозначенным в госпрограмме .</w:t>
      </w:r>
    </w:p>
    <w:p w14:paraId="27972B62" w14:textId="77777777" w:rsidR="00736463" w:rsidRPr="00715F24" w:rsidRDefault="00736463" w:rsidP="00736463">
      <w:pPr>
        <w:numPr>
          <w:ilvl w:val="1"/>
          <w:numId w:val="2"/>
        </w:numPr>
        <w:spacing w:before="100" w:beforeAutospacing="1" w:after="100" w:afterAutospacing="1"/>
        <w:rPr>
          <w:rFonts w:ascii="Times New Roman" w:hAnsi="Times New Roman" w:cs="Times New Roman"/>
          <w:sz w:val="24"/>
          <w:szCs w:val="24"/>
        </w:rPr>
      </w:pPr>
      <w:r w:rsidRPr="00715F24">
        <w:rPr>
          <w:rFonts w:ascii="Times New Roman" w:hAnsi="Times New Roman" w:cs="Times New Roman"/>
          <w:sz w:val="24"/>
          <w:szCs w:val="24"/>
        </w:rPr>
        <w:t>Интеграция со стороны центров крови. Платформа предоставляет терминал для медперсонала: запись доноров, получение QR</w:t>
      </w:r>
      <w:r w:rsidRPr="00715F24">
        <w:rPr>
          <w:rFonts w:ascii="Times New Roman" w:hAnsi="Times New Roman" w:cs="Times New Roman"/>
          <w:sz w:val="24"/>
          <w:szCs w:val="24"/>
        </w:rPr>
        <w:noBreakHyphen/>
        <w:t>кодов, отметка результатов анализов, управление запасами. Интеграция с существующими ИТ</w:t>
      </w:r>
      <w:r w:rsidRPr="00715F24">
        <w:rPr>
          <w:rFonts w:ascii="Times New Roman" w:hAnsi="Times New Roman" w:cs="Times New Roman"/>
          <w:sz w:val="24"/>
          <w:szCs w:val="24"/>
        </w:rPr>
        <w:noBreakHyphen/>
        <w:t>системами минимизирует временные затраты персонала.</w:t>
      </w:r>
    </w:p>
    <w:p w14:paraId="4D9CDF39" w14:textId="77777777" w:rsidR="002A2D13" w:rsidRDefault="002A2D13" w:rsidP="002A2D13">
      <w:pPr>
        <w:spacing w:before="100" w:beforeAutospacing="1" w:after="100" w:afterAutospacing="1"/>
        <w:rPr>
          <w:rFonts w:cs="ADLaM Display"/>
          <w:sz w:val="24"/>
          <w:szCs w:val="24"/>
          <w:lang w:val="ru-RU"/>
        </w:rPr>
      </w:pPr>
    </w:p>
    <w:p w14:paraId="57C6A420" w14:textId="29D48440" w:rsidR="001A6863" w:rsidRPr="001A6863" w:rsidRDefault="001A6863" w:rsidP="001A6863">
      <w:pPr>
        <w:spacing w:before="100" w:beforeAutospacing="1" w:after="100" w:afterAutospacing="1"/>
        <w:outlineLvl w:val="2"/>
        <w:rPr>
          <w:rFonts w:ascii="Times New Roman" w:eastAsia="Times New Roman" w:hAnsi="Times New Roman" w:cs="Times New Roman"/>
          <w:b/>
          <w:bCs/>
          <w:sz w:val="27"/>
          <w:szCs w:val="27"/>
          <w:lang w:val="ru-RU"/>
        </w:rPr>
      </w:pPr>
      <w:r w:rsidRPr="001A6863">
        <w:rPr>
          <w:rFonts w:ascii="Times New Roman" w:eastAsia="Times New Roman" w:hAnsi="Times New Roman" w:cs="Times New Roman"/>
          <w:b/>
          <w:bCs/>
          <w:sz w:val="27"/>
          <w:szCs w:val="27"/>
        </w:rPr>
        <w:t xml:space="preserve"> </w:t>
      </w:r>
      <w:r w:rsidR="00155A30">
        <w:rPr>
          <w:rFonts w:ascii="Times New Roman" w:eastAsia="Times New Roman" w:hAnsi="Times New Roman" w:cs="Times New Roman"/>
          <w:b/>
          <w:bCs/>
          <w:sz w:val="27"/>
          <w:szCs w:val="27"/>
          <w:lang w:val="ru-RU"/>
        </w:rPr>
        <w:t>К</w:t>
      </w:r>
      <w:r w:rsidRPr="001A6863">
        <w:rPr>
          <w:rFonts w:ascii="Times New Roman" w:eastAsia="Times New Roman" w:hAnsi="Times New Roman" w:cs="Times New Roman"/>
          <w:b/>
          <w:bCs/>
          <w:sz w:val="27"/>
          <w:szCs w:val="27"/>
        </w:rPr>
        <w:t xml:space="preserve">арточка идеи № 2 </w:t>
      </w:r>
    </w:p>
    <w:p w14:paraId="003DD74F" w14:textId="77777777" w:rsidR="001A6863" w:rsidRPr="001A6863" w:rsidRDefault="001A6863" w:rsidP="001A6863">
      <w:pPr>
        <w:numPr>
          <w:ilvl w:val="0"/>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Сфера и почему</w:t>
      </w:r>
    </w:p>
    <w:p w14:paraId="5F799570" w14:textId="77777777" w:rsidR="001A6863" w:rsidRPr="001A6863" w:rsidRDefault="001A6863" w:rsidP="001A6863">
      <w:pPr>
        <w:spacing w:before="100" w:beforeAutospacing="1" w:after="100" w:afterAutospacing="1"/>
        <w:ind w:left="720"/>
        <w:rPr>
          <w:rFonts w:ascii="Times New Roman" w:hAnsi="Times New Roman" w:cs="Times New Roman"/>
          <w:sz w:val="24"/>
          <w:szCs w:val="24"/>
        </w:rPr>
      </w:pPr>
      <w:r w:rsidRPr="001A6863">
        <w:rPr>
          <w:rFonts w:ascii="Times New Roman" w:hAnsi="Times New Roman" w:cs="Times New Roman"/>
          <w:sz w:val="24"/>
          <w:szCs w:val="24"/>
        </w:rPr>
        <w:t>Сфера — биометрические платежи и финтех</w:t>
      </w:r>
      <w:r w:rsidRPr="001A6863">
        <w:rPr>
          <w:rFonts w:ascii="Times New Roman" w:hAnsi="Times New Roman" w:cs="Times New Roman"/>
          <w:sz w:val="24"/>
          <w:szCs w:val="24"/>
        </w:rPr>
        <w:noBreakHyphen/>
        <w:t>устройства. В России biometria входит в повседневность: по данным «RU-БЕЖ», во II квартале 2025 г. жители страны оплатили товары и услуги 58 млн раз, потратив около 45 млрд руб., что в 1,5 раза больше, чем в I квартале, и в 11 раз больше, чем годом ранее . Средний чек биометрической транзакции — 772 руб. . К 9 месяцам 2025 г. оборот биометрии вырос до 116 млрд руб. (против 21 млрд в 2024 г.), а число операций превысило 130 млн . Сервис «Оплата улыбкой» использовали 4,4 млн пользователей, причём 3,364 млн присоединились в 2025 г. (+169 %) ; в стране работает около 1,4 млн терминалов биометрической оплаты, и к 2026 г. планируется 2 млн . Эти цифры показывают рынок и потенциал для новых способов аутентификации, которые удобнее лицевой биометрии.</w:t>
      </w:r>
    </w:p>
    <w:p w14:paraId="5666DC2E" w14:textId="77777777" w:rsidR="001A6863" w:rsidRPr="001A6863" w:rsidRDefault="001A6863" w:rsidP="001A6863">
      <w:pPr>
        <w:numPr>
          <w:ilvl w:val="0"/>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Проблемы (клиентские боли)</w:t>
      </w:r>
    </w:p>
    <w:p w14:paraId="4319A78E"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Непрактичность существующих методов. Face/Touch ID требует открытого лица и чистых рук, вызывает вопросы конфиденциальности, а людям в масках или с особенностями лица сложно пользоваться.</w:t>
      </w:r>
    </w:p>
    <w:p w14:paraId="4A3DBA11"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Неразвитость платёжной «биометрии без лица». Пользователи хотят простой способ подтвердить оплату, не доставать телефон и не пользоваться камерой.</w:t>
      </w:r>
    </w:p>
    <w:p w14:paraId="3D1802F4"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Низкая инклюзивность и безопасность. Люди с ограниченной подвижностью рук или лица, а также опасения насчёт утечки снимков лица сдерживают рост.</w:t>
      </w:r>
    </w:p>
    <w:p w14:paraId="5D36303E"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Фрагментация носимых устройств. NFC</w:t>
      </w:r>
      <w:r w:rsidRPr="001A6863">
        <w:rPr>
          <w:rFonts w:ascii="Times New Roman" w:hAnsi="Times New Roman" w:cs="Times New Roman"/>
          <w:sz w:val="24"/>
          <w:szCs w:val="24"/>
        </w:rPr>
        <w:noBreakHyphen/>
        <w:t>кольца и браслеты разных банков не унифицированы, работают как обычные карты, не распознавая владельца.</w:t>
      </w:r>
    </w:p>
    <w:p w14:paraId="02E5A00E" w14:textId="77777777" w:rsidR="001A6863" w:rsidRPr="001A6863" w:rsidRDefault="001A6863" w:rsidP="001A6863">
      <w:pPr>
        <w:numPr>
          <w:ilvl w:val="0"/>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lastRenderedPageBreak/>
        <w:t>Как сейчас решают</w:t>
      </w:r>
    </w:p>
    <w:p w14:paraId="3E39F148"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Оплата лицом. «Сбер» предлагает «Оплату улыбкой», но она работает только на оборудованных терминалах и требует камеры.</w:t>
      </w:r>
    </w:p>
    <w:p w14:paraId="4FEA39D7"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NFC</w:t>
      </w:r>
      <w:r w:rsidRPr="001A6863">
        <w:rPr>
          <w:rFonts w:ascii="Times New Roman" w:hAnsi="Times New Roman" w:cs="Times New Roman"/>
          <w:sz w:val="24"/>
          <w:szCs w:val="24"/>
        </w:rPr>
        <w:noBreakHyphen/>
        <w:t>браслеты и кольца. Работают как дубликаты карты; оплачивать можно, но подтвердить свою личность нельзя.</w:t>
      </w:r>
    </w:p>
    <w:p w14:paraId="67B9C00D"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Сканеры ладони. В некоторых сетях тестируется Palm Pay, но специальное оборудование дорогое.</w:t>
      </w:r>
    </w:p>
    <w:p w14:paraId="5C098F7C"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Биометрия через телефон. Face ID/Touch ID используется как второй фактор, но требует смартфона и не исключает подделок.</w:t>
      </w:r>
    </w:p>
    <w:p w14:paraId="75D25CF0" w14:textId="77777777" w:rsidR="001A6863" w:rsidRPr="001A6863" w:rsidRDefault="001A6863" w:rsidP="001A6863">
      <w:pPr>
        <w:numPr>
          <w:ilvl w:val="0"/>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Источники данных</w:t>
      </w:r>
    </w:p>
    <w:p w14:paraId="22445BAD" w14:textId="43A9511F"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RU-БЕЖ, 29 авг 2025: во II квартале 2025 г. россияне совершили 58 млн биометрических оплат на сумму 45 млрд руб., доля операций по количеству — 0,6 % от всех платежей, доля по сумме — 0,01 %, средний чек 772 руб. .</w:t>
      </w:r>
      <w:r w:rsidR="00E91346">
        <w:rPr>
          <w:rFonts w:ascii="Times New Roman" w:hAnsi="Times New Roman" w:cs="Times New Roman"/>
          <w:sz w:val="24"/>
          <w:szCs w:val="24"/>
          <w:lang w:val="ru-RU"/>
        </w:rPr>
        <w:t xml:space="preserve">  </w:t>
      </w:r>
      <w:r w:rsidR="00E91346" w:rsidRPr="00E91346">
        <w:rPr>
          <w:rFonts w:ascii="Times New Roman" w:hAnsi="Times New Roman" w:cs="Times New Roman"/>
          <w:sz w:val="24"/>
          <w:szCs w:val="24"/>
          <w:lang w:val="ru-RU"/>
        </w:rPr>
        <w:t>https://ru-bezh.ru/gossektor/news/25/08/29/dolya-biometricheskih-platezhey-vpervye-prevysila-001#:~:text=%D0%92%D0%BE%20%D0%B2%D1%82%D0%BE%D1%80%D0%BE%D0%BC%20%D0%BA%D0%B2%D0%B0%D1%80%D1%82%D0%B0%D0%BB%D0%B5%202025%20%D0%B3%D0%BE%D0%B4%D0%B0,ru</w:t>
      </w:r>
    </w:p>
    <w:p w14:paraId="337DB252" w14:textId="6994005B"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КП.ru, 7 окт 2025: за девять месяцев оборот биоэквайринга вырос до 116 млрд руб., количество транзакций превысило 130 млн (рост в 4 раза к 2024 г.), сервисом «Оплата улыбкой» пользуются 4,4 млн россиян, из них 3,364 млн присоединились в 2025 г., сеть терминалов — 1,4 млн, к 2026 г. — 2 млн .</w:t>
      </w:r>
      <w:r w:rsidR="009C533F">
        <w:rPr>
          <w:rFonts w:ascii="Times New Roman" w:hAnsi="Times New Roman" w:cs="Times New Roman"/>
          <w:sz w:val="24"/>
          <w:szCs w:val="24"/>
          <w:lang w:val="ru-RU"/>
        </w:rPr>
        <w:t xml:space="preserve"> </w:t>
      </w:r>
      <w:r w:rsidR="009C533F" w:rsidRPr="009C533F">
        <w:rPr>
          <w:rFonts w:ascii="Times New Roman" w:hAnsi="Times New Roman" w:cs="Times New Roman"/>
          <w:sz w:val="24"/>
          <w:szCs w:val="24"/>
          <w:lang w:val="ru-RU"/>
        </w:rPr>
        <w:t>https://www.perm.kp.ru/online/news/6608196/#:~:text=%D0%9E%D0%B1%D0%BE%D1%80%D0%BE%D1%82%20%D0%B1%D0%B8%D0%BE%D1%8D%D0%BA%D0%B2%D0%B0%D0%B9%D1%80%D0%B8%D0%BD%D0%B3%D0%B0%20%D0%B2%20%D0%A0%D0%A4%20%D0%B7%D0%B0,%D1%81%D0%BE%D1%81%D1%82%D0%B0%D0%B2%D0%B8%D0%BB%20%D0%B1%D0%BE%D0%BB%D0%B5%D0%B5%20116%20%D0%BC%D0%BB%D1%80%D0%B4%20%D1%80%D1%83%D0%B1%D0%BB%D0%B5%D0%B9</w:t>
      </w:r>
    </w:p>
    <w:p w14:paraId="782ECFA6"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Интерпретация рынка. Эксперты отмечают, что рост биометрии в 5,5 раз за год и средний чек до 772 руб. указывает на готовность потребителей к новым форматам оплаты и на фокус на недорогих повседневных покупках.</w:t>
      </w:r>
    </w:p>
    <w:p w14:paraId="36E107AB" w14:textId="77777777" w:rsidR="001A6863" w:rsidRPr="001A6863" w:rsidRDefault="001A6863" w:rsidP="001A6863">
      <w:pPr>
        <w:numPr>
          <w:ilvl w:val="0"/>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Почему существующие решения неидеальны</w:t>
      </w:r>
    </w:p>
    <w:p w14:paraId="71F00867"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Камеры и отпечатки ограничены бытовыми условиями (маски, перчатки), вызывают сомнения в приватности.</w:t>
      </w:r>
    </w:p>
    <w:p w14:paraId="207F5D18"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NFC</w:t>
      </w:r>
      <w:r w:rsidRPr="001A6863">
        <w:rPr>
          <w:rFonts w:ascii="Times New Roman" w:hAnsi="Times New Roman" w:cs="Times New Roman"/>
          <w:sz w:val="24"/>
          <w:szCs w:val="24"/>
        </w:rPr>
        <w:noBreakHyphen/>
        <w:t>носители работают как карты, но не подтверждают личность владельца.</w:t>
      </w:r>
    </w:p>
    <w:p w14:paraId="512316FE" w14:textId="77777777" w:rsidR="001A6863" w:rsidRPr="001A6863"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Нет стандарта для «биометрии жестом» — банки предлагают разные устройства и условия, что тормозит внедрение.</w:t>
      </w:r>
    </w:p>
    <w:p w14:paraId="4A35EDBB" w14:textId="77777777" w:rsidR="001A6863" w:rsidRPr="00155A30" w:rsidRDefault="001A6863" w:rsidP="001A6863">
      <w:pPr>
        <w:numPr>
          <w:ilvl w:val="1"/>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Отсутствие гибких настроек (лимиты, двухфакторная защита) и инклюзивности для пользователей с особенностями.</w:t>
      </w:r>
    </w:p>
    <w:p w14:paraId="06E9D7D0" w14:textId="77777777" w:rsidR="00155A30" w:rsidRPr="001A6863" w:rsidRDefault="00155A30" w:rsidP="00155A30">
      <w:pPr>
        <w:spacing w:before="100" w:beforeAutospacing="1" w:after="100" w:afterAutospacing="1"/>
        <w:ind w:left="1440"/>
        <w:rPr>
          <w:rFonts w:ascii="Times New Roman" w:hAnsi="Times New Roman" w:cs="Times New Roman"/>
          <w:sz w:val="24"/>
          <w:szCs w:val="24"/>
        </w:rPr>
      </w:pPr>
    </w:p>
    <w:p w14:paraId="11EE0883" w14:textId="23FB8FFE" w:rsidR="001A6863" w:rsidRPr="001A6863" w:rsidRDefault="001A6863" w:rsidP="001A6863">
      <w:pPr>
        <w:numPr>
          <w:ilvl w:val="0"/>
          <w:numId w:val="4"/>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 xml:space="preserve">Предлагаемое решение – шаги работы сервиса </w:t>
      </w:r>
      <w:r w:rsidR="009C533F">
        <w:rPr>
          <w:rFonts w:ascii="Times New Roman" w:hAnsi="Times New Roman" w:cs="Times New Roman"/>
          <w:sz w:val="24"/>
          <w:szCs w:val="24"/>
          <w:lang w:val="ru-RU"/>
        </w:rPr>
        <w:t>Жест-</w:t>
      </w:r>
      <w:r w:rsidR="009C533F">
        <w:rPr>
          <w:rFonts w:ascii="Times New Roman" w:hAnsi="Times New Roman" w:cs="Times New Roman"/>
          <w:sz w:val="24"/>
          <w:szCs w:val="24"/>
          <w:lang w:val="en-GB"/>
        </w:rPr>
        <w:t>Pay</w:t>
      </w:r>
    </w:p>
    <w:p w14:paraId="73C93A71" w14:textId="77777777" w:rsidR="001A6863" w:rsidRPr="001A6863" w:rsidRDefault="001A6863" w:rsidP="001A6863">
      <w:pPr>
        <w:spacing w:before="100" w:beforeAutospacing="1" w:after="100" w:afterAutospacing="1"/>
        <w:ind w:left="720"/>
        <w:rPr>
          <w:rFonts w:ascii="Times New Roman" w:hAnsi="Times New Roman" w:cs="Times New Roman"/>
          <w:sz w:val="24"/>
          <w:szCs w:val="24"/>
        </w:rPr>
      </w:pPr>
      <w:r w:rsidRPr="001A6863">
        <w:rPr>
          <w:rFonts w:ascii="Times New Roman" w:hAnsi="Times New Roman" w:cs="Times New Roman"/>
          <w:sz w:val="24"/>
          <w:szCs w:val="24"/>
        </w:rPr>
        <w:lastRenderedPageBreak/>
        <w:t>Идея: создать сервис, позволяющий подтверждать платеж уникальным движением пальцев или кисти, распознаваемым носимым устройством (кольцом или браслетом). Устройство имеет датчики движения (акселерометр, гироскоп) и встроенный безопасный элемент для хранения токенов.</w:t>
      </w:r>
    </w:p>
    <w:p w14:paraId="09D3EB61" w14:textId="77777777" w:rsidR="001A6863" w:rsidRPr="001A6863" w:rsidRDefault="001A6863" w:rsidP="001A6863">
      <w:pPr>
        <w:spacing w:before="100" w:beforeAutospacing="1" w:after="100" w:afterAutospacing="1"/>
        <w:ind w:left="720"/>
        <w:rPr>
          <w:rFonts w:ascii="Times New Roman" w:hAnsi="Times New Roman" w:cs="Times New Roman"/>
          <w:sz w:val="24"/>
          <w:szCs w:val="24"/>
        </w:rPr>
      </w:pPr>
      <w:r w:rsidRPr="001A6863">
        <w:rPr>
          <w:rFonts w:ascii="Times New Roman" w:hAnsi="Times New Roman" w:cs="Times New Roman"/>
          <w:sz w:val="24"/>
          <w:szCs w:val="24"/>
        </w:rPr>
        <w:t>Механизм по этапам:</w:t>
      </w:r>
    </w:p>
    <w:p w14:paraId="21F99220" w14:textId="77777777" w:rsidR="001A6863" w:rsidRPr="001A6863" w:rsidRDefault="001A6863" w:rsidP="001A6863">
      <w:pPr>
        <w:numPr>
          <w:ilvl w:val="1"/>
          <w:numId w:val="5"/>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Приобретение и активация. Пользователь покупает совместимое кольцо или браслет. Устройство оснащено NFC и датчиками движения. В приложении банка или платёжного сервиса он активирует устройство, привязывает его к своему счёту/карте и подтверждает личность через Госуслуги или другой KYC</w:t>
      </w:r>
      <w:r w:rsidRPr="001A6863">
        <w:rPr>
          <w:rFonts w:ascii="Times New Roman" w:hAnsi="Times New Roman" w:cs="Times New Roman"/>
          <w:sz w:val="24"/>
          <w:szCs w:val="24"/>
        </w:rPr>
        <w:noBreakHyphen/>
        <w:t>процесс.</w:t>
      </w:r>
    </w:p>
    <w:p w14:paraId="7E679DB4" w14:textId="77777777" w:rsidR="001A6863" w:rsidRPr="001A6863" w:rsidRDefault="001A6863" w:rsidP="001A6863">
      <w:pPr>
        <w:numPr>
          <w:ilvl w:val="1"/>
          <w:numId w:val="5"/>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Выбор уникального жеста и обучение. Приложение предлагает выбрать простой, естественный жест рукой (например, двойное касание большого и указательного пальцев). Пользователь несколько раз повторяет его, а алгоритм снимает траекторию и ускорение движения, формируя биометрический профиль. Для первых версий достаточно датчиков движения; более поздние устройства могут добавить датчики мышечной активности для большей точности.</w:t>
      </w:r>
    </w:p>
    <w:p w14:paraId="6819F88D" w14:textId="77777777" w:rsidR="001A6863" w:rsidRPr="001A6863" w:rsidRDefault="001A6863" w:rsidP="001A6863">
      <w:pPr>
        <w:numPr>
          <w:ilvl w:val="1"/>
          <w:numId w:val="5"/>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Создание платёжного токена. Приложение генерирует уникальный EMV</w:t>
      </w:r>
      <w:r w:rsidRPr="001A6863">
        <w:rPr>
          <w:rFonts w:ascii="Times New Roman" w:hAnsi="Times New Roman" w:cs="Times New Roman"/>
          <w:sz w:val="24"/>
          <w:szCs w:val="24"/>
        </w:rPr>
        <w:noBreakHyphen/>
        <w:t>токен (как в Apple Pay/Google Pay) и загружает его в безопасный элемент устройства. Реальная карта хранится на стороне банка и не передаётся торговым точкам.</w:t>
      </w:r>
    </w:p>
    <w:p w14:paraId="4761244C" w14:textId="77777777" w:rsidR="001A6863" w:rsidRPr="001A6863" w:rsidRDefault="001A6863" w:rsidP="001A6863">
      <w:pPr>
        <w:numPr>
          <w:ilvl w:val="1"/>
          <w:numId w:val="5"/>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Настройка правил безопасности. В настройках можно задать дневной и разовый лимит без подтверждения (например, до 1000 руб.), выбрать, когда запрашивать дополнительное подтверждение (PIN, Face ID), и включить уведомления.</w:t>
      </w:r>
    </w:p>
    <w:p w14:paraId="74BA40BD" w14:textId="77777777" w:rsidR="001A6863" w:rsidRPr="001A6863" w:rsidRDefault="001A6863" w:rsidP="001A6863">
      <w:pPr>
        <w:numPr>
          <w:ilvl w:val="1"/>
          <w:numId w:val="5"/>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Оплата в магазине. На кассе пользователь подносит кольцо или браслет к терминалу, как бесконтактную карту. Терминал запрашивает оплату. Пользователь выполняет свой жест; устройство сравнивает полученный паттерн с эталоном. При совпадении оно отправляет токен и криптограмму в банк. Банк проверяет токен, баланс и лимиты, затем подтверждает операцию; терминал выдаёт чек. Если сумма превышает установленный порог, устройство попросит повторить жест или подтвердить на смартфоне.</w:t>
      </w:r>
    </w:p>
    <w:p w14:paraId="2852774A" w14:textId="444E831B" w:rsidR="001A6863" w:rsidRPr="001A6863" w:rsidRDefault="001A6863" w:rsidP="001A6863">
      <w:pPr>
        <w:numPr>
          <w:ilvl w:val="1"/>
          <w:numId w:val="5"/>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 xml:space="preserve">Оплата в приложениях и онлайн. В мобильных приложениях, поддерживающих </w:t>
      </w:r>
      <w:r w:rsidR="00BD3BF7">
        <w:rPr>
          <w:rFonts w:ascii="Times New Roman" w:hAnsi="Times New Roman" w:cs="Times New Roman"/>
          <w:sz w:val="24"/>
          <w:szCs w:val="24"/>
          <w:lang w:val="ru-RU"/>
        </w:rPr>
        <w:t>Жест-</w:t>
      </w:r>
      <w:r w:rsidRPr="001A6863">
        <w:rPr>
          <w:rFonts w:ascii="Times New Roman" w:hAnsi="Times New Roman" w:cs="Times New Roman"/>
          <w:sz w:val="24"/>
          <w:szCs w:val="24"/>
        </w:rPr>
        <w:t>Pay, вместо ввода CVV или SMS</w:t>
      </w:r>
      <w:r w:rsidRPr="001A6863">
        <w:rPr>
          <w:rFonts w:ascii="Times New Roman" w:hAnsi="Times New Roman" w:cs="Times New Roman"/>
          <w:sz w:val="24"/>
          <w:szCs w:val="24"/>
        </w:rPr>
        <w:noBreakHyphen/>
        <w:t>кода пользователь подключает кольцо/браслет, нажимает «Оплатить» и совершает жест. Устройство передаёт токен и подтверждение, после чего платёж завершается. Это ускоряет P2P</w:t>
      </w:r>
      <w:r w:rsidRPr="001A6863">
        <w:rPr>
          <w:rFonts w:ascii="Times New Roman" w:hAnsi="Times New Roman" w:cs="Times New Roman"/>
          <w:sz w:val="24"/>
          <w:szCs w:val="24"/>
        </w:rPr>
        <w:noBreakHyphen/>
        <w:t>переводы и оплаты услуг.</w:t>
      </w:r>
    </w:p>
    <w:p w14:paraId="7EB7299F" w14:textId="77777777" w:rsidR="001A6863" w:rsidRPr="001A6863" w:rsidRDefault="001A6863" w:rsidP="001A6863">
      <w:pPr>
        <w:numPr>
          <w:ilvl w:val="1"/>
          <w:numId w:val="5"/>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Управление устройством. В случае потери или кражи пользователь может временно заблокировать устройство через приложение. Также можно изменить жест (обновив биометрический шаблон) или отключить устройство от счёта. При необходимости можно подключить несколько устройств для разных сценариев (например, кольцо для повседневных покупок и браслет для спорта).</w:t>
      </w:r>
    </w:p>
    <w:p w14:paraId="53C4AD80" w14:textId="379C24C7" w:rsidR="001A6863" w:rsidRPr="001A6863" w:rsidRDefault="001A6863" w:rsidP="001A6863">
      <w:pPr>
        <w:numPr>
          <w:ilvl w:val="1"/>
          <w:numId w:val="5"/>
        </w:numPr>
        <w:spacing w:before="100" w:beforeAutospacing="1" w:after="100" w:afterAutospacing="1"/>
        <w:rPr>
          <w:rFonts w:ascii="Times New Roman" w:hAnsi="Times New Roman" w:cs="Times New Roman"/>
          <w:sz w:val="24"/>
          <w:szCs w:val="24"/>
        </w:rPr>
      </w:pPr>
      <w:r w:rsidRPr="001A6863">
        <w:rPr>
          <w:rFonts w:ascii="Times New Roman" w:hAnsi="Times New Roman" w:cs="Times New Roman"/>
          <w:sz w:val="24"/>
          <w:szCs w:val="24"/>
        </w:rPr>
        <w:t xml:space="preserve">Интеграция с банками и торговлей. Банки реализуют поддержку </w:t>
      </w:r>
      <w:r w:rsidR="00BD3BF7">
        <w:rPr>
          <w:rFonts w:ascii="Times New Roman" w:hAnsi="Times New Roman" w:cs="Times New Roman"/>
          <w:sz w:val="24"/>
          <w:szCs w:val="24"/>
          <w:lang w:val="ru-RU"/>
        </w:rPr>
        <w:t xml:space="preserve">Жест- </w:t>
      </w:r>
      <w:r w:rsidRPr="001A6863">
        <w:rPr>
          <w:rFonts w:ascii="Times New Roman" w:hAnsi="Times New Roman" w:cs="Times New Roman"/>
          <w:sz w:val="24"/>
          <w:szCs w:val="24"/>
        </w:rPr>
        <w:t>Pay через стандартный API. Торговые предприятия принимают оплату через существующие NFC</w:t>
      </w:r>
      <w:r w:rsidRPr="001A6863">
        <w:rPr>
          <w:rFonts w:ascii="Times New Roman" w:hAnsi="Times New Roman" w:cs="Times New Roman"/>
          <w:sz w:val="24"/>
          <w:szCs w:val="24"/>
        </w:rPr>
        <w:noBreakHyphen/>
        <w:t>терминалы без дополнительных модулей — это снижает стоимость внедрения.</w:t>
      </w:r>
    </w:p>
    <w:p w14:paraId="2EC344DC" w14:textId="77777777" w:rsidR="009C533F" w:rsidRDefault="009C533F" w:rsidP="001A6863">
      <w:pPr>
        <w:spacing w:before="100" w:beforeAutospacing="1" w:after="100" w:afterAutospacing="1"/>
        <w:rPr>
          <w:rFonts w:ascii="Times New Roman" w:hAnsi="Times New Roman" w:cs="Times New Roman"/>
          <w:sz w:val="24"/>
          <w:szCs w:val="24"/>
        </w:rPr>
      </w:pPr>
    </w:p>
    <w:p w14:paraId="05CB92EA" w14:textId="3D2D1964" w:rsidR="000A59D3" w:rsidRPr="000A59D3" w:rsidRDefault="000A59D3" w:rsidP="000A59D3">
      <w:pPr>
        <w:spacing w:before="100" w:beforeAutospacing="1" w:after="100" w:afterAutospacing="1"/>
        <w:outlineLvl w:val="2"/>
        <w:rPr>
          <w:rFonts w:ascii="Times New Roman" w:hAnsi="Times New Roman" w:cs="Times New Roman"/>
          <w:b/>
          <w:bCs/>
          <w:sz w:val="27"/>
          <w:szCs w:val="27"/>
        </w:rPr>
      </w:pPr>
      <w:r w:rsidRPr="000A59D3">
        <w:rPr>
          <w:rFonts w:ascii="Times New Roman" w:eastAsia="Times New Roman" w:hAnsi="Times New Roman" w:cs="Times New Roman"/>
          <w:b/>
          <w:bCs/>
          <w:sz w:val="27"/>
          <w:szCs w:val="27"/>
        </w:rPr>
        <w:t xml:space="preserve">Карточка идеи № 3 </w:t>
      </w:r>
    </w:p>
    <w:p w14:paraId="6DCFD394" w14:textId="77777777" w:rsidR="000A59D3" w:rsidRPr="000A59D3" w:rsidRDefault="000A59D3" w:rsidP="000A59D3">
      <w:pPr>
        <w:numPr>
          <w:ilvl w:val="0"/>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Сфера и почему</w:t>
      </w:r>
    </w:p>
    <w:p w14:paraId="58F4B3EC" w14:textId="77777777" w:rsidR="000A59D3" w:rsidRPr="000A59D3" w:rsidRDefault="000A59D3" w:rsidP="000A59D3">
      <w:pPr>
        <w:spacing w:before="100" w:beforeAutospacing="1" w:after="100" w:afterAutospacing="1"/>
        <w:ind w:left="720"/>
        <w:rPr>
          <w:rFonts w:ascii="Times New Roman" w:hAnsi="Times New Roman" w:cs="Times New Roman"/>
          <w:sz w:val="24"/>
          <w:szCs w:val="24"/>
        </w:rPr>
      </w:pPr>
      <w:r w:rsidRPr="000A59D3">
        <w:rPr>
          <w:rFonts w:ascii="Times New Roman" w:hAnsi="Times New Roman" w:cs="Times New Roman"/>
          <w:sz w:val="24"/>
          <w:szCs w:val="24"/>
        </w:rPr>
        <w:t>Тренд — детский и подростковый банкинг. Он позволяет банкам привлекать клиентов с раннего возраста, учить их финансовой грамотности и строить долгосрочные отношения. Исследование Frank RG показало, что из 21,5 млн несовершеннолетних в России 15,8 млн уже пользуются банковскими картами; в возрасте 6–13 лет доля владельцев карт составляет 66 %, а в группе 14–17 лет — около 90 % . Однако около 5 млн детей 6–13 лет всё ещё не имеют карты , что создаёт потенциал для привлечения новых клиентов. По закону дети до 14 лет пользуются дополнительными картами на имя родителя, а с 14 лет могут открыть свой счёт только с согласия родителей . Банки стремятся предложить продукты, которые будут удобны детям, полезны для родителей и выгодны для финансовых организаций.</w:t>
      </w:r>
    </w:p>
    <w:p w14:paraId="3EA758CC" w14:textId="77777777" w:rsidR="000A59D3" w:rsidRPr="000A59D3" w:rsidRDefault="000A59D3" w:rsidP="000A59D3">
      <w:pPr>
        <w:numPr>
          <w:ilvl w:val="0"/>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Проблемы (клиентские боли)</w:t>
      </w:r>
    </w:p>
    <w:p w14:paraId="350671D0"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Разрозненность продуктов. Детские карты есть у многих банков, но они работают как упрощённые дебетовые карты; родителям сложно следить за расходами и организовывать финансовое воспитание.</w:t>
      </w:r>
    </w:p>
    <w:p w14:paraId="5348FB06"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Недостаток мотивации и знаний. Дети получают карманные деньги, но редко понимают ценность сбережений; родители хотят обучать финансовой грамотности, но им не хватает инструментов.</w:t>
      </w:r>
    </w:p>
    <w:p w14:paraId="31D2F371"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Нет единого семейного кошелька. Нельзя объединить детские, подростковые и взрослые счета в одну экосистему, вести совместные накопления и отслеживать цель.</w:t>
      </w:r>
    </w:p>
    <w:p w14:paraId="04D1FCDD"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Неудачная монетизация. Банки получают низкую маржу с детских карт и не используют возможности для кросс-продаж и удержания клиентов на горизонте 10–15 лет.</w:t>
      </w:r>
    </w:p>
    <w:p w14:paraId="06DE505A" w14:textId="77777777" w:rsidR="000A59D3" w:rsidRPr="000A59D3" w:rsidRDefault="000A59D3" w:rsidP="000A59D3">
      <w:pPr>
        <w:numPr>
          <w:ilvl w:val="0"/>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Как сейчас решают</w:t>
      </w:r>
    </w:p>
    <w:p w14:paraId="19BD4AAA"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Детские дебетовые карты (СберKids, VTB Junior, «Джуниор» Т</w:t>
      </w:r>
      <w:r w:rsidRPr="000A59D3">
        <w:rPr>
          <w:rFonts w:ascii="Times New Roman" w:hAnsi="Times New Roman" w:cs="Times New Roman"/>
          <w:sz w:val="24"/>
          <w:szCs w:val="24"/>
        </w:rPr>
        <w:noBreakHyphen/>
        <w:t>Банка). Ребёнок получает карту и приложение, а родители могут устанавливать лимиты и просматривать историю расходов.</w:t>
      </w:r>
    </w:p>
    <w:p w14:paraId="0DE6178E"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Геймифицированные приложения (Revolut &lt; 18, Тинькофф Junior). Позволяют выполнять задания за вознаграждение, копить на крупные покупки, кастомизировать дизайн карты.</w:t>
      </w:r>
    </w:p>
    <w:p w14:paraId="4F22541D"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Отдельные уроки финансовой грамотности. Многие банки проводят занятия в школах или публикуют ролики.</w:t>
      </w:r>
    </w:p>
    <w:p w14:paraId="7301B8D8" w14:textId="77777777" w:rsidR="000A59D3" w:rsidRPr="000A59D3" w:rsidRDefault="000A59D3" w:rsidP="000A59D3">
      <w:pPr>
        <w:spacing w:before="100" w:beforeAutospacing="1" w:after="100" w:afterAutospacing="1"/>
        <w:ind w:left="1440"/>
        <w:rPr>
          <w:rFonts w:ascii="Times New Roman" w:hAnsi="Times New Roman" w:cs="Times New Roman"/>
          <w:sz w:val="24"/>
          <w:szCs w:val="24"/>
        </w:rPr>
      </w:pPr>
      <w:r w:rsidRPr="000A59D3">
        <w:rPr>
          <w:rFonts w:ascii="Times New Roman" w:hAnsi="Times New Roman" w:cs="Times New Roman"/>
          <w:sz w:val="24"/>
          <w:szCs w:val="24"/>
        </w:rPr>
        <w:t>Эти решения работают, но они разрозненные: нет единой платформы, которая объединяла бы счета детей разных возрастов, давала родителям гибкие настройки и позволяла банкам монетизировать сервис.</w:t>
      </w:r>
    </w:p>
    <w:p w14:paraId="241D2E48" w14:textId="77777777" w:rsidR="000A59D3" w:rsidRPr="000A59D3" w:rsidRDefault="000A59D3" w:rsidP="000A59D3">
      <w:pPr>
        <w:numPr>
          <w:ilvl w:val="0"/>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Источники</w:t>
      </w:r>
    </w:p>
    <w:p w14:paraId="0E8544B8"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Frank RG (2024): из 21,5 млн несовершеннолетних 15,8 млн пользуются картами; 66 % детей 6–13 лет и ≈ 90 % подростков 14–17 лет имеют карту; около 5 млн детей 6–13 лет остаются без карт .</w:t>
      </w:r>
    </w:p>
    <w:p w14:paraId="29AA020A"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lastRenderedPageBreak/>
        <w:t>Комментарии экспертов: карта для ребёнка до 14 лет выпускается как дополнительная к счёту родителя; открыть собственный счёт можно только с 14 лет и с письменного согласия родителей .</w:t>
      </w:r>
    </w:p>
    <w:p w14:paraId="7A1D0023"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Обзоры рынка детского банкинга (коммерсанты, БОСфера) отмечают рост сегмента и спрос на продукты, совмещающие контроль, обучение и мотивацию.</w:t>
      </w:r>
    </w:p>
    <w:p w14:paraId="459B3BFF" w14:textId="77777777" w:rsidR="000A59D3" w:rsidRPr="000A59D3" w:rsidRDefault="000A59D3" w:rsidP="000A59D3">
      <w:pPr>
        <w:numPr>
          <w:ilvl w:val="0"/>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Почему существующие способы не идеальны</w:t>
      </w:r>
    </w:p>
    <w:p w14:paraId="6F597416"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Упрощённая функциональность. Текущие детские карты выполняют функцию «уменьшенной копии» взрослой карты, но не предлагают полноценное финансовое обучение и управление капиталом.</w:t>
      </w:r>
    </w:p>
    <w:p w14:paraId="55C750A6"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Нет системы задач и поощрений. Родители раздают карманные деньги без привязки к реальным задачам; дети не видят связи между усилиями и результатом.</w:t>
      </w:r>
    </w:p>
    <w:p w14:paraId="5A6DD648"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Отсутствует семейная «общая касса». Нельзя легко копить всей семьёй на общие цели (поездка, подарок), распределяя взносы между родителями и детьми.</w:t>
      </w:r>
    </w:p>
    <w:p w14:paraId="42C26A2A" w14:textId="77777777" w:rsidR="000A59D3" w:rsidRPr="000A59D3" w:rsidRDefault="000A59D3" w:rsidP="000A59D3">
      <w:pPr>
        <w:numPr>
          <w:ilvl w:val="1"/>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Мало возможностей для банкиров. Отсутствие комплексного продукта не позволяет банкам строить долгосрочную лояльность и монетизировать дополнительные сервисы (накопления, страховки, инвестирование).</w:t>
      </w:r>
    </w:p>
    <w:p w14:paraId="376F9736" w14:textId="1A624184" w:rsidR="000A59D3" w:rsidRPr="000A59D3" w:rsidRDefault="000A59D3" w:rsidP="000A59D3">
      <w:pPr>
        <w:numPr>
          <w:ilvl w:val="0"/>
          <w:numId w:val="6"/>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 xml:space="preserve">Предлагаемое решение </w:t>
      </w:r>
    </w:p>
    <w:p w14:paraId="4F08D72C" w14:textId="44C7D56D" w:rsidR="000A59D3" w:rsidRPr="000A59D3" w:rsidRDefault="000A59D3" w:rsidP="000A59D3">
      <w:pPr>
        <w:spacing w:before="100" w:beforeAutospacing="1" w:after="100" w:afterAutospacing="1"/>
        <w:ind w:left="720"/>
        <w:rPr>
          <w:rFonts w:ascii="Times New Roman" w:hAnsi="Times New Roman" w:cs="Times New Roman"/>
          <w:sz w:val="24"/>
          <w:szCs w:val="24"/>
        </w:rPr>
      </w:pPr>
      <w:r w:rsidRPr="000A59D3">
        <w:rPr>
          <w:rFonts w:ascii="Times New Roman" w:hAnsi="Times New Roman" w:cs="Times New Roman"/>
          <w:sz w:val="24"/>
          <w:szCs w:val="24"/>
        </w:rPr>
        <w:t>Сервис для банков, который объединяет детские карты, семейный кошелёк и образовательную платформу в единую экосистему. Банки интегрируют как модуль в своё мобильное приложение и предлагают клиентам «семейный счёт».</w:t>
      </w:r>
    </w:p>
    <w:p w14:paraId="213383AF" w14:textId="77777777" w:rsidR="000A59D3" w:rsidRPr="000A59D3" w:rsidRDefault="000A59D3" w:rsidP="000A59D3">
      <w:pPr>
        <w:spacing w:before="100" w:beforeAutospacing="1" w:after="100" w:afterAutospacing="1"/>
        <w:ind w:left="720"/>
        <w:rPr>
          <w:rFonts w:ascii="Times New Roman" w:hAnsi="Times New Roman" w:cs="Times New Roman"/>
          <w:sz w:val="24"/>
          <w:szCs w:val="24"/>
        </w:rPr>
      </w:pPr>
      <w:r w:rsidRPr="000A59D3">
        <w:rPr>
          <w:rFonts w:ascii="Times New Roman" w:hAnsi="Times New Roman" w:cs="Times New Roman"/>
          <w:sz w:val="24"/>
          <w:szCs w:val="24"/>
        </w:rPr>
        <w:t>Как работает (по этапам):</w:t>
      </w:r>
    </w:p>
    <w:p w14:paraId="504F9C1A" w14:textId="33410E14" w:rsidR="000A59D3" w:rsidRPr="000A59D3" w:rsidRDefault="000A59D3" w:rsidP="000A59D3">
      <w:pPr>
        <w:numPr>
          <w:ilvl w:val="1"/>
          <w:numId w:val="7"/>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 xml:space="preserve">Создание семейного аккаунта. Родитель выбирает тариф </w:t>
      </w:r>
      <w:r w:rsidR="00B142FB">
        <w:rPr>
          <w:rFonts w:ascii="Times New Roman" w:hAnsi="Times New Roman" w:cs="Times New Roman"/>
          <w:sz w:val="24"/>
          <w:szCs w:val="24"/>
          <w:lang w:val="ru-RU"/>
        </w:rPr>
        <w:t>сервис</w:t>
      </w:r>
      <w:r w:rsidRPr="000A59D3">
        <w:rPr>
          <w:rFonts w:ascii="Times New Roman" w:hAnsi="Times New Roman" w:cs="Times New Roman"/>
          <w:sz w:val="24"/>
          <w:szCs w:val="24"/>
        </w:rPr>
        <w:t xml:space="preserve"> в приложении банка и проходит KYC. Затем добавляет детей в возрасте от 6 до 17 лет, указывая ФИО и дату рождения. Для каждого ребёнка создаётся под-счёт.</w:t>
      </w:r>
    </w:p>
    <w:p w14:paraId="19246EE2" w14:textId="77777777" w:rsidR="000A59D3" w:rsidRPr="000A59D3" w:rsidRDefault="000A59D3" w:rsidP="000A59D3">
      <w:pPr>
        <w:numPr>
          <w:ilvl w:val="1"/>
          <w:numId w:val="7"/>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Выпуск карт и устройств. Банком автоматически выпускаются виртуальные и, при желании, физические карты для каждого ребёнка. Для младших детей можно заказать NFC</w:t>
      </w:r>
      <w:r w:rsidRPr="000A59D3">
        <w:rPr>
          <w:rFonts w:ascii="Times New Roman" w:hAnsi="Times New Roman" w:cs="Times New Roman"/>
          <w:sz w:val="24"/>
          <w:szCs w:val="24"/>
        </w:rPr>
        <w:noBreakHyphen/>
        <w:t>брелоки/кольца с безопасным токеном. Все карты привязаны к основному счёту, но имеют собственные лимиты.</w:t>
      </w:r>
    </w:p>
    <w:p w14:paraId="25BE9AFC" w14:textId="77777777" w:rsidR="000A59D3" w:rsidRPr="000A59D3" w:rsidRDefault="000A59D3" w:rsidP="000A59D3">
      <w:pPr>
        <w:numPr>
          <w:ilvl w:val="1"/>
          <w:numId w:val="7"/>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Настройка правил и задач. Родитель задаёт недельный карманный бюджет, лимит на определённые категории (еда, развлечения) и устанавливает «задания»: помощь по дому, чтение книги, занятия спортом. За выполнение ребёнок получает вознаграждение, которое зачисляется автоматически.</w:t>
      </w:r>
    </w:p>
    <w:p w14:paraId="1C4C88F2" w14:textId="77777777" w:rsidR="000A59D3" w:rsidRPr="000A59D3" w:rsidRDefault="000A59D3" w:rsidP="000A59D3">
      <w:pPr>
        <w:numPr>
          <w:ilvl w:val="1"/>
          <w:numId w:val="7"/>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Совместные цели и копилки. В приложении доступен раздел «на цель»: семья выбирает цель (например, велосипед), указывает сумму и срок накопления. Алгоритм рассчитывает, сколько нужно откладывать, и предлагает округлять покупки, переводя разницу в копилку. Родители и дети могут делать взносы в любой момент.</w:t>
      </w:r>
    </w:p>
    <w:p w14:paraId="3F2E65C2" w14:textId="77777777" w:rsidR="000A59D3" w:rsidRPr="000A59D3" w:rsidRDefault="000A59D3" w:rsidP="000A59D3">
      <w:pPr>
        <w:numPr>
          <w:ilvl w:val="1"/>
          <w:numId w:val="7"/>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Обучающие модули. Для каждого возраста предусмотрены короткие уроки: от игры «как работает магазин» до базовых понятий про бюджет, проценты и налоги. За прохождение тестов дети получают виртуальные значки и дополнительные бонусы.</w:t>
      </w:r>
    </w:p>
    <w:p w14:paraId="7202A601" w14:textId="77777777" w:rsidR="000A59D3" w:rsidRPr="000A59D3" w:rsidRDefault="000A59D3" w:rsidP="000A59D3">
      <w:pPr>
        <w:numPr>
          <w:ilvl w:val="1"/>
          <w:numId w:val="7"/>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lastRenderedPageBreak/>
        <w:t>Панель контроля и аналитики. Родитель видит сводную статистику: сколько денег потратил каждый ребёнок, на что пошли расходы, какие задания выполнены, сколько накоплено на общую цель. Можно в один клик пополнить счёт ребёнка или изменить лимиты.</w:t>
      </w:r>
    </w:p>
    <w:p w14:paraId="6AA76F18" w14:textId="77777777" w:rsidR="000A59D3" w:rsidRPr="000A59D3" w:rsidRDefault="000A59D3" w:rsidP="000A59D3">
      <w:pPr>
        <w:numPr>
          <w:ilvl w:val="1"/>
          <w:numId w:val="7"/>
        </w:numPr>
        <w:spacing w:before="100" w:beforeAutospacing="1" w:after="100" w:afterAutospacing="1"/>
        <w:rPr>
          <w:rFonts w:ascii="Times New Roman" w:hAnsi="Times New Roman" w:cs="Times New Roman"/>
          <w:sz w:val="24"/>
          <w:szCs w:val="24"/>
        </w:rPr>
      </w:pPr>
      <w:r w:rsidRPr="000A59D3">
        <w:rPr>
          <w:rFonts w:ascii="Times New Roman" w:hAnsi="Times New Roman" w:cs="Times New Roman"/>
          <w:sz w:val="24"/>
          <w:szCs w:val="24"/>
        </w:rPr>
        <w:t>Маркетплейс партнёров. Банк подключает партнёров (магазины, кинотеатры, образовательные сервисы), которые предоставляют кешбэк или скидки по детским картам. Это монетизируется как платформа: партнёры платят комиссию банку, а клиенты получают выгоду.</w:t>
      </w:r>
    </w:p>
    <w:p w14:paraId="1F62E645" w14:textId="7084AF7F" w:rsidR="00105A8D" w:rsidRPr="002A2D13" w:rsidRDefault="00105A8D">
      <w:pPr>
        <w:rPr>
          <w:rFonts w:ascii="ADLaM Display" w:hAnsi="ADLaM Display" w:cs="ADLaM Display"/>
          <w:lang w:val="ru-RU"/>
        </w:rPr>
      </w:pPr>
    </w:p>
    <w:p w14:paraId="2F63414F" w14:textId="77777777" w:rsidR="00D104B2" w:rsidRPr="002A2D13" w:rsidRDefault="00D104B2">
      <w:pPr>
        <w:rPr>
          <w:rFonts w:ascii="ADLaM Display" w:hAnsi="ADLaM Display" w:cs="ADLaM Display"/>
          <w:lang w:val="ru-RU"/>
        </w:rPr>
      </w:pPr>
    </w:p>
    <w:p w14:paraId="182198F0" w14:textId="77777777" w:rsidR="00D104B2" w:rsidRPr="002A2D13" w:rsidRDefault="00D104B2">
      <w:pPr>
        <w:rPr>
          <w:rFonts w:ascii="ADLaM Display" w:hAnsi="ADLaM Display" w:cs="ADLaM Display"/>
          <w:lang w:val="ru-RU"/>
        </w:rPr>
      </w:pPr>
    </w:p>
    <w:sectPr w:rsidR="00D104B2" w:rsidRPr="002A2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DLaM Display">
    <w:panose1 w:val="02010000000000000000"/>
    <w:charset w:val="00"/>
    <w:family w:val="auto"/>
    <w:pitch w:val="variable"/>
    <w:sig w:usb0="8000206F" w:usb1="4200004A"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46CD"/>
    <w:multiLevelType w:val="hybridMultilevel"/>
    <w:tmpl w:val="FFFFFFFF"/>
    <w:lvl w:ilvl="0" w:tplc="D2603F66">
      <w:start w:val="1"/>
      <w:numFmt w:val="decimal"/>
      <w:lvlText w:val="%1."/>
      <w:lvlJc w:val="left"/>
      <w:pPr>
        <w:tabs>
          <w:tab w:val="num" w:pos="720"/>
        </w:tabs>
        <w:ind w:left="720" w:hanging="360"/>
      </w:pPr>
    </w:lvl>
    <w:lvl w:ilvl="1" w:tplc="9432C21A">
      <w:start w:val="1"/>
      <w:numFmt w:val="decimal"/>
      <w:lvlText w:val="%2."/>
      <w:lvlJc w:val="left"/>
      <w:pPr>
        <w:tabs>
          <w:tab w:val="num" w:pos="1440"/>
        </w:tabs>
        <w:ind w:left="1440" w:hanging="360"/>
      </w:pPr>
    </w:lvl>
    <w:lvl w:ilvl="2" w:tplc="0E8427FE" w:tentative="1">
      <w:start w:val="1"/>
      <w:numFmt w:val="decimal"/>
      <w:lvlText w:val="%3."/>
      <w:lvlJc w:val="left"/>
      <w:pPr>
        <w:tabs>
          <w:tab w:val="num" w:pos="2160"/>
        </w:tabs>
        <w:ind w:left="2160" w:hanging="360"/>
      </w:pPr>
    </w:lvl>
    <w:lvl w:ilvl="3" w:tplc="82DA6672" w:tentative="1">
      <w:start w:val="1"/>
      <w:numFmt w:val="decimal"/>
      <w:lvlText w:val="%4."/>
      <w:lvlJc w:val="left"/>
      <w:pPr>
        <w:tabs>
          <w:tab w:val="num" w:pos="2880"/>
        </w:tabs>
        <w:ind w:left="2880" w:hanging="360"/>
      </w:pPr>
    </w:lvl>
    <w:lvl w:ilvl="4" w:tplc="A5E82868" w:tentative="1">
      <w:start w:val="1"/>
      <w:numFmt w:val="decimal"/>
      <w:lvlText w:val="%5."/>
      <w:lvlJc w:val="left"/>
      <w:pPr>
        <w:tabs>
          <w:tab w:val="num" w:pos="3600"/>
        </w:tabs>
        <w:ind w:left="3600" w:hanging="360"/>
      </w:pPr>
    </w:lvl>
    <w:lvl w:ilvl="5" w:tplc="6D6A1480" w:tentative="1">
      <w:start w:val="1"/>
      <w:numFmt w:val="decimal"/>
      <w:lvlText w:val="%6."/>
      <w:lvlJc w:val="left"/>
      <w:pPr>
        <w:tabs>
          <w:tab w:val="num" w:pos="4320"/>
        </w:tabs>
        <w:ind w:left="4320" w:hanging="360"/>
      </w:pPr>
    </w:lvl>
    <w:lvl w:ilvl="6" w:tplc="CBEEE616" w:tentative="1">
      <w:start w:val="1"/>
      <w:numFmt w:val="decimal"/>
      <w:lvlText w:val="%7."/>
      <w:lvlJc w:val="left"/>
      <w:pPr>
        <w:tabs>
          <w:tab w:val="num" w:pos="5040"/>
        </w:tabs>
        <w:ind w:left="5040" w:hanging="360"/>
      </w:pPr>
    </w:lvl>
    <w:lvl w:ilvl="7" w:tplc="7F5EBFCA" w:tentative="1">
      <w:start w:val="1"/>
      <w:numFmt w:val="decimal"/>
      <w:lvlText w:val="%8."/>
      <w:lvlJc w:val="left"/>
      <w:pPr>
        <w:tabs>
          <w:tab w:val="num" w:pos="5760"/>
        </w:tabs>
        <w:ind w:left="5760" w:hanging="360"/>
      </w:pPr>
    </w:lvl>
    <w:lvl w:ilvl="8" w:tplc="574A29EC" w:tentative="1">
      <w:start w:val="1"/>
      <w:numFmt w:val="decimal"/>
      <w:lvlText w:val="%9."/>
      <w:lvlJc w:val="left"/>
      <w:pPr>
        <w:tabs>
          <w:tab w:val="num" w:pos="6480"/>
        </w:tabs>
        <w:ind w:left="6480" w:hanging="360"/>
      </w:pPr>
    </w:lvl>
  </w:abstractNum>
  <w:abstractNum w:abstractNumId="1" w15:restartNumberingAfterBreak="0">
    <w:nsid w:val="17A3756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EB742A"/>
    <w:multiLevelType w:val="hybridMultilevel"/>
    <w:tmpl w:val="FFFFFFFF"/>
    <w:lvl w:ilvl="0" w:tplc="7B92F6B0">
      <w:start w:val="1"/>
      <w:numFmt w:val="decimal"/>
      <w:lvlText w:val="%1."/>
      <w:lvlJc w:val="left"/>
      <w:pPr>
        <w:tabs>
          <w:tab w:val="num" w:pos="720"/>
        </w:tabs>
        <w:ind w:left="720" w:hanging="360"/>
      </w:pPr>
    </w:lvl>
    <w:lvl w:ilvl="1" w:tplc="6588934A">
      <w:start w:val="1"/>
      <w:numFmt w:val="decimal"/>
      <w:lvlText w:val="%2."/>
      <w:lvlJc w:val="left"/>
      <w:pPr>
        <w:tabs>
          <w:tab w:val="num" w:pos="1440"/>
        </w:tabs>
        <w:ind w:left="1440" w:hanging="360"/>
      </w:pPr>
    </w:lvl>
    <w:lvl w:ilvl="2" w:tplc="158A93E4" w:tentative="1">
      <w:start w:val="1"/>
      <w:numFmt w:val="decimal"/>
      <w:lvlText w:val="%3."/>
      <w:lvlJc w:val="left"/>
      <w:pPr>
        <w:tabs>
          <w:tab w:val="num" w:pos="2160"/>
        </w:tabs>
        <w:ind w:left="2160" w:hanging="360"/>
      </w:pPr>
    </w:lvl>
    <w:lvl w:ilvl="3" w:tplc="33AE1ADC" w:tentative="1">
      <w:start w:val="1"/>
      <w:numFmt w:val="decimal"/>
      <w:lvlText w:val="%4."/>
      <w:lvlJc w:val="left"/>
      <w:pPr>
        <w:tabs>
          <w:tab w:val="num" w:pos="2880"/>
        </w:tabs>
        <w:ind w:left="2880" w:hanging="360"/>
      </w:pPr>
    </w:lvl>
    <w:lvl w:ilvl="4" w:tplc="BD70F4CA" w:tentative="1">
      <w:start w:val="1"/>
      <w:numFmt w:val="decimal"/>
      <w:lvlText w:val="%5."/>
      <w:lvlJc w:val="left"/>
      <w:pPr>
        <w:tabs>
          <w:tab w:val="num" w:pos="3600"/>
        </w:tabs>
        <w:ind w:left="3600" w:hanging="360"/>
      </w:pPr>
    </w:lvl>
    <w:lvl w:ilvl="5" w:tplc="9CC80B6C" w:tentative="1">
      <w:start w:val="1"/>
      <w:numFmt w:val="decimal"/>
      <w:lvlText w:val="%6."/>
      <w:lvlJc w:val="left"/>
      <w:pPr>
        <w:tabs>
          <w:tab w:val="num" w:pos="4320"/>
        </w:tabs>
        <w:ind w:left="4320" w:hanging="360"/>
      </w:pPr>
    </w:lvl>
    <w:lvl w:ilvl="6" w:tplc="A7DC1BB0" w:tentative="1">
      <w:start w:val="1"/>
      <w:numFmt w:val="decimal"/>
      <w:lvlText w:val="%7."/>
      <w:lvlJc w:val="left"/>
      <w:pPr>
        <w:tabs>
          <w:tab w:val="num" w:pos="5040"/>
        </w:tabs>
        <w:ind w:left="5040" w:hanging="360"/>
      </w:pPr>
    </w:lvl>
    <w:lvl w:ilvl="7" w:tplc="AEBCD4C4" w:tentative="1">
      <w:start w:val="1"/>
      <w:numFmt w:val="decimal"/>
      <w:lvlText w:val="%8."/>
      <w:lvlJc w:val="left"/>
      <w:pPr>
        <w:tabs>
          <w:tab w:val="num" w:pos="5760"/>
        </w:tabs>
        <w:ind w:left="5760" w:hanging="360"/>
      </w:pPr>
    </w:lvl>
    <w:lvl w:ilvl="8" w:tplc="FE42B29E" w:tentative="1">
      <w:start w:val="1"/>
      <w:numFmt w:val="decimal"/>
      <w:lvlText w:val="%9."/>
      <w:lvlJc w:val="left"/>
      <w:pPr>
        <w:tabs>
          <w:tab w:val="num" w:pos="6480"/>
        </w:tabs>
        <w:ind w:left="6480" w:hanging="360"/>
      </w:pPr>
    </w:lvl>
  </w:abstractNum>
  <w:abstractNum w:abstractNumId="3" w15:restartNumberingAfterBreak="0">
    <w:nsid w:val="576C046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7450B9"/>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183F7C"/>
    <w:multiLevelType w:val="hybridMultilevel"/>
    <w:tmpl w:val="FFFFFFFF"/>
    <w:lvl w:ilvl="0" w:tplc="79E2310E">
      <w:start w:val="1"/>
      <w:numFmt w:val="decimal"/>
      <w:lvlText w:val="%1."/>
      <w:lvlJc w:val="left"/>
      <w:pPr>
        <w:tabs>
          <w:tab w:val="num" w:pos="720"/>
        </w:tabs>
        <w:ind w:left="720" w:hanging="360"/>
      </w:pPr>
    </w:lvl>
    <w:lvl w:ilvl="1" w:tplc="40F8FECC">
      <w:start w:val="1"/>
      <w:numFmt w:val="decimal"/>
      <w:lvlText w:val="%2."/>
      <w:lvlJc w:val="left"/>
      <w:pPr>
        <w:tabs>
          <w:tab w:val="num" w:pos="1440"/>
        </w:tabs>
        <w:ind w:left="1440" w:hanging="360"/>
      </w:pPr>
    </w:lvl>
    <w:lvl w:ilvl="2" w:tplc="9DF40D44">
      <w:start w:val="1"/>
      <w:numFmt w:val="bullet"/>
      <w:lvlText w:val=""/>
      <w:lvlJc w:val="left"/>
      <w:pPr>
        <w:tabs>
          <w:tab w:val="num" w:pos="2160"/>
        </w:tabs>
        <w:ind w:left="2160" w:hanging="360"/>
      </w:pPr>
      <w:rPr>
        <w:rFonts w:ascii="Wingdings" w:hAnsi="Wingdings" w:hint="default"/>
        <w:sz w:val="20"/>
      </w:rPr>
    </w:lvl>
    <w:lvl w:ilvl="3" w:tplc="5A90E248" w:tentative="1">
      <w:start w:val="1"/>
      <w:numFmt w:val="decimal"/>
      <w:lvlText w:val="%4."/>
      <w:lvlJc w:val="left"/>
      <w:pPr>
        <w:tabs>
          <w:tab w:val="num" w:pos="2880"/>
        </w:tabs>
        <w:ind w:left="2880" w:hanging="360"/>
      </w:pPr>
    </w:lvl>
    <w:lvl w:ilvl="4" w:tplc="65DC1198" w:tentative="1">
      <w:start w:val="1"/>
      <w:numFmt w:val="decimal"/>
      <w:lvlText w:val="%5."/>
      <w:lvlJc w:val="left"/>
      <w:pPr>
        <w:tabs>
          <w:tab w:val="num" w:pos="3600"/>
        </w:tabs>
        <w:ind w:left="3600" w:hanging="360"/>
      </w:pPr>
    </w:lvl>
    <w:lvl w:ilvl="5" w:tplc="5BB0E8E4" w:tentative="1">
      <w:start w:val="1"/>
      <w:numFmt w:val="decimal"/>
      <w:lvlText w:val="%6."/>
      <w:lvlJc w:val="left"/>
      <w:pPr>
        <w:tabs>
          <w:tab w:val="num" w:pos="4320"/>
        </w:tabs>
        <w:ind w:left="4320" w:hanging="360"/>
      </w:pPr>
    </w:lvl>
    <w:lvl w:ilvl="6" w:tplc="3A7622AC" w:tentative="1">
      <w:start w:val="1"/>
      <w:numFmt w:val="decimal"/>
      <w:lvlText w:val="%7."/>
      <w:lvlJc w:val="left"/>
      <w:pPr>
        <w:tabs>
          <w:tab w:val="num" w:pos="5040"/>
        </w:tabs>
        <w:ind w:left="5040" w:hanging="360"/>
      </w:pPr>
    </w:lvl>
    <w:lvl w:ilvl="7" w:tplc="9CB2E0AE" w:tentative="1">
      <w:start w:val="1"/>
      <w:numFmt w:val="decimal"/>
      <w:lvlText w:val="%8."/>
      <w:lvlJc w:val="left"/>
      <w:pPr>
        <w:tabs>
          <w:tab w:val="num" w:pos="5760"/>
        </w:tabs>
        <w:ind w:left="5760" w:hanging="360"/>
      </w:pPr>
    </w:lvl>
    <w:lvl w:ilvl="8" w:tplc="213A25B8" w:tentative="1">
      <w:start w:val="1"/>
      <w:numFmt w:val="decimal"/>
      <w:lvlText w:val="%9."/>
      <w:lvlJc w:val="left"/>
      <w:pPr>
        <w:tabs>
          <w:tab w:val="num" w:pos="6480"/>
        </w:tabs>
        <w:ind w:left="6480" w:hanging="360"/>
      </w:pPr>
    </w:lvl>
  </w:abstractNum>
  <w:abstractNum w:abstractNumId="6" w15:restartNumberingAfterBreak="0">
    <w:nsid w:val="683163F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680244">
    <w:abstractNumId w:val="1"/>
  </w:num>
  <w:num w:numId="2" w16cid:durableId="782916784">
    <w:abstractNumId w:val="5"/>
  </w:num>
  <w:num w:numId="3" w16cid:durableId="1865248549">
    <w:abstractNumId w:val="6"/>
  </w:num>
  <w:num w:numId="4" w16cid:durableId="560141489">
    <w:abstractNumId w:val="4"/>
  </w:num>
  <w:num w:numId="5" w16cid:durableId="1617835029">
    <w:abstractNumId w:val="0"/>
  </w:num>
  <w:num w:numId="6" w16cid:durableId="1322542114">
    <w:abstractNumId w:val="3"/>
  </w:num>
  <w:num w:numId="7" w16cid:durableId="49548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A8D"/>
    <w:rsid w:val="000A59D3"/>
    <w:rsid w:val="000D1635"/>
    <w:rsid w:val="00105A8D"/>
    <w:rsid w:val="00155A30"/>
    <w:rsid w:val="001A6863"/>
    <w:rsid w:val="002A2D13"/>
    <w:rsid w:val="00317E14"/>
    <w:rsid w:val="003C2F3B"/>
    <w:rsid w:val="00444DBF"/>
    <w:rsid w:val="004A5BE2"/>
    <w:rsid w:val="005428CC"/>
    <w:rsid w:val="005572E2"/>
    <w:rsid w:val="006068F8"/>
    <w:rsid w:val="0064086E"/>
    <w:rsid w:val="00656632"/>
    <w:rsid w:val="0067079E"/>
    <w:rsid w:val="006869FD"/>
    <w:rsid w:val="00687DD5"/>
    <w:rsid w:val="006A068C"/>
    <w:rsid w:val="00715F24"/>
    <w:rsid w:val="00736463"/>
    <w:rsid w:val="00802BE3"/>
    <w:rsid w:val="00826827"/>
    <w:rsid w:val="008415FE"/>
    <w:rsid w:val="009C533F"/>
    <w:rsid w:val="009D60BB"/>
    <w:rsid w:val="00A22964"/>
    <w:rsid w:val="00A94D28"/>
    <w:rsid w:val="00AB1DDD"/>
    <w:rsid w:val="00AB609E"/>
    <w:rsid w:val="00AC12D9"/>
    <w:rsid w:val="00AE7179"/>
    <w:rsid w:val="00B142FB"/>
    <w:rsid w:val="00BD3BF7"/>
    <w:rsid w:val="00BE6C0F"/>
    <w:rsid w:val="00D104B2"/>
    <w:rsid w:val="00D1214A"/>
    <w:rsid w:val="00D46B56"/>
    <w:rsid w:val="00D5227E"/>
    <w:rsid w:val="00D7386A"/>
    <w:rsid w:val="00D83A2A"/>
    <w:rsid w:val="00E67D35"/>
    <w:rsid w:val="00E8112B"/>
    <w:rsid w:val="00E91346"/>
    <w:rsid w:val="00EC5C9B"/>
    <w:rsid w:val="00EF467B"/>
    <w:rsid w:val="00FE7FE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3D86"/>
  <w15:chartTrackingRefBased/>
  <w15:docId w15:val="{E501654C-9B9E-A444-8B88-D4D12FF2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KZ" w:eastAsia="ru-R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0"/>
      <w14:ligatures w14:val="none"/>
    </w:rPr>
  </w:style>
  <w:style w:type="paragraph" w:styleId="3">
    <w:name w:val="heading 3"/>
    <w:basedOn w:val="a"/>
    <w:next w:val="a"/>
    <w:link w:val="30"/>
    <w:uiPriority w:val="9"/>
    <w:unhideWhenUsed/>
    <w:qFormat/>
    <w:rsid w:val="00736463"/>
    <w:pPr>
      <w:keepNext/>
      <w:keepLines/>
      <w:spacing w:before="160" w:after="80"/>
      <w:outlineLvl w:val="2"/>
    </w:pPr>
    <w:rPr>
      <w:rFonts w:eastAsiaTheme="majorEastAsia" w:cstheme="majorBidi"/>
      <w:color w:val="2F5496"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rsid w:val="00736463"/>
    <w:rPr>
      <w:rFonts w:eastAsiaTheme="majorEastAsia" w:cstheme="majorBidi"/>
      <w:color w:val="2F5496" w:themeColor="accent1" w:themeShade="BF"/>
      <w:kern w:val="0"/>
      <w:sz w:val="28"/>
      <w:szCs w:val="28"/>
      <w14:ligatures w14:val="none"/>
    </w:rPr>
  </w:style>
  <w:style w:type="paragraph" w:customStyle="1" w:styleId="p1">
    <w:name w:val="p1"/>
    <w:basedOn w:val="a"/>
    <w:rsid w:val="00736463"/>
    <w:pPr>
      <w:spacing w:before="100" w:beforeAutospacing="1" w:after="100" w:afterAutospacing="1"/>
    </w:pPr>
    <w:rPr>
      <w:rFonts w:ascii="Times New Roman" w:hAnsi="Times New Roman" w:cs="Times New Roman"/>
      <w:sz w:val="24"/>
      <w:szCs w:val="24"/>
    </w:rPr>
  </w:style>
  <w:style w:type="character" w:customStyle="1" w:styleId="s1">
    <w:name w:val="s1"/>
    <w:basedOn w:val="a0"/>
    <w:rsid w:val="00736463"/>
  </w:style>
  <w:style w:type="character" w:customStyle="1" w:styleId="s2">
    <w:name w:val="s2"/>
    <w:basedOn w:val="a0"/>
    <w:rsid w:val="00736463"/>
  </w:style>
  <w:style w:type="character" w:customStyle="1" w:styleId="s3">
    <w:name w:val="s3"/>
    <w:basedOn w:val="a0"/>
    <w:rsid w:val="00736463"/>
  </w:style>
  <w:style w:type="character" w:styleId="a3">
    <w:name w:val="Hyperlink"/>
    <w:basedOn w:val="a0"/>
    <w:uiPriority w:val="99"/>
    <w:unhideWhenUsed/>
    <w:rsid w:val="00D1214A"/>
    <w:rPr>
      <w:color w:val="0563C1" w:themeColor="hyperlink"/>
      <w:u w:val="single"/>
    </w:rPr>
  </w:style>
  <w:style w:type="character" w:styleId="a4">
    <w:name w:val="Unresolved Mention"/>
    <w:basedOn w:val="a0"/>
    <w:uiPriority w:val="99"/>
    <w:semiHidden/>
    <w:unhideWhenUsed/>
    <w:rsid w:val="00D1214A"/>
    <w:rPr>
      <w:color w:val="605E5C"/>
      <w:shd w:val="clear" w:color="auto" w:fill="E1DFDD"/>
    </w:rPr>
  </w:style>
  <w:style w:type="character" w:customStyle="1" w:styleId="apple-converted-space">
    <w:name w:val="apple-converted-space"/>
    <w:basedOn w:val="a0"/>
    <w:rsid w:val="001A6863"/>
  </w:style>
  <w:style w:type="paragraph" w:customStyle="1" w:styleId="p2">
    <w:name w:val="p2"/>
    <w:basedOn w:val="a"/>
    <w:rsid w:val="001A6863"/>
    <w:pPr>
      <w:spacing w:before="100" w:beforeAutospacing="1" w:after="100" w:afterAutospacing="1"/>
    </w:pPr>
    <w:rPr>
      <w:rFonts w:ascii="Times New Roman" w:hAnsi="Times New Roman" w:cs="Times New Roman"/>
      <w:sz w:val="24"/>
      <w:szCs w:val="24"/>
    </w:rPr>
  </w:style>
  <w:style w:type="paragraph" w:customStyle="1" w:styleId="p3">
    <w:name w:val="p3"/>
    <w:basedOn w:val="a"/>
    <w:rsid w:val="001A6863"/>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4895135_MOTIVATION_OF_RUSSIAN_YOUTH_TO_DONATE_BLOOD" TargetMode="External"/><Relationship Id="rId3" Type="http://schemas.openxmlformats.org/officeDocument/2006/relationships/settings" Target="settings.xml"/><Relationship Id="rId7" Type="http://schemas.openxmlformats.org/officeDocument/2006/relationships/hyperlink" Target="https://www.researchgate.net/publication/315658884_Blood_Donation_as_a_Social_Practice_in_Russ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icsawards.tech/practices/18050" TargetMode="External"/><Relationship Id="rId11" Type="http://schemas.openxmlformats.org/officeDocument/2006/relationships/theme" Target="theme/theme1.xml"/><Relationship Id="rId5" Type="http://schemas.openxmlformats.org/officeDocument/2006/relationships/hyperlink" Target="https://bricsawards.tech/practices/1805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ublication/374678912_Improvement_of_the_blood_donor_system_in_russia_the_case_of_belgorod_and_kursk_region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3635</Words>
  <Characters>20720</Characters>
  <Application>Microsoft Office Word</Application>
  <DocSecurity>0</DocSecurity>
  <Lines>172</Lines>
  <Paragraphs>48</Paragraphs>
  <ScaleCrop>false</ScaleCrop>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Жильцов Кирилл Максимович</dc:creator>
  <cp:keywords/>
  <dc:description/>
  <cp:lastModifiedBy>Oscar Piastri</cp:lastModifiedBy>
  <cp:revision>2</cp:revision>
  <dcterms:created xsi:type="dcterms:W3CDTF">2025-10-19T15:43:00Z</dcterms:created>
  <dcterms:modified xsi:type="dcterms:W3CDTF">2025-10-19T15:43:00Z</dcterms:modified>
</cp:coreProperties>
</file>