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Autospacing="0" w:before="0" w:afterAutospacing="0" w:after="16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val="ru-RU"/>
        </w:rPr>
        <w:t>1 карточка идей. Голос рублём - прозрачные общественные сборы. Единый цифровой кошелёк добрых дел.</w:t>
      </w:r>
    </w:p>
    <w:p>
      <w:pPr>
        <w:pStyle w:val="Normal"/>
        <w:spacing w:lineRule="auto" w:line="259" w:beforeAutospacing="0" w:before="0" w:afterAutospacing="0" w:after="160"/>
        <w:ind w:hanging="0" w:left="0" w:right="0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1.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 xml:space="preserve">В какой сфере вы хотите искать проблемы и решения и почему?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Финансовые технологии и гражданские инициативы. Я изначально понимала, что хочу взять проблемы связанную с обществом, я бы хотела, чтобы некоторые процессы стали более цифровизированными и прозрачными. Я считаю, что с развитием новых технологий, государству стоит активно их внедрять для упрощения и систематизации работы.</w:t>
      </w:r>
    </w:p>
    <w:p>
      <w:pPr>
        <w:pStyle w:val="Normal"/>
        <w:spacing w:lineRule="auto" w:line="259" w:beforeAutospacing="0" w:before="0" w:afterAutospacing="0" w:after="160"/>
        <w:ind w:hanging="0" w:left="0" w:right="0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Основная цель работа над государственными проектами - строительством, реставрацией, созданием парков, аллей, общественных мест, облагораживание районов.</w:t>
      </w:r>
    </w:p>
    <w:p>
      <w:pPr>
        <w:pStyle w:val="Normal"/>
        <w:spacing w:beforeAutospacing="0" w:before="240" w:afterAutospacing="0" w:after="240"/>
        <w:ind w:left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2.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 xml:space="preserve">О каких проблемах в выбранной вами сфере вам известно? Охарактеризуйте их кратко. </w:t>
      </w:r>
    </w:p>
    <w:p>
      <w:pPr>
        <w:pStyle w:val="Normal"/>
        <w:spacing w:lineRule="auto" w:line="259" w:beforeAutospacing="0" w:before="240" w:afterAutospacing="0" w:after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Во первых, это низкое доверие к сбору средств и использованию средств: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люди не видят отчётов, не понимают, куда ушли деньги. От этого возникает много проблем и вопросов, связанных с коррупцией. Зачем мне отдавать деньги, чтобы ими просто воспользовался другой человек. Это и является коррупционным риском - люди, которые участвуют в благотворительности хотят, чтобы деньги помогали в решении проблем, а незаконно присваивались другим людям. Поэтому крайне важна возможность “проследить” за дальнейшей реализации проекта. Также важно учитывать такие пробле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мы, как: трудности мониторинга выполнения проектов (сложно проверить, выполнен ли проект и правильно ли потрачены деньги); идентификация и мошенничество при голосовании (отсутствие надёжной проверки личности приводит к фальсификациям при голосовании за проекты).</w:t>
      </w:r>
    </w:p>
    <w:p>
      <w:pPr>
        <w:pStyle w:val="Normal"/>
        <w:spacing w:lineRule="auto" w:line="259" w:beforeAutospacing="0" w:before="240" w:afterAutospacing="0" w:after="240"/>
        <w:ind w:left="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3. Как эти известные проблемы – КЛИЕНТСКИЕ БОЛИ - решаются?</w:t>
      </w:r>
    </w:p>
    <w:p>
      <w:pPr>
        <w:pStyle w:val="Normal"/>
        <w:spacing w:beforeAutospacing="0" w:before="240" w:afterAutospacing="0" w:after="240"/>
        <w:ind w:left="0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Традиционные благотворительные платформы дают отчёты, но часто непрозрачны по транзакциям и берут комиссии. Муниципальные бюджеты участия реализуются локально; отчёты формальны, контроль слабый. Независимые аудиторы/НКО проверяют расходы, но это дорого и редко покрывает все инициативы. Электронные голосования используются, но без жёсткой цифровой идентификации и неизменяемого реестра — уязвимы.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Почему этого недостаточно: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 решения фрагментарны, часто централизованы и не дают гражданину «живой» проверки транзакций и автоматической привязки голосов к расходам.</w:t>
      </w:r>
    </w:p>
    <w:p>
      <w:pPr>
        <w:pStyle w:val="Heading3"/>
        <w:spacing w:beforeAutospacing="0" w:before="281" w:afterAutospacing="0" w:after="281"/>
        <w:rPr>
          <w:rFonts w:ascii="Times New Roman" w:hAnsi="Times New Roman" w:eastAsia="Times New Roman" w:cs="Times New Roman"/>
          <w:b/>
          <w:bCs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4. Из каких источников вы получили данные о проблемах и решениях в этой сфере?</w:t>
      </w:r>
    </w:p>
    <w:p>
      <w:pPr>
        <w:pStyle w:val="Normal"/>
        <w:spacing w:beforeAutospacing="0" w:before="240" w:afterAutospacing="0" w:after="240"/>
        <w:ind w:left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>Вот несколько различных примеров, исходя из которых, я вывела ключевую проблематику:</w:t>
      </w:r>
    </w:p>
    <w:p>
      <w:pPr>
        <w:pStyle w:val="ListParagraph"/>
        <w:numPr>
          <w:ilvl w:val="0"/>
          <w:numId w:val="8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Российская практика “Бюджета участия”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— например, проект «Народный бюджет» в Псковской, Новгородской и Тульской областях.</w:t>
      </w:r>
      <w:r>
        <w:rPr/>
        <w:br/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Согласно официальным отчётам Минфина РФ (2023),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4"/>
          <w:szCs w:val="24"/>
          <w:lang w:val="ru-RU"/>
        </w:rPr>
        <w:t>в 2022 году через такие программы реализовано более 11 тысяч проектов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, однако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уровень прозрачности и обратной связи остаётся низким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>: отчёты формируются постфактум, а граждане не видят процесс расходования средств в реальном времени.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Платформа “Активный гражданин” (г. Москва)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— даёт возможность гражданам голосовать за городские инициативы.</w:t>
      </w:r>
      <w:r>
        <w:rPr/>
        <w:br/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Однако, как отмечено в исследовании Института развития интернета (2022),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механизмы проверки достоверности голосов и прозрачности финансирования проектов ограничены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>, так как не связаны напрямую с расходованием бюджета.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Портал “Добро.ру” (Росмолодёжь)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и благотворительные платформы “Помощь рядом”, “Планета.ру” и др. Они позволяют собирать пожертвования, но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не предоставляют открытых данных о движении средств в формате блокчейна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>. Пользователь не может проследить путь своего взноса от перевода до реализации.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Официальные данные Минфина РФ и Минцифры РФ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о цифровизации государственного управления и развитии GovTech (нацпроект «Цифровая экономика РФ»).</w:t>
      </w:r>
      <w:r>
        <w:rPr/>
        <w:br/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В 2024 году одним из приоритетов обозначено внедрение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систем доверия и прозрачности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в финансовых операциях государственного сектора. Это подтверждает актуальность идеи и готовность к её внедрению на институциональном уровне.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Международный опыт, применимый к России: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пилотный проект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4"/>
          <w:szCs w:val="24"/>
          <w:lang w:val="ru-RU"/>
        </w:rPr>
        <w:t>«Городской блокчейн для бюджета участия»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в Сеуле (Южная Корея, 2020) и система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4"/>
          <w:szCs w:val="24"/>
          <w:lang w:val="ru-RU"/>
        </w:rPr>
        <w:t>Decidim Barcelona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(Испания).</w:t>
      </w:r>
      <w:r>
        <w:rPr/>
        <w:br/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Оба примера показали рост доверия граждан на 20–30% и сокращение времени проверки проектов на 40%. Эти кейсы активно обсуждаются в российском экспертном сообществе как потенциальные модели для локальной адаптации.</w:t>
      </w:r>
    </w:p>
    <w:p>
      <w:pPr>
        <w:pStyle w:val="Heading3"/>
        <w:spacing w:beforeAutospacing="0" w:before="281" w:afterAutospacing="0" w:after="281"/>
        <w:rPr>
          <w:rFonts w:ascii="Times New Roman" w:hAnsi="Times New Roman" w:eastAsia="Times New Roman" w:cs="Times New Roman"/>
          <w:b/>
          <w:bCs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5. Почему известные вам способы решения проблем не являются «идеальными»?</w:t>
      </w:r>
    </w:p>
    <w:p>
      <w:pPr>
        <w:pStyle w:val="ListParagraph"/>
        <w:numPr>
          <w:ilvl w:val="0"/>
          <w:numId w:val="9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“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Активный гражданин”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решает задачу вовлечения населения, но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не связан с финансовыми потоками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— граждане видят только результаты голосования, а не то, как расходуются средства. ⇒ Отсутствует связка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4"/>
          <w:szCs w:val="24"/>
          <w:lang w:val="ru-RU"/>
        </w:rPr>
        <w:t>«голос – рубль – результат»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>, что не формирует доверие и не предотвращает коррупционные риски. Нет общей концепции, где каждая задача последовательно выполняется и видно результат на каждом этапе.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“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Народный бюджет”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и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“Инициативное бюджетирование”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(поддерживаемые Минфином РФ) демонстрируют рост вовлечённости, но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все процессы ручные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>: заявки обрабатываются офлайн, отчёты предоставляются в PDF или бумажном виде. ⇒ Гражданин не может проверить достоверность выполнения проекта и увидеть реальные транзакции. Сама система не цифровизована и не является открытой.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Коммерческие краудфандинговые платформы (“Планета.ру”, “Boomstarter”)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решают вопрос удобства сбора, но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взимают комиссию (до 10%)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и не дают гарантии целевого расходования. ⇒ Нет автоматических механизмов контроля и невозможность отследить выполнение условий после сбора средств.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Благотворительные сервисы (“Добро.ру”)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централизованы и зависят от администратора платформы, что создаёт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риск злоупотреблений или задержек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при передаче денег. ⇒ Отсутствует технология неизменяемого реестра (ledger), где каждая транзакция фиксируется навсегда.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val="ru-RU"/>
        </w:rPr>
        <w:t>Техническое и юридическое ограничение существующих решений: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отсутствие интеграции с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4"/>
          <w:szCs w:val="24"/>
          <w:lang w:val="ru-RU"/>
        </w:rPr>
        <w:t>ЕСИА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 (Единая система идентификации и аутентификации);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rFonts w:ascii="Times New Roman" w:hAnsi="Times New Roman" w:eastAsia="Times New Roman" w:cs="Times New Roman"/>
          <w:b/>
          <w:bCs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нет применения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4"/>
          <w:szCs w:val="24"/>
          <w:lang w:val="ru-RU"/>
        </w:rPr>
        <w:t>смарт-контрактов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>, обеспечивающих автоматическое выполнение условий;</w:t>
      </w:r>
    </w:p>
    <w:p>
      <w:pPr>
        <w:pStyle w:val="ListParagraph"/>
        <w:spacing w:beforeAutospacing="0" w:before="240" w:afterAutospacing="0" w:after="240"/>
        <w:ind w:left="720"/>
        <w:contextualSpacing/>
        <w:rPr>
          <w:rFonts w:ascii="Times New Roman" w:hAnsi="Times New Roman" w:eastAsia="Times New Roman" w:cs="Times New Roman"/>
          <w:b/>
          <w:bCs/>
          <w:color w:themeColor="text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 xml:space="preserve">отчётность не публикуется в формате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4"/>
          <w:szCs w:val="24"/>
          <w:lang w:val="ru-RU"/>
        </w:rPr>
        <w:t>Open Data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val="ru-RU"/>
        </w:rPr>
        <w:t>, а значит, недоступна для гражданского аудита и аналитики.</w:t>
      </w:r>
    </w:p>
    <w:p>
      <w:pPr>
        <w:pStyle w:val="Normal"/>
        <w:spacing w:beforeAutospacing="0" w:before="240" w:afterAutospacing="0" w:after="240"/>
        <w:ind w:left="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6. Вы придумали способы решения (ТАБЛЕТКА ОТ КЛИЕНТСКОЙ БОЛИ)? Отлично! Очень кратко охарактеризуйте их.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Главная идея решения: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Каждый гражданин получает возможность не только участвовать в сборе средств, но и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в реальном времени видеть, куда пошёл каждый рубль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, как выполняется проект и когда он будет завершён. Государство при этом получает инструмент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цифрового доверия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— автоматизированную систему, где невозможно «потерять» или «украсть» средства, так как все операции фиксируются и публично доступны.</w:t>
      </w:r>
    </w:p>
    <w:p>
      <w:pPr>
        <w:pStyle w:val="Normal"/>
        <w:spacing w:beforeAutospacing="0" w:before="240" w:afterAutospacing="0" w:after="240"/>
        <w:ind w:left="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lang w:val="ru-RU"/>
        </w:rPr>
        <w:t>Организация и роли:</w:t>
      </w:r>
    </w:p>
    <w:p>
      <w:pPr>
        <w:pStyle w:val="ListParagraph"/>
        <w:numPr>
          <w:ilvl w:val="0"/>
          <w:numId w:val="10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lang w:val="ru-RU"/>
        </w:rPr>
        <w:t>Владелец платформы: муниципалитет/фонд + технический подрядчик.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lang w:val="ru-RU"/>
        </w:rPr>
        <w:t>Администратор кампаний: профильный департамент/НКО.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lang w:val="ru-RU"/>
        </w:rPr>
        <w:t>Исполнители: подрядчики, НКО, муниципальные службы.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lang w:val="ru-RU"/>
        </w:rPr>
        <w:t>Пользователи: граждане (вкладчики и голосующие).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lang w:val="ru-RU"/>
        </w:rPr>
        <w:t>Аудиторы / наблюдатели: независимые организации и СМИ.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Как работает система: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 xml:space="preserve">Первый этап: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Инициация проекта.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Муниципалитет, некоммерческая организация или инициативная группа граждан создаёт проект на цифровой платформе. В карточке проекта указываются цель, задачи, бюджет, сроки и ответственные лица. После размещения все сведения автоматически проходят проверку через государственные реестры. Система сверяет данные с ЕГРЮЛ и ЕГРИП (подтверждение статуса организации), с реестром лицензий и разрешений (наличие права на выполнение заявленных работ), с базами ФНС и Росфинмониторинга (отсутствие задолженностей и рисков нарушения законодательства).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Кроме того, система сопоставляет смету проекта с государственными и муниципальными программами, чтобы исключить дублирование бюджетных расходов. После успешной проверки проект получает уникальный идентификатор и статус «на утверждении». Муниципалитет или другой уполномоченный орган рассматривает его и подписывает цифровой подписью. Этот факт фиксируется в блокчейн-реестре, что делает невозможным задним числом заменить или подменить проектные данные.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 xml:space="preserve">Второй этап: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Сбор средств.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После утверждения проект становится доступен для граждан. Каждый пользователь может войти на платформу через портал Госуслуг (ЕСИА), подтвердив личность. Авторизация через государственную систему гарантирует, что платежи совершают реальные пользователи, а не анонимные лица.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Далее гражданин выбирает проект, указывает сумму и совершает перевод с банковской карты, электронного кошелька или счёта. Средства не поступают напрямую исполнителю, а зачисляются на специальный эскроу-счёт, открытый в банке-партнёре (например, Сбербанк, ВТБ или Газпромбанк). Эскроу-счёт — это счёт условного депонирования, где деньги хранятся до наступления определённых условий: достижения необходимой суммы или подтверждения выполнения работ.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Банк остаётся владельцем и хранителем средств, но управляет счётом через интеграцию с платформой по защищённому API-каналу. Сама платформа не является банком и не имеет доступа к деньгам: она выполняет роль технологического посредника, обеспечивающего прозрачность и учёт всех операций. Таким образом, банк отвечает за безопасность средств, а система — за контроль условий и информационную прозрачность.</w:t>
      </w:r>
    </w:p>
    <w:p>
      <w:pPr>
        <w:pStyle w:val="Normal"/>
        <w:spacing w:beforeAutospacing="0" w:before="240" w:afterAutospacing="0" w:after="240"/>
        <w:ind w:left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Принцип работы кратко поэтапно - общее описание системы работы: </w:t>
      </w:r>
    </w:p>
    <w:p>
      <w:pPr>
        <w:pStyle w:val="ListParagraph"/>
        <w:numPr>
          <w:ilvl w:val="0"/>
          <w:numId w:val="7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Внесение средств.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Пользователь выбирает проект, авторизуется через ЕСИА (Госуслуги) и делает перевод с карты, цифрового кошелька или банковского счёта.</w:t>
      </w:r>
      <w:r>
        <w:rPr/>
        <w:br/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 Деньги поступают не на счёт организации, а в эскроу-контейнер, связанный с конкретным проектом.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Запись транзакции в блокчейн.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Сразу после перевода система формирует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уникальную запись (транзакцию), в которой зашифрованы:</w:t>
      </w:r>
    </w:p>
    <w:p>
      <w:pPr>
        <w:pStyle w:val="ListParagraph"/>
        <w:numPr>
          <w:ilvl w:val="1"/>
          <w:numId w:val="7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сумма перевода,</w:t>
      </w:r>
    </w:p>
    <w:p>
      <w:pPr>
        <w:pStyle w:val="ListParagraph"/>
        <w:numPr>
          <w:ilvl w:val="1"/>
          <w:numId w:val="7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ID проекта,</w:t>
      </w:r>
    </w:p>
    <w:p>
      <w:pPr>
        <w:pStyle w:val="ListParagraph"/>
        <w:numPr>
          <w:ilvl w:val="1"/>
          <w:numId w:val="7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дата и время,</w:t>
      </w:r>
    </w:p>
    <w:p>
      <w:pPr>
        <w:pStyle w:val="ListParagraph"/>
        <w:numPr>
          <w:ilvl w:val="1"/>
          <w:numId w:val="7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ID пользователя (в обезличенном виде),</w:t>
      </w:r>
    </w:p>
    <w:p>
      <w:pPr>
        <w:pStyle w:val="ListParagraph"/>
        <w:numPr>
          <w:ilvl w:val="1"/>
          <w:numId w:val="7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назначение средств</w:t>
      </w:r>
    </w:p>
    <w:p>
      <w:pPr>
        <w:pStyle w:val="Normal"/>
        <w:spacing w:beforeAutospacing="0" w:before="240" w:afterAutospacing="0" w:after="240"/>
        <w:ind w:left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Эта запись попадает в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блокчейн-реестр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— распределённую базу данных, копии которой хранятся на серверах разных участников (например, у муниципалитета, НКО, Минфина). Благодаря этому никто не может изменить или удалить данные без согласия всех узлов сети.</w:t>
      </w:r>
    </w:p>
    <w:p>
      <w:pPr>
        <w:pStyle w:val="ListParagraph"/>
        <w:numPr>
          <w:ilvl w:val="0"/>
          <w:numId w:val="7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Проверка условий.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Смарт-контракт проверяет:</w:t>
      </w:r>
    </w:p>
    <w:p>
      <w:pPr>
        <w:pStyle w:val="ListParagraph"/>
        <w:numPr>
          <w:ilvl w:val="1"/>
          <w:numId w:val="7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достигнута ли целевая сумма;</w:t>
      </w:r>
    </w:p>
    <w:p>
      <w:pPr>
        <w:pStyle w:val="ListParagraph"/>
        <w:numPr>
          <w:ilvl w:val="1"/>
          <w:numId w:val="7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подтверждено ли выполнение этапа проекта;</w:t>
      </w:r>
    </w:p>
    <w:p>
      <w:pPr>
        <w:pStyle w:val="ListParagraph"/>
        <w:numPr>
          <w:ilvl w:val="1"/>
          <w:numId w:val="7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есть ли подтверждение от внешних источников (API муниципальных систем, фотоотчёты, геолокация и т. п.).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Если условия выполнены, контра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кт автоматически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разблокирует нужную сумму.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Перевод исполнителю.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После подтверждения первого этапа, смарт-контракт перечисляет средства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на расчётный счёт исполнителя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, указанного при создании проекта. Деньги поступают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частями (при необходимости), по мере выполнения работ. Это гарантирует, что проект будет завершён добросовестно.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Постоянный контроль.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Все транзакции видны в открытом реестре — любой гражданин может проверить, сколько собрано, сколько переведено и на каком этапе проект.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Данные нельзя подделать: если кто-то попытается изменить запись, система автоматически зафиксирует несоответствие между копиями блокчейна.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Безопасность и защита персональных данных.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Вся информация о пользователях и платежах шифруется. Персональные данные хранятся отдельно, а в блокчейне отображаются только хэши, исключающие раскрытие личности.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Для соответствия закону о защите персональных данных и требованиям KYC/AML, система использует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двухфакторную идентификацию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и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встроенные алгоритмы проверки источников средств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Normal"/>
        <w:spacing w:beforeAutospacing="0" w:before="240" w:afterAutospacing="0" w:after="240"/>
        <w:ind w:left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Третий этап: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 Голосование и выбор приоритетов.</w:t>
      </w:r>
      <w:r>
        <w:rPr/>
        <w:br/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 Если одновременно идёт несколько инициатив, пользователи голосуют, какой проект следует профинансировать в первую очередь.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Голоса фиксируются в блокчейн-реестре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, что делает результаты голосования неизменяемыми и достоверными. Каждый гражданин имеет один подтверждённый голос, поскольку система использует цифровую идентификацию ЕСИА.</w:t>
      </w:r>
    </w:p>
    <w:p>
      <w:pPr>
        <w:pStyle w:val="Normal"/>
        <w:spacing w:beforeAutospacing="0" w:before="240" w:afterAutospacing="0" w:after="240"/>
        <w:ind w:left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 xml:space="preserve">Четвертый этап: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Автоматическое распределение средств.</w:t>
      </w:r>
      <w:r>
        <w:rPr/>
        <w:br/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 Когда проект набирает необходимую сумму или побеждает в голосовании,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 xml:space="preserve">смарт-контракт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автоматически направляет деньги исполнителю. Переводы происходят поэтапно — только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после выполнения заранее прописанных условий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 (например, завершения первого этапа работ,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подтверждённого актами и фотоотчётами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). Это исключает человеческий фактор и риск злоупотреблений.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Каждая операция, связанная с проектом, фиксируется в распределённом реестре — блокчейне. Это не открытая криптовалютная сеть, а закрытая государственно-корпоративная инфраструктура, где узлы принадлежат проверенным участникам. В числе узлов выступают Минфин России (контроль законности и аудит), муниципалитет (инициатор), банк-партнёр (оператор эскроу-счетов), организация-исполнитель и сама платформа.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После внесения платежа формируется уникальная зашифрованная запись: сумма перевода, дата и время, идентификатор проекта, обезличенный ID пользователя и назначение средств. Все данные подписываются электронной подписью и распределяются по узлам сети. Только после подтверждения большинства узлов запись получает статус окончательной и не может быть изменена или удалена. Это исключает возможность подделки информации, несанкционированных корректировок сумм и двойных трат.</w:t>
      </w:r>
    </w:p>
    <w:p>
      <w:pPr>
        <w:pStyle w:val="Normal"/>
        <w:spacing w:beforeAutospacing="0" w:before="240" w:afterAutospacing="0" w:after="240"/>
        <w:ind w:left="0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 xml:space="preserve">Пятый этап: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Мониторинг выполнения.</w:t>
      </w:r>
      <w:r>
        <w:rPr/>
        <w:br/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 Исполнитель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регулярно загружает отчёты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, фотографии и документы, подтверждающие ход реализации. Система проверяет достоверность данных с помощью оракулов — внешних источников (например, геолокация, муниципальные базы, дата съёмки). Только после подтверждения выполнения система автоматически переводит следующую часть средств. Каждый этап отображается на платформе, что позволяет каждому человеку просматривать реализацию проекта в любой момент времени. </w:t>
      </w:r>
    </w:p>
    <w:p>
      <w:pPr>
        <w:pStyle w:val="Normal"/>
        <w:spacing w:beforeAutospacing="0" w:before="240" w:afterAutospacing="0" w:after="240"/>
        <w:ind w:left="0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Важный отдельный момент этого этапа: Публичная отчётность и визуализация.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Каждый участник может в реальном времени отслеживать состояние проекта: сколько собрано, сколько потрачено, на каком этапе работы, кто ответственный. Данные отображаются в виде интерактивных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дашбордов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и выгружаются в формате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Open Data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, что позволяет журналистам, независимым аудиторам и любому гражданину проверить движение средств.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Все участники и пользователи видят ход проекта в реальном времени: сколько средств собрано, сколько участников, на какой стадии реализация. Когда установленный порог финансирования достигнут и проект подтверждён исполнением условий, система направляет в банк автоматическую команду на разблокировку эскроу-счёта и перечисление средств исполнителю.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Если за указанный срок сумма не собрана, платформа автоматически возвращает деньги отправителям на их исходные счета. Любое действие — сбор, возврат, разблокировка, отчёт — фиксируется в блокчейне и может быть проверено всеми узлами.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После завершения проекта муниципалитет и контролирующие органы получают отчёт, в который включены все хэши транзакций и подтверждения узлов. Никто не может изменить или стереть данные без согласия всех участников сети, что полностью исключает риск фальсификаций.</w:t>
      </w:r>
    </w:p>
    <w:p>
      <w:pPr>
        <w:pStyle w:val="Normal"/>
        <w:spacing w:beforeAutospacing="0" w:before="240" w:afterAutospacing="0" w:after="240"/>
        <w:ind w:left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 xml:space="preserve">Шестой этап: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Аудит и обратная связь.</w:t>
      </w:r>
      <w:r>
        <w:rPr/>
        <w:br/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 По завершении проекта независимые аудиторы и граждане могут проверить отчёты, оставить отзыв и поставить оценку исполнителю. При выявлении нарушений смарт-контракт автоматически блокирует выплаты и инициирует возврат средств на исходные счета доноров.</w:t>
      </w:r>
    </w:p>
    <w:p>
      <w:pPr>
        <w:pStyle w:val="Normal"/>
        <w:spacing w:beforeAutospacing="0" w:before="240" w:afterAutospacing="0" w:after="240"/>
        <w:ind w:left="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lang w:val="ru-RU"/>
        </w:rPr>
        <w:t>Технологический стек:</w:t>
      </w:r>
    </w:p>
    <w:p>
      <w:pPr>
        <w:pStyle w:val="ListParagraph"/>
        <w:numPr>
          <w:ilvl w:val="0"/>
          <w:numId w:val="10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lang w:val="ru-RU"/>
        </w:rPr>
        <w:t>DLT / блокчейн: приватный/гибридный блокчейн (permissioned) для работы с госорганами (например, Hyperledger Fabric или Quorum) — чтобы соответствовать требованиям конфиденциальности и регуляции.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lang w:val="ru-RU"/>
        </w:rPr>
        <w:t>Смарт-контракты: логика распределения и эскроу.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lang w:val="ru-RU"/>
        </w:rPr>
        <w:t>Цифровая идентификация: интеграция с Госуслугами / Единой системой идентификации (ЕСИА) + двухфакторная аутентификация.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lang w:val="ru-RU"/>
        </w:rPr>
        <w:t>Интерфейс: веб-портал + мобильное приложение (голосование, отслеживание, уведомления).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lang w:val="ru-RU"/>
        </w:rPr>
        <w:t>Оракулы / API: подключение к муниципальным реестрам, платёжным шлюзам, сервисам верификации (чтобы подтверджать выполнение работ).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lang w:val="ru-RU"/>
        </w:rPr>
        <w:t>KYC/AML и защита данных: механизмы проверки источников средств, шифрование персональных данных, соблюдение законодательства о персональных данных.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lang w:val="ru-RU"/>
        </w:rPr>
        <w:t>Open Data и визуализация: дашборды, графы транзакций, выгрузки CSV/JSON.</w:t>
      </w:r>
    </w:p>
    <w:p>
      <w:pPr>
        <w:pStyle w:val="Normal"/>
        <w:spacing w:lineRule="auto" w:line="259" w:beforeAutospacing="0" w:before="0" w:afterAutospacing="0" w:after="160"/>
        <w:ind w:hanging="0" w:left="0" w:right="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7. Почему ваши идеи и предлагаемые способы решения должны сработать?</w:t>
      </w:r>
    </w:p>
    <w:p>
      <w:pPr>
        <w:pStyle w:val="Normal"/>
        <w:spacing w:lineRule="auto" w:line="259" w:beforeAutospacing="0" w:before="0" w:afterAutospacing="0" w:after="160"/>
        <w:ind w:hanging="0" w:left="0" w:right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Граждане получают прозрачность и контроль, государство — доверие и экономию на администрировании. Возможен запуск пилота в формате «бюджета участия» в регионах РФ. Закроет необходимые клиентские боли. Решит проблемы с прозрачностью и доверием.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val="ru-RU"/>
        </w:rPr>
        <w:t>2 карточка идей. Создание платежного моста между Россией и Китаем (интеграция “Мир” и UnionPay)</w:t>
      </w:r>
    </w:p>
    <w:p>
      <w:pPr>
        <w:pStyle w:val="Normal"/>
        <w:spacing w:lineRule="auto" w:line="259" w:beforeAutospacing="0" w:before="240" w:afterAutospacing="0" w:after="24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 xml:space="preserve">1.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 xml:space="preserve">В какой сфере вы хотите искать проблемы и решения и почему? </w:t>
      </w:r>
    </w:p>
    <w:p>
      <w:pPr>
        <w:pStyle w:val="Normal"/>
        <w:spacing w:lineRule="auto" w:line="259"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Сфера: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международные финансовые технологии и кросс-бордерные платежи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Я выбрала именно эту область, потому что с ростом торгово-экономических связей между Россией и Китаем проблема удобных и безопасных расчётов стала особенно острой.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Сегодня даже при огромном товарообороте между странами простая покупка китайских товаров или оплата услуг туристом сопряжены с трудностями: российские карты не принимаются в Китае, а китайские — в России.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Мне кажется важным создать систему, которая позволит гражданам обеих стран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свободно и безопасно оплачивать покупки и услуги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, не обращаясь к посредникам и не прибегая к сложным схемам с переводами и валютными ограничениями.</w:t>
      </w:r>
    </w:p>
    <w:p>
      <w:pPr>
        <w:pStyle w:val="Normal"/>
        <w:spacing w:lineRule="auto" w:line="259"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Главная цель — создать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единое цифровое пространство платежей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между Россией и Китаем, где оплата будет происходить напрямую, с минимальными комиссиями и без бюрократических барьеров.</w:t>
      </w:r>
    </w:p>
    <w:p>
      <w:pPr>
        <w:pStyle w:val="Normal"/>
        <w:spacing w:lineRule="auto" w:line="259" w:beforeAutospacing="0" w:before="240" w:afterAutospacing="0" w:after="24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2. О каких проблемах в выбранной вами сфере вам известно? Охарактеризуйте их кратко.</w:t>
      </w:r>
    </w:p>
    <w:p>
      <w:pPr>
        <w:pStyle w:val="Normal"/>
        <w:spacing w:lineRule="auto" w:line="259" w:beforeAutospacing="0" w:before="240" w:afterAutospacing="0" w:after="240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Основные проблемы, которые можно раскрыть в этой теме:</w:t>
      </w:r>
    </w:p>
    <w:p>
      <w:pPr>
        <w:pStyle w:val="ListParagraph"/>
        <w:numPr>
          <w:ilvl w:val="0"/>
          <w:numId w:val="10"/>
        </w:numPr>
        <w:spacing w:lineRule="auto" w:line="259" w:beforeAutospacing="0" w:before="24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Недоступность российских карт “Мир” в Китае.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Большинство китайских онлайн-площадок (Taobao, JD.com, 1688, Pinduoduo) не принимают карты “Мир”, из-за чего россияне вынуждены искать обходные пути оплаты.</w:t>
      </w:r>
    </w:p>
    <w:p>
      <w:pPr>
        <w:pStyle w:val="ListParagraph"/>
        <w:numPr>
          <w:ilvl w:val="0"/>
          <w:numId w:val="10"/>
        </w:numPr>
        <w:spacing w:lineRule="auto" w:line="259"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Отсутствие простого способа приёма платежей от китайских покупателей.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Российские компании и частные продавцы не могут напрямую получать оплату в юанях от клиентов из Китая.</w:t>
      </w:r>
    </w:p>
    <w:p>
      <w:pPr>
        <w:pStyle w:val="ListParagraph"/>
        <w:numPr>
          <w:ilvl w:val="0"/>
          <w:numId w:val="10"/>
        </w:numPr>
        <w:spacing w:lineRule="auto" w:line="259"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Неудобство для туристов.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Российские туристы в Китае не могут пользоваться своими картами, а китайские гости в России часто сталкиваются с невозможностью расплатиться UnionPay.</w:t>
      </w:r>
    </w:p>
    <w:p>
      <w:pPr>
        <w:pStyle w:val="ListParagraph"/>
        <w:numPr>
          <w:ilvl w:val="0"/>
          <w:numId w:val="10"/>
        </w:numPr>
        <w:spacing w:lineRule="auto" w:line="259"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Высокие комиссии и риск мошенничества при переводах.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Использование посредников и неофициальных платформ приводит к потерям денег и киберрискам.</w:t>
      </w:r>
    </w:p>
    <w:p>
      <w:pPr>
        <w:pStyle w:val="ListParagraph"/>
        <w:numPr>
          <w:ilvl w:val="0"/>
          <w:numId w:val="10"/>
        </w:numPr>
        <w:spacing w:lineRule="auto" w:line="259" w:beforeAutospacing="0" w:before="0" w:afterAutospacing="0" w:after="240"/>
        <w:contextualSpacing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Отсутствие интеграции на уровне национальных систем.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Несмотря на сотрудничество, платёжные системы “Мир” (Россия) и UnionPay (Китай) до сих пор не обеспечивают прямой взаимной маршрутизации транзакций.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 xml:space="preserve"> </w:t>
      </w:r>
    </w:p>
    <w:p>
      <w:pPr>
        <w:pStyle w:val="Normal"/>
        <w:spacing w:lineRule="auto" w:line="259" w:beforeAutospacing="0" w:before="240" w:afterAutospacing="0" w:after="24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 xml:space="preserve">3.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Как эти известные проблемы – КЛИЕНТСКИЕ БОЛИ - решаются?</w:t>
      </w:r>
    </w:p>
    <w:p>
      <w:pPr>
        <w:pStyle w:val="Normal"/>
        <w:spacing w:lineRule="auto" w:line="259" w:beforeAutospacing="0" w:before="240" w:afterAutospacing="0" w:after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Сейчас граждане и бизнес решают эти проблемы фрагментарно. Например, для покупок в Китае: россияне используют посреднические сайты, сервисы-агрегаторы, виртуальные иностранные карты, криптовалюты или P2P-переводы. Это неудобно, дорого и небезопасно. Для платежей в Китае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российские предприниматели открывают счета в китайских банках, но это сложно юридически, особенно без регистрации в КНР. Для пробывания в стране люди снимают деньги используют наличные.</w:t>
      </w:r>
    </w:p>
    <w:p>
      <w:pPr>
        <w:pStyle w:val="Normal"/>
        <w:spacing w:lineRule="auto" w:line="259" w:beforeAutospacing="0" w:before="240" w:afterAutospacing="0" w:after="24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 xml:space="preserve">4.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Из каких источников вы получили данные о проблемах и решениях в этой сфере?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Прежде всего я обратилась к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официальным данным Центрального банка России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и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Национальной системы платёжных карт (НСПК)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 В ежегодных отчётах ЦБ за 2023–2024 годы показано, что система «Мир» активно развивается внутри страны и уже действует в ряде дружественных государств, однако сотрудничество с Китаем остаётся ограниченным. Карты «Мир» не принимаются на китайских онлайн-площадках, а китайская система UnionPay не интегрирована в российскую эквайринговую инфраструктуру. В отчётах прямо говорится, что расширение международного взаимодействия в сфере платёжных систем является приоритетной задачей, но для этого необходимо заключение специальных межоператорских соглашений. Это подтверждает, что технологическая и правовая основа пока не выстроена, и именно здесь находится реальная точка роста.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Дополнительно я проанализировала официальную информацию, размещённую на сайте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UnionPay International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 В ежегодных сводках этой компании указано, что UnionPay работает более чем в 180 странах, однако Россия не входит в число территорий с полным двусторонним обменом платёжными сообщениями. То есть россияне могут пользоваться отдельными UnionPay-картами, выпущенными китайскими банками, но не могут оплачивать товары российскими картами «Мир» на китайских сайтах. Этот факт ещё раз подтверждает существование системного разрыва между двумя национальными платёжными экосистемами.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Важную роль в понимании контекста сыграли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новостные и аналитические материалы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, опубликованные в РБК, «Коммерсанте» и Reuters в 2023–2024 годах. В них подчёркивается, что товарооборот между Россией и Китаем превысил 240 млрд долларов и продолжает расти, но удобной финансовой инфраструктуры для потребительских и бизнес-платежей до сих пор нет. Журналисты и эксперты отмечают: даже при расширении расчётов в национальных валютах (рублях и юанях) на межгосударственном уровне, для обычных граждан ситуация остаётся прежней — покупки оплачиваются через посредников, а перевод денег сопровождается комиссиями и рисками.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В кросс-бордерных транзакций между странами БРИКС отмечается, что прямое соединение национальных платёжных систем — один из ключевых инструментов укрепления экономического суверенитета и снижения транзакционных издержек. Пример будущего «Мир–UnionPay» стратегически логичный шаг, который позволит обойти долларовую расчётную инфраструктуру и снизить зависимость от западных банковских систем.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Чтобы лучше понять реальную, практическую сторону проблемы, я изучила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опыт пользователей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— обсуждения в открытых Telegram-каналах («Китай без посредников», «Импорт из Китая», «AliExpress по-новому»). В них люди рассказывают, с какими трудностями сталкиваются при оплате заказов на китайских сайтах. Основные жалобы повторяются: невозможность оплатить товар напрямую картой, высокие комиссии посредников, длительное ожидание зачисления средств и риск потерять деньги при переводе. Предприниматели, занимающиеся закупками в Китае, отмечают, что вынуждены использовать нелегальные схемы — например, переводы через WeChat или криптовалюты, — потому что официальных инструментов просто нет. Эти обсуждения показывают не теоретическую, а живую боль: миллионы людей сталкиваются с одним и тем же ограничением.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Приоритетом для России становится развитие собственных международных платёжных решений, переход на расчёты в национальных валютах и создание устойчивой инфраструктуры вне зависимости от западных операторов. Это значит, что государство уже видит проблему и институционально готово к её решению.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Чтобы убедиться, что подобные проекты уже успешно работают в мире, я изучила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международный опыт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. Самый наглядный пример — интеграция платёжных систем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RuPay и PayNow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между Индией и Сингапуром, запущенная в 2023 году. Она позволила гражданам двух стран переводить деньги по номеру телефона или QR-коду, без валютных посредников, за несколько секунд. Другой пример — сотрудничество между Индией и Объединёнными Арабскими Эмиратами, где внедрены прямые расчёты в национальных валютах (рупии и дирхамах). Эти решения показали, что технологическая интеграция национальных платёжных систем возможна даже между разными финансовыми юрисдикциями и приводит к снижению комиссий на 30–40%.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Из всех этих источников можно сделать однозначный вывод: проблема отсутствия платёжного моста между Россией и Китаем носит не частный, а системный характер. Она подтверждается как государственными данными, так и опытом пользователей и бизнеса. И что важно — существуют успешные международные прецеденты, доказывающие жизнеспособность идеи. Это означает, что реализация платёжного шлюза «Мир–UnionPay» не только отвечает актуальным запросам граждан и компаний, но и полностью вписывается в стратегические направления развития национальных экономик обеих стран.</w:t>
      </w:r>
    </w:p>
    <w:p>
      <w:pPr>
        <w:pStyle w:val="Normal"/>
        <w:spacing w:lineRule="auto" w:line="259" w:beforeAutospacing="0" w:before="0" w:afterAutospacing="0" w:after="160"/>
        <w:ind w:hanging="0" w:left="0" w:right="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 xml:space="preserve">5.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Почему известные вам способы решения проблем не являются «идеальными»?</w:t>
      </w:r>
    </w:p>
    <w:p>
      <w:pPr>
        <w:pStyle w:val="Normal"/>
        <w:spacing w:lineRule="auto" w:line="259" w:beforeAutospacing="0" w:before="0" w:afterAutospacing="0" w:after="160"/>
        <w:ind w:hanging="0" w:left="0" w:right="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Все существующие варианты временные и не масштабируются. Посреднические платформы и виртуальные карты не дают гарантии безопасности, переводы занимают время и сопровождаются комиссиями до 10–15%.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Кроме того, ни одно решение не устраняет главную причину проблемы —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отсутствие прямой интеграции между национальными платёжными системами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Банковские переводы через SWIFT или криптоплатформы не подходят для массового использования и нарушают требования финансового контроля. Фактически, каждый пользователь решает вопрос «сам по себе», а не через общую, прозрачную инфраструктуру.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6. Вы придумали способы решения (ТАБЛЕТКА ОТ КЛИЕНТСКОЙ БОЛИ)? Отлично! Очень кратко охарактеризуйте их.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Необходимо создать “платёжный мост” между Россией и Китаем, который позволит проводить взаимные платежи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в национальных валютах (рубль–юань)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через прямую интеграцию платёжных систем “Мир” и UnionPay. Цель — сделать оплату китайских товаров и услуг российской картой такой же простой, как оплата в своём банке.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Примерный поэтапный принцип работы: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Первый этап. Интеграция систем.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НСПК (оператор “Мир”) и UnionPay International заключают соглашение о технологической интеграции. Создаётся единый шлюз для маршрутизации транзакций, который преобразует формат сообщений и обеспечивает взаимную авторизацию.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Второй этап. Технический шлюз и конвертация.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Платёж проходит через национальные процессинговые центры. Конвертация происходит по официальному курсу “рубль–юань” в режиме реального времени, без участия долларовых корреспондентов.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Третий этап. Кобейджинговые карты.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Выпуск совместных карт “Мир–UnionPay”. Они работают в обеих странах: в России — через “Мир”, в Китае — через UnionPay.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Четвёртый этап. Онлайн-оплата и QR.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Интеграция с мобильными приложениями банков (Сбербанк, ВТБ, Alipay, WeChat Pay).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Покупатель может оплатить через QR-код, а система автоматически направит транзакцию по нужному каналу.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Пятый этап. Клиринг и расчёты.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Создаётся совместный расчётный центр (на базе Центральных банков или уполномоченных банков), который ежедневно проводит клиринг и взаимные расчёты в рублях и юанях.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Шестой этап. Безопасность и надзор.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Каждая операция проходит AML/KYC-проверку.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Данные шифруются и передаются только внутри закрытого контура, контролируемого регуляторами обеих стран.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Глубокое подробное описание работы внутри системы я опишу в эссе.</w:t>
      </w:r>
    </w:p>
    <w:p>
      <w:pPr>
        <w:pStyle w:val="Normal"/>
        <w:spacing w:lineRule="auto" w:line="259" w:beforeAutospacing="0" w:before="0" w:afterAutospacing="0" w:after="160"/>
        <w:ind w:hanging="0" w:left="0" w:right="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 xml:space="preserve">7.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Почему ваши идеи и предлагаемые способы решения должны сработать?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Потому что они отвечают сразу трём ключевым интересам: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— можно безопасно покупать китайские товары без посредников и дополнительных комиссий;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— туристы смогут оплачивать гостиницы, транспорт и магазины своими картами, не нося наличные;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— прозрачные и мгновенные операции через привычные приложения.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— российские экспортёры смогут принимать оплату от китайских клиентов без сложных валютных процедур;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— малый бизнес получит доступ к трансграничной торговле.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— укрепление финансового суверенитета и снижение зависимости от западных систем Visa/MasterCard;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— развитие торговли в национальных валютах, соответствие политике дедолларизации;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— повышение прозрачности и безопасности международных расчётов.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Эта идея технологически осуществима, политически актуальна и экономически выгодна. Она объединяет интересы граждан, бизнеса и государства, формируя надёжный и современный финансовый мост между двумя крупнейшими партнёрами — Россией и Китаем.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 xml:space="preserve">3 карточка идей. </w:t>
      </w:r>
    </w:p>
    <w:p>
      <w:pPr>
        <w:pStyle w:val="Heading3"/>
        <w:spacing w:beforeAutospacing="0" w:before="281" w:afterAutospacing="0" w:after="281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1. В какой сфере вы хотите искать проблемы и решения и почему?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Я выбираю сферу монетизации цифрового контента в социальных сетях, включая микроплатежи, донаты, платные реакции и поддержку постов или стримов. Причина выбора заключается в том, что современная аудитория готова платить авторам за интересный или полезный контент, но существующие способы оплаты создают серьезные барьеры. Например, пользователь видит видео в Telegram и хочет мгновенно отблагодарить автора, но ему нужно выйти из приложения, открыть банк или сторонний сервис, ввести реквизиты и пройти подтверждение. Этот процесс убивает импульсное желание оплатить, снижает конверсию и мотивацию. Прямая интеграция платежей в соцсети через привязку карты решает эту проблему, позволяет авторам получать деньги мгновенно и снижает комиссии, одновременно создавая безопасный и удобный опыт для пользователя.</w:t>
      </w:r>
    </w:p>
    <w:p>
      <w:pPr>
        <w:pStyle w:val="Heading3"/>
        <w:spacing w:beforeAutospacing="0" w:before="281" w:afterAutospacing="0" w:after="281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2. О каких проблемах в выбранной вами сфере вам известно? Охарактеризуйте их кратко.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Основная проблема заключается в том, что текущие методы монетизации ограничены по скорости, удобству и финансовой выгоде. Пользователи теряют мотивацию оплачивать контент из-за необходимости переходить в другие приложения, что особенно критично для микроплатежей в 10–50 рублей. Авторы сталкиваются с высокими комиссиями сторонних платформ, которые могут съедать до трети дохода, и задержкой выплат в несколько дней. Кроме того, большинство решений не предоставляет авторам аналитики, позволяющей понять, какой контент приносит доход, и как именно аудитория взаимодействует с кнопкой поддержки. Это создает информационный вакуум и снижает эффективность стратегий монетизации. Безопасность тоже вызывает сомнения у пользователей, потому что они не знают, как обрабатываются их банковские данные в сторонних сервисах.</w:t>
      </w:r>
    </w:p>
    <w:p>
      <w:pPr>
        <w:pStyle w:val="Heading3"/>
        <w:spacing w:beforeAutospacing="0" w:before="281" w:afterAutospacing="0" w:after="281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3. Как эти известные проблемы – клиентские боли – решаются?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Сейчас используются комбинации встроенных платёжных инструментов и сторонних сервисов. Некоторые соцсети позволяют привязку карт через свои эквайринговые системы, но доступ к ним ограничен и часто требуют подтверждения через сторонние интерфейсы. Сторонние донат-платформы, такие как DonationAlerts или Boosty, позволяют отправлять деньги авторам, но требуют регистрации, привязки карты или кошелька, имеют высокие комиссии и задержки на вывод средств. Банковские переводы через СБП позволяют пользователю оплачивать быстро, но для этого нужно копировать реквизиты, переходить в банк, и нет прямой связи с контентом, что разрушает UX. Все эти методы работают частично, но не решают задачу «оплаты в два клика прямо в контенте», что делает их неудобными и маломасштабными для микроплатежей.</w:t>
      </w:r>
    </w:p>
    <w:p>
      <w:pPr>
        <w:pStyle w:val="Heading3"/>
        <w:spacing w:beforeAutospacing="0" w:before="281" w:afterAutospacing="0" w:after="281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4. Из каких источников вы получили данные о проблемах и решениях в этой сфере?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Источники включают опросы и интервью блогеров и стримеров с аудиторией 1–100 тысяч подписчиков, где они делятся опытом монетизации и ограничений текущих платформ. Метрики соцсетей показывают количество отказов при переходе на внешние платежные страницы, а также снижение конверсии при необходимости дополнительного подтверждения в банке. Также изучались отчеты эквайеров и платежных агрегаторов, где указаны комиссии, среднее время клиринга и процент chargeback. Дополнительно учитывались отзывы пользователей на форумах и в соцсетях, где они жалуются на неудобство существующих способов оплаты и отсутствие мгновенного подтверждения отправки средств автору.</w:t>
      </w:r>
    </w:p>
    <w:p>
      <w:pPr>
        <w:pStyle w:val="Heading3"/>
        <w:spacing w:beforeAutospacing="0" w:before="281" w:afterAutospacing="0" w:after="281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5. Почему известные вам способы решения проблем не являются «идеальными»?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Существующие решения не учитывают психологию пользователя и специфику микро-платежей. Например, переход в банковское приложение для перевода 20–50 рублей убивает импульс. Сторонние платформы берут высокие комиссии и не интегрированы с соцсетями, что увеличивает отказ и задержку выплат. Встроенные эквайринговые системы ограничены лимитами и правилами соцсетей, не всегда доступны малым авторам и требуют дополнительного подтверждения платежа. В итоге ни один из методов не обеспечивает одновременного сочетания скорости, удобства, минимальных комиссий, безопасности и аналитики по контенту. Эти ограничения делают текущие методы частично эффективными, но не масштабируемыми.</w:t>
      </w:r>
    </w:p>
    <w:p>
      <w:pPr>
        <w:pStyle w:val="Heading3"/>
        <w:spacing w:beforeAutospacing="0" w:before="281" w:afterAutospacing="0" w:after="281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6. Механизм работы системы «оплата картой внутри соцсети»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 xml:space="preserve">Идея в том, чтобы пользователь мог оплачивать контент или поддерживать автора </w:t>
      </w: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не выходя из соцсети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, а автор мгновенно получал деньги с минимальной комиссией. Система строится на токенизации карты, интеграции с эквайером и instant payout.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Шаг 1. Привязка карты пользователя (one-time onboarding)</w:t>
      </w:r>
      <w:r>
        <w:rPr/>
        <w:br/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 xml:space="preserve"> Пользователь один раз вводит данные карты или сканирует её в безопасном модальном окне соцсети. На этом этапе данные карты </w:t>
      </w: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не сохраняются на серверах соцсети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 xml:space="preserve">, а передаются напрямую платёжному шлюзу (PSP) через </w:t>
      </w: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PCI DSS-совместимое хранилище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.</w:t>
      </w:r>
    </w:p>
    <w:p>
      <w:pPr>
        <w:pStyle w:val="ListParagraph"/>
        <w:numPr>
          <w:ilvl w:val="0"/>
          <w:numId w:val="6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Эквайер проверяет карту: баланс, лимиты, возможность проведения микроплатежей.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 xml:space="preserve">Если банк требует SCA (Strong Customer Authentication), происходит проверка через нативную биометрию или PIN внутри приложения, чтобы пользователь </w:t>
      </w: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не покидал соцсеть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 xml:space="preserve">PSP возвращает </w:t>
      </w: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токен карты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 xml:space="preserve"> — уникальный идентификатор, который можно использовать для будущих списаний. Соцсеть хранит только токен и привязку к user_id.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Шаг 2. Инициирование платежа</w:t>
      </w:r>
      <w:r>
        <w:rPr/>
        <w:br/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 xml:space="preserve"> Когда пользователь нажимает кнопку «поддержать автора» или «купить контент», приложение генерирует объект платежа с уникальными идентификаторами: payment_id, content_id, author_id, сумма.</w:t>
      </w:r>
    </w:p>
    <w:p>
      <w:pPr>
        <w:pStyle w:val="ListParagraph"/>
        <w:numPr>
          <w:ilvl w:val="0"/>
          <w:numId w:val="5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Приложение вызывает API платёжного шлюза: charge(token, amount, metadata:{payment_id, content_id, user_id}).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Система проверяет, что токен действителен и авторизован.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Шаг 3. Подтверждение платежа (SCA)</w:t>
      </w:r>
      <w:r>
        <w:rPr/>
        <w:br/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 xml:space="preserve"> Если банк требует подтверждение, оно выполняется внутри соцсети через нативную биометрию, PIN или встроенный 3D Secure. Это исключает переходы на внешние страницы и сохраняет </w:t>
      </w: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UX на уровне одного клика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Шаг 4. Списание средств и логирование транзакции</w:t>
      </w:r>
      <w:r>
        <w:rPr/>
        <w:br/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 xml:space="preserve"> После успешного подтверждения PSP списывает средства с карты. Система соцсети записывает транзакцию в базу данных: платеж, токен айди, айди профиля, сумма, временные метки, статус.</w:t>
      </w:r>
    </w:p>
    <w:p>
      <w:pPr>
        <w:pStyle w:val="ListParagraph"/>
        <w:numPr>
          <w:ilvl w:val="0"/>
          <w:numId w:val="4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Это нужно для внутреннего баланса автора, аналитики и бухгалтерского учёта.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Все операции шифруются TLS, есть защита от двойного списания и фрод</w:t>
        <w:noBreakHyphen/>
        <w:t>контроль (velocity check, device fingerprinting, гео-ограничения).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Шаг 5. Мгновенное зачисление средств автору (instant payout)</w:t>
      </w:r>
      <w:r>
        <w:rPr/>
        <w:br/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 xml:space="preserve"> Внутренний баланс автора увеличивается моментально. Чтобы автор мог вывести деньги сразу, платформа использует механизм </w:t>
      </w: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instant payout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: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Платформа резервирует средства через партнёрский эквайринг или агрегатор ликвидности.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Автор получает деньги практически сразу, даже если клиринг в банке произойдёт позже (T+0..T+1).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Это создаёт психологический эффект мгновенного вознаграждения и стимулирует к повторным микроплатежам.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Шаг 6. Привязка платежа к контенту и аналитика</w:t>
      </w:r>
      <w:r>
        <w:rPr/>
        <w:br/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 xml:space="preserve"> Каждая транзакция связана с конкретным постом, видео или стримом. Это позволяет автору видеть: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Какие посты приносят доход.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Какие суммы выбирают пользователи.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Конверсию по каждой кнопке.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Платформа может использовать эту информацию для рекомендаций пользователю и таргетирования контента.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Шаг 7. Социальное подтверждение и мотивация пользователей</w:t>
      </w:r>
      <w:r>
        <w:rPr/>
        <w:br/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 xml:space="preserve"> Платформа отображает публичные благодарности, стикеры и короткие сообщения от доноров, что стимулирует других пользователей поддерживать автора. Это создаёт цепочку вовлечённости и повторных платежей.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Шаг 8. Безопасность и фрод-контроль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Карты токенизируются и хранятся только в PCI</w:t>
        <w:noBreakHyphen/>
        <w:t>vault.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Перед списанием транзакция проходит проверку по фрод-правилам: скорость кликов, device fingerprint, IP, лимиты.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Для микроплатежей можно установить упрощённый flow без SCA до определённой суммы, а для крупных платежей — обязательное подтверждение.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Chargeback обрабатывается через PSP, используя лог транзакции, IP и device fingerprint.</w:t>
      </w:r>
    </w:p>
    <w:p>
      <w:pPr>
        <w:pStyle w:val="Heading3"/>
        <w:spacing w:beforeAutospacing="0" w:before="281" w:afterAutospacing="0" w:after="281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4"/>
          <w:lang w:val="ru-RU"/>
        </w:rPr>
        <w:t>7. Почему ваши идеи и предлагаемые способы решения должны сработать?</w:t>
      </w:r>
    </w:p>
    <w:p>
      <w:pPr>
        <w:pStyle w:val="Normal"/>
        <w:spacing w:beforeAutospacing="0" w:before="240" w:afterAutospacing="0" w:after="240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  <w:t>Эта система работает, потому что устраняет главный барьер — скорость и удобство оплаты. Пользователь может отблагодарить автора в два клика, не покидая приложение, что сохраняет импульс и повышает конверсию. Токенизация карты обеспечивает безопасность и снижает риски утечки данных. Instant payout мотивирует авторов создавать контент, так как вознаграждение поступает мгновенно. Минимальные комиссии увеличивают доход автора, а привязка платежей к конкретному контенту даёт точную аналитику и возможность оптимизировать создание материалов. Социальное подтверждение и элементы геймификации стимулируют повторные донаты и формируют привычку аудитории поддерживать авторов. В совокупности эта модель повышает вовлечённость, доходы авторов и конверсию пользователей, создавая полностью закрытую, безопасную и удобную экосистему микроплатежей внутри соцсети.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150932e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50932e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150932ea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2025-10-11T17:33:04Z</dcterms:created>
  <dc:creator>Кристина Хрылёва</dc:creator>
  <dc:description/>
  <dc:language>en-US</dc:language>
  <cp:lastModifiedBy>Кристина Хрылёва</cp:lastModifiedBy>
  <dcterms:modified xsi:type="dcterms:W3CDTF">2025-10-31T17:56:53Z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