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  <w:shd w:fill="64d12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shd w:fill="64d12d" w:val="clear"/>
          <w:rtl w:val="0"/>
        </w:rPr>
        <w:t xml:space="preserve">Карточка идеи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64d12d" w:val="clear"/>
          <w:rtl w:val="0"/>
        </w:rPr>
        <w:t xml:space="preserve"> Платформа для токенизации IT-стартапов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Сфера: Инвестиции в технологические проекты (стартапы) через механизм токенизации.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Потому, что в последние 15 лет отрасль IT стартапов выросла почти в 6 раз. Однако интенсивный рост замедлился. Инвесторы сталкиваются с ограниченным выбором и барьерами для гибких вложений, стартапы имеют идеи, код и бизнес-планы, но испытывают нехватку финансирования и трудности выхода на рынок. (Источник: TAdviser, "Венчурные инвестиции в ИТ-сектор России",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https://www.tadviser.ru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кратко.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Большинство знает про Кремниевую долину. Но единицы знают про наш Иннополис, в котором множество перспективных и крутых как проектов, так и людей, но стартапы не могут пробиться и рассказать о себе, при этом в России почти миллион квалифицированных инвесторов, но в стартапы вкладывается меньше одного процента, из-за чего им сложно выходить на рынок и показывать себя.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ричины, побуждающие квалифицированного инвестора пойти за покупкой ИТ-стартапа: он может найти не прибыльный проект, а гениальную команду, с которой потом может создать прибыльный бизнес, может увидеть и прибыльный проект, за которым будущее, и третья причина, венчурные инвестиции это умение много раз сказать нет, прежде чем ответить да, и неважно что и кому отвечали до этого, каждая попытка - пустой новый путь, который потенциально может принести инвестору большую как прибыль, так и знакомства, потому что привязанность к проекту это престиж и статус, который позволяет развить новые связи.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Шесть-восемь тысяч инвесторов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стартапы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(Бизнес ангелы - 3 тыс. человек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Бизнес-ангелы и венчурное финансирование: как работают инвестиции в стартапы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венчурные инвесторы: 3000 - 5000 чел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 России запустили 10 венчурных фондов за два года |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Forbes.ru</w:t>
        </w:r>
      </w:hyperlink>
      <w:r w:rsidDel="00000000" w:rsidR="00000000" w:rsidRPr="00000000">
        <w:rPr>
          <w:rtl w:val="0"/>
        </w:rPr>
        <w:t xml:space="preserve">;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Венчурные инвестиции в России в 2024 году: объёмы, динамика, итоги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Почему? А потому что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это сложно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в этом нужно быть экспертом. Основных пути два: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— это самому стать венчурным фондом, бизнес-ангелом. Это сложно. Второй — инвестировать через ЦФА, тоже не идеально. 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Представьте, вы приходите на рынок за продуктами, а там лишь картофель, дайте три, говорите вы продавцу, а он сует мешок, в который мало того ещё и заглянуть нельзя. И именно так сейчас выглядит инвестирование через ЦФА. Продаются пакеты стартапов, и вы не можете выбрать интересные именно вам проекты. И если ты соглашаешься с этими условиями, то забрать свой мешок стартапов сможешь примерно через неделю, а то и больше. 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имею ввиду то, что если вы захотите купить активы одного определенного стартапа на платформе СБЕРЦФА, то вам будут предложены только проекты СБЕРа, которые при всем при этом, продаются охапкой с другими проектами, того же сбера и даже если очень захочется, купить определенный проект все еще квал инвестор не сможет. 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решения (краудфандинг, венчурные фонды, IPO) неидеальны: дают бэкерам лишь вознаграждение, но не права; требуют много времени; либо доступны лишь единицам крупных игроков.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Atomyze / Лайтхаус / Сбер (РФ):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надёжно и регуляторно чисто, 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доступ ограничен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(квалифицированные инвесторы, корпоративные клиенты). Ликвидность низкая, вторичный рынок слабый.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Tokeon (ПСБ):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уникален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реальный доступ для розницы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токенам вина/товаров. Формат «инвестор получает продукт или доход» близок к краудфандингу. Но рынок нишевый и узкий.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F">
      <w:pPr>
        <w:shd w:fill="ffffff" w:val="clear"/>
        <w:rPr>
          <w:rFonts w:ascii="Arial" w:cs="Arial" w:eastAsia="Arial" w:hAnsi="Arial"/>
          <w:color w:val="f3f4f5"/>
          <w:sz w:val="23"/>
          <w:szCs w:val="23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https://blogs.forbes.ru/2024/11/20/startapy-vnutri-gigantov-formula-uspeha-i-prichiny-neudach/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Arial" w:cs="Arial" w:eastAsia="Arial" w:hAnsi="Arial"/>
          <w:color w:val="f3f4f5"/>
          <w:sz w:val="23"/>
          <w:szCs w:val="23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https://www.kamaflow.com/ru/post/venture-capital-investments-in-russia-in-2024-volumes-dynamics-results/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Arial" w:cs="Arial" w:eastAsia="Arial" w:hAnsi="Arial"/>
          <w:sz w:val="23"/>
          <w:szCs w:val="23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3"/>
          <w:szCs w:val="23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https://www.tadviser.ru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квал инвестора есть проблемы на существующих решениях такие как: узость точек инвестирования, отсутствие самостоятельности в выборе, они либо не дают инвестору реальных прав и ликвидности, то есть не приносят ничего существенного, либо чрезмерно бюрократизированные и медленные, либо недоступны для среднего сегмента.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решаем эти проблемы, и создали для этого платформу Startoken. Наша цель за 3 года в 2 раза увеличить количество инвесторов, инвестирующих в стартапы, и помочь 3700+ проектов найти финансирование. Это поможет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развитию экономики страны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Совокупная выручка российских IT-стартапов выросла в 2024 году на 39%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позволило заработать немалые суммы с налогов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и повысит престиж российских технологий. Мы уже сделали первые шаги, чтобы путь к инвестициям в стартапы был проще и понятнее. Для регистрации стартапа, необходимо загрузите базовые документы и покажите, что сделано к этому времени (код, бизнес план, документацию о юр лице и тп). Все это проанализирует ML система. (Проведет проверку в формате: работает ли код, что происходит внутри, какие элементы за что отвечают и качественно ли этот код написан, быть может внедрены фичи, которые раньше нигде не были использованы и тп.).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упростит и ускорит аудит независимых экспертов (бизнес аналитиков из партнерских венчурных фондов (в которых есть специальные отделы, занимающиеся аналитикой проектов), которые специализируются на анализе юридической и финансовой составляющей проектов, и совместно с ML системой прогнозируют и составляют roadmap для дальнейшей деятельности проекта и выстраивании чек поинтов для инвесторов). После чего со стартапом будут согласованы условия эмиссии и составлен смарт-контракт. Но, если стартап не знает, как заполнять эти документы, одним нажатием на кнопку “Вызвать специалиста” к нему придут и помогут. Далее происходит эмиссия токенов и стартап попадает на витрину.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Главное, права владения токенов будут храниться внутри закрытого распределенного реестра, чтобы обеспечить скорость и безопасность. А что там с инвесторами? Для них на нашей платформе есть место, благодаря интеграции с ЕСИА и через API с брокерами (2 идея) для подтверждения статуса квалифицированного инвестора, путь, который раньше занимал неделю, теперь можно пройти за день, нажав на 2 кнопки. Этот процесс мы ускорили в 7 раз, и сделали условия для торговли комфортными. В том числе, за счет, удобно оформленного профиля, понятной работы с налогами и простого доступа к вторичному рынку.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начале я говорил о “Покупке картошки”. Так вот, инвесторы, в зависимости от пакета токенов, могут либо участвовать в принятии решений внутри проекта, при доле от 10%, либо, спокойно ждать своих дивидендов, влияя на развитие стартапа финансово. Торги на DEX: участники обмениваются ЦФА через смарт-контракты и встроенную ликвидность, что обеспечивает быстрый доступ к торговле и прозрачность операций.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Федеральный закон "О цифровых финансовых активах, цифровой валюте и о внесении изменений в отдельные законодательные акты Российской Федерации" от 31.07.2020 N 259-ФЗ (последняя редакция) \ КонсультантПлюс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Чек поинты: платформа продолжает мониторинг KPI;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 триггерах (срывы сроков, подозрительные операции)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быть приостановлена выплата/торговля или инициированы возвраты из эскроу счета проекта, который в свою очередь автоматически замораживается. Далее специальный отдел кризис менеджмента проектов разбирается, по какой причине произошел срыв триггера, если причина естественная (проект не пошел на обманные схемы) и не является обманом со стороны проекта, урегулируем этот вопрос с инвесторами, в формате изменений внутри дорожной карты и смарт контракте соответственно, уведомляя инвестора внутри его лк. При этом, стартапу предусмотрена система страйков, за подобные нарушения. При достижении 3 страйков он выплачивает штраф платформе, мы распределяем его между инвесторами.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срыв происходит по вине проекта, инвестор получает патент на код и возможность его использования/продажи в зависимости от доли и/или счета, имущество, которым владеет проект, а не его члены, все происходит пропорционально вкладу, если несколько инвесторов. Также, были замечены нарушения закона, мы отправляем запрос об этом в непосредственные органы, замораживая все действия проекта.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Смарт-контракт управляет эскроу: средства переводятся стартапу не единовременно, а поэтапно, по достижению ключевых точек (KPI), прописанных в Roadmap. Например, 30% — после запуска MVP, 40% — после привлечения первых 1000 пользователей и т.д. (базовая политика инвестиций у венчурных фондов) Это фиксирует сам стартап в специальной “условно” форме отчетности, которая будет появляться в лк инвестора и профиле стартапа.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Аудитор получает % от доли стартапа за качественный аудит проекта, чтобы инвестор мог получить максимально качественную информацию о проекте.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Выгоду всех процессов я бы хотел показать через краткое описание одного из моих любимых сериалов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Кремниевая долина (телесериал) — Википедия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Там стартаперы создали абсолютно не прибыльный продукт, редкостное, кхм… проще говоря. Все смеялись, когда они пытались показать демку проекта, но однажды, один программист решил изучить их механизмы не с точки зрения того, как они их продают, и в итоге понял, что они придумали гениальное решение по сжатию данных, которое может оцениваться миллиардами долларов, оценщица их, которая помогла и принять правильное решение и четко показать проект инвесторам, стала одним из управленцев миллиардного проекта впоследствии, человек, у которого они жили, также стал одним из директоров и миллионером. Этим я хочу сказать, что стартапы это не про конкретные проекты, а про людей, которые могут создать гениальное решение сами того не поняв. При этом, аудитор базово подписывает NDA о добросовестности своей работы с венчурным фондом, с которым мы сотрудничаем и который предоставляет нам команды для работы над проектом (есть подписанное письмо поддержки),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 значит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 нашим проектом, что показывает его честность.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номинального счёта, чтобы инвестор смог пополнить лк: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как ОИС открываем номинальный счёт в российской кредитной организации. Инвестор его пополняет, платформа,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интеграции видит это пополнение и отображает его в лк инвестора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Далее инвестор деньги из личного кабинета может обменивать на токены,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которые будут приносить ему прибыль, в формате зачисления средств на лк, при выводе, за счет API, средства моментально возвращаются на необходимый счет клиента. Или же обменивает все это на вторичном рынке, за что деньги вновь возвращаются в его лк, не выходя в сторонние источники, производя все процессы внутри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Rule="auto"/>
        <w:ind w:left="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Государство активно развивает регулирование ЦФА (ФЗ-259), рынок токенизации растет, а технологическое развитие страны объявлено приоритетом. Платформа закрывает "нишевый разрыв" между тяжеловесными гигантами и непрозрачным краудфандингом.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Карточка идеи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мгновенной кросс-платформенной верификации статуса квалифицированного инвестора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Сфера: Финансовая инфраструктура, а именно — процедура подтверждения статуса квалифицированного инвестора.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Почему: Существующий процесс — это бюрократический барьер, который тормозит инвестиционную активность, несмотря на увеличивающееся количество квал. инвесторов ежегодно.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проблема — необходимость заново проходить длительную (до 2 недель) и зачастую бумажную процедуру подтверждения статуса "квала" на каждой новой платформе, даже если инвестор уже имеет этот статус у другого лицензированного брокера.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способы не решают проблему по-настоящему, так как не обеспечивают мгновенного кросс-платформенного признания статуса.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данных и докладов ЦБ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 не устраняют задержку и неудобство, из-за чего инвестор теряет время и возможности.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децентрализованного реестра (или системы на основе API), позволяющего инвестору в один клик дать согласие на запрос и подтвердить свой статус, делегируя проверку данным из реестра ЦБ или от первоначального брокера.</w:t>
      </w:r>
    </w:p>
    <w:p w:rsidR="00000000" w:rsidDel="00000000" w:rsidP="00000000" w:rsidRDefault="00000000" w:rsidRPr="00000000" w14:paraId="0000003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устроено изобретение внутри (Уникальность устройства):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Архитектура на основе "ЕСИА-claim" и реестра ЦБ: Система технически не создает новый реестр, а выступает "умным" шлюзом к уже существующим официальным источникам. Через API ЕСИА и с использованием ЭЦП система формирует стандартизированный запрос к реестру квалифицированных инвесторов Банка России или (с согласия пользователя) к API брокеров-партнеров.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Смарт-контракт управления согласием: Инвестор один раз настраивает свои предпочтения в смарт-контракте: кому, на какой срок и для каких типов активов он разрешает запрашивать свой статус. Это обеспечивает безопасность и контроль над данными.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Протокол безопасного обмена данными: Данные передаются не напрямую, а в виде криптографически подтвержденных утверждений ("да, статус подтвержден на дату X"). Это минимизирует риски утечки персональной информации.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оно действует снаружи (Уникальность внешних взаимодействий):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Для инвестора: На новой платформе вместо заполнения заявки он видит кнопку "Подтвердить статус инвестора". Всплывает окно с запросом от нашего сервиса (интегрированного в платформу). Инвестор подтверждает запрос своей ЭЦП через ЕСИА — и через секунды его статус верифицирован.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Для инвестиционных платформ и брокеров: Они подключают к нашему API. При необходимости проверки инвестора они отправляют запрос в нашу систему и получают мгновенный, юридически значимый ответ, избавляясь от необходимости строить собственную сложную систему верификации.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Для регулятора (ЦБ РФ): Система повышает прозрачность — все запросы и подтверждения логируются в неизменяемом виде, предоставляя регулятору полный аудиторский след о том, как и кем подтверждался статус.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напрямую увеличивает привлекательность инвестиционного рынка, снижает трение и соответствует курсу регулятора на цифровизацию финансовых услуг (использование ЕСИА, реестров ЦБ).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green"/>
          <w:rtl w:val="0"/>
        </w:rPr>
        <w:t xml:space="preserve">Карточка идея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Токенизация кредитных портфелей.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 кредитования населения сейчас развивается, а заработок на этом у банков как был 20 лет назад, так и остался, процесс очень долгий, разрозненный, тк варианта два, либо ждать процентов от должников или продавать портфели, но через посредников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(СФО - специальное финансовое общество).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Нынешняя ситуация с секьюритизаций притягивает много посредников, поэтому процесс занимает больше времени и ресурсов, чем должен.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О каких проблемах в выбранной сфере вам известно. Охарактеризуйте их кратко.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проблема, это как я ранее и сказал наличие посредников в процессе увеличения ликвидности кредитным портфелям банков. Далее, стоит отметить, что в привычном нам, цифровом обществе, эти проблемы решаются по старому: 1)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Банк формирует пул кредитов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прогнозируемым денежным потоком. 2)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Пул кредитов передаётся на баланс СФО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СФО выпускает торгуемые облигации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выплаты по которым обеспечиваются платежами заёмщиков по кредитам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процесс имеет сильно больше необходимых шагов от точки входа, до выпуска и продажи облигаций. Еще немаловажно то, что у инвестора отсутствует полное понимание происходящих процессов — он не понимает, как оцениваются риски и качество заемщиков, как они рейтингуются и тп. </w:t>
        <w:br w:type="textWrapping"/>
        <w:tab/>
        <w:t xml:space="preserve">Также отсутствует единая цифровая система, которая могла бы регулировать проверку клиентов, сделок и обеспечивала бы полную безопасность всех сторон.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банки решают вопросы ликвидности через выпуск ипотечных и потребительских облигаций (МБС), через создание отдельных компаний для этого и/или привлечения (СФО) или формируют закрытые фонды, доступ к которым имеют только крупные инвесторы, которым частно предлагается поучаствовать в торгах активами. Отдельные компании создают специальные площадки, где продаются доли кредитных портфелей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Согласно статье 382 ГК РФ, кредитные организации могут переуступать права на истребование задолженностей специализированным юридическим компаниям с уведомлением заёмщика - Новикомбанк выкупил пул займов в сумме 1,3 млрд рублей. ФРП оставляет за собой контроль за реализацией 7 проектов, вошедших в пул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ФРП провел первую сделку по продаже пула кредитного портфеля Новикомбанку | Пресс-релизы на РБК+ Екатеринбург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Процесс секьюритизации занимает месяцы, требует рейтингов, посредников и крупных комиссий. Для инвестора порог входа слишком высок, а структура портфеля остается сложной и непонятной.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Федеральный закон "О цифровых финансовых активах, цифровой валюте и о внесении изменений в отдельные законодательные акты Российской Федерации" от 31.07.2020 N 259-ФЗ (последняя редакция) \ КонсультантПлюс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Секьюритизация: теория, международные практики и условия применения в России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 РАЗВИТИИ БАНКОВСКОГО СЕКТОРА РОССИЙСКОЙ ФЕДЕРАЦИИ В АВГУСТЕ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Механизмы не обеспечивают нужной скорости и гибкости, они действительно являются устарелыми. Выпуск МБС требует времени и высокой стоимости подготовки, некрупные инвесторы не имеют доступа, а автоматизация выплат и контроля рисков отсутствует. Отсутствует единая цифровая инфраструктура, где можно было бы безопасно, прозрачно и быстро совершать операции с кредитными активами. Все решения, зависят от конкретных банков и их конкретных шагов по формированию портфелей.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Вы придумали способы решения (ТАБЛЕТКА ОТ КЛИЕНТСКОЙ БОЛИ)? 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создаем платформу на распределенном реестре — Masterchain. где происходит токенизация кредитных портфелей банков, каждому присваивается свой уникальный код (токен), далее все это объединяется в единые ЦФА активы, сегментированные по направлениям (по видам кредитов). Далее ОИС выгружает это в формате ЦФА на первичное размещение, чтобы инвесторы смогли приобрести актив.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Смарт-контракты автоматически управляют выплатами процентов, контролируют дефолты и обеспечивают прозрачное распределение доходности для всех клиентов. Для соблюдения законодательства платформа интегрируется с государственными системами — ЕСИА и ГИС ЕФРСБ. Токен отражает долю в праве требования, но денежное обеспечение хранится на отдельном банковском счете, а доступ к нему фиксируется смарт-контрактом. Что обеспечивает безопасность и простоту происходящих процессов.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устроено изобретение внутри (уникальность устройства)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построена на архитектуре закрытого рр. Первый слой обеспечивает интеграцию с банковскими системами и загрузку данных о кредитах, которые предоставили банки, чтобы упростить работу своих процессов. Второй отвечает за верификацию участников (через ЕСИА), юридическую проверку и комплаенс. Третий слой реализует смарт-контракты, управляющие расчетами, выплатами и распределением доходов.</w:t>
        <w:br w:type="textWrapping"/>
        <w:tab/>
        <w:t xml:space="preserve">За всем этим наблюдает алгоритм, который в формате 24/7 контролирует движение всех процессов и дает эту статистику как платформе, так и пользователю. Каждый токен формируется на основе данных о кредите — его идентификатора, рейтинга риска, ставки и срока погашения. 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оно действует снаружи (уникальность внешних взаимодействий)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банка: Он загружает свой кредитный портфель в систему, после чего она автоматически токенизирует активы и позволяет реализовать их частично или полностью инвесторам, что позволяет снять с него нагрузку и обеспечить ликвидность. </w:t>
        <w:br w:type="textWrapping"/>
        <w:tab/>
        <w:t xml:space="preserve">Инвесторы получают цифровой инструмент с прозрачными параметрами риска и доходности, могут держать токены до погашения или продать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их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DEX биже внутри платформы, также в любой момент могут следить за их динамикой, рейтингом и любыми движениями. 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Регулятор получает полный доступ к информации о движении токенов и выплатах через 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Сейчас,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8"/>
          <w:szCs w:val="28"/>
          <w:highlight w:val="white"/>
          <w:rtl w:val="0"/>
        </w:rPr>
        <w:t xml:space="preserve">регулятор утвердил порядок расчёта величины кредитного риска по сделкам секьюритизации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. Документ, Положение Банка России от 18.09.2023 №824-П, устанавливает, что расчёт осуществляется на ежемесячной основе и используется для определения нормативов достаточности капитала банка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Секьюритизация: теория, международные практики и условия применения в России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Утвержден порядок расчета величины кредитного риска по сделкам секьюритизации \ КонсультантПлюс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  <w:tab/>
        <w:t xml:space="preserve">Кроме того, система интегрируется с внешними площадками цифровых финансовых активов, что позволяет организовать вторичный оборот токенов и создать живой, ликвидный рынок. Решение призвано создать прозрачность для всех имеющихся слоев.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Почему мои идеи и предлагаемые способы решения должны сработать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России уже существует правовая база для цифровых финансовых активов (закон №259-ФЗ), которая позволяет легально реализовать подобные проекты.</w:t>
        <w:br w:type="textWrapping"/>
        <w:tab/>
        <w:t xml:space="preserve">Это решение отвечает интересам всех сторон. Банки получают новый способ управления ликвидностью без классического, долгого процесса эмиссии облигаций, инвесторы — стабильный инструмент с прогнозируемой доходностью, а регулятор — прозрачный контроль за движением средств.</w:t>
        <w:br w:type="textWrapping"/>
        <w:t xml:space="preserve">Кроме того, автоматизация процессов снижает затраты на сопровождение портфелей и повышает скорость оборота капитала.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br.ru/Content/Document/File/180230/analytic_note_20250801_sgu.pdf" TargetMode="External"/><Relationship Id="rId11" Type="http://schemas.openxmlformats.org/officeDocument/2006/relationships/hyperlink" Target="https://blogs.forbes.ru/2024/11/20/startapy-vnutri-gigantov-formula-uspeha-i-prichiny-neudach/" TargetMode="External"/><Relationship Id="rId22" Type="http://schemas.openxmlformats.org/officeDocument/2006/relationships/hyperlink" Target="https://cbr.ru/Content/Document/File/180230/analytic_note_20250801_sgu.pdf" TargetMode="External"/><Relationship Id="rId10" Type="http://schemas.openxmlformats.org/officeDocument/2006/relationships/hyperlink" Target="https://www.kamaflow.com/ru/post/venture-capital-investments-in-russia-in-2024-volumes-dynamics-results/" TargetMode="External"/><Relationship Id="rId21" Type="http://schemas.openxmlformats.org/officeDocument/2006/relationships/hyperlink" Target="https://www.cbr.ru/Collection/Collection/File/58301/razv_bs_25_08.pdf" TargetMode="External"/><Relationship Id="rId13" Type="http://schemas.openxmlformats.org/officeDocument/2006/relationships/hyperlink" Target="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" TargetMode="External"/><Relationship Id="rId12" Type="http://schemas.openxmlformats.org/officeDocument/2006/relationships/hyperlink" Target="https://www.kamaflow.com/ru/post/venture-capital-investments-in-russia-in-2024-volumes-dynamics-results/" TargetMode="External"/><Relationship Id="rId23" Type="http://schemas.openxmlformats.org/officeDocument/2006/relationships/hyperlink" Target="https://www.consultant.ru/law/hotdocs/83981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orbes.ru" TargetMode="External"/><Relationship Id="rId15" Type="http://schemas.openxmlformats.org/officeDocument/2006/relationships/hyperlink" Target="https://www.interfax.ru/business/1048257" TargetMode="External"/><Relationship Id="rId14" Type="http://schemas.openxmlformats.org/officeDocument/2006/relationships/hyperlink" Target="https://www.tadviser.ru/" TargetMode="External"/><Relationship Id="rId17" Type="http://schemas.openxmlformats.org/officeDocument/2006/relationships/hyperlink" Target="https://ru.wikipedia.org/wiki/%D0%9A%D1%80%D0%B5%D0%BC%D0%BD%D0%B8%D0%B5%D0%B2%D0%B0%D1%8F_%D0%B4%D0%BE%D0%BB%D0%B8%D0%BD%D0%B0_(%D1%82%D0%B5%D0%BB%D0%B5%D1%81%D0%B5%D1%80%D0%B8%D0%B0%D0%BB)" TargetMode="External"/><Relationship Id="rId16" Type="http://schemas.openxmlformats.org/officeDocument/2006/relationships/hyperlink" Target="https://www.consultant.ru/document/cons_doc_LAW_358753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nsultant.ru/document/cons_doc_LAW_358753/" TargetMode="External"/><Relationship Id="rId6" Type="http://schemas.openxmlformats.org/officeDocument/2006/relationships/hyperlink" Target="https://www.tadviser.ru/" TargetMode="External"/><Relationship Id="rId18" Type="http://schemas.openxmlformats.org/officeDocument/2006/relationships/hyperlink" Target="https://ekb.plus.rbc.ru/pressrelease/647ee45f7a8aa92223619639" TargetMode="External"/><Relationship Id="rId7" Type="http://schemas.openxmlformats.org/officeDocument/2006/relationships/hyperlink" Target="https://mbschool.ru/faq/articles/biznes-angely-i-venchurnoe-finansirovanie/" TargetMode="External"/><Relationship Id="rId8" Type="http://schemas.openxmlformats.org/officeDocument/2006/relationships/hyperlink" Target="https://www.forbes.ru/svoi-biznes/501068-v-rossii-zapustili-10-vencurnyh-fondov-za-dva-go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