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Карточка идеи 1: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Платформа для токенизации IT-стартапов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 какой сфере вы хотите искать проблемы и решения и почему?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Сфера: Инвестиции в технологические проекты (стартапы) через механизм токенизации.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Почему: Это новая, быстрорастущая ниша (рынок ЦФА в России вырос до 250+ выпусков к концу 2023 г.), которая решает фундаментальные проблемы традиционного венчура и краудфандинга, но еще не имеет удобных и быстрых решений для среднего сегмента (20-300 млн ₽).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 каких проблемах в выбранной вами сфере вам известно? Охарактеризуйте их кратко.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Для инвесторов: Низкая ликвидность вложений, высокий порог входа, сложность выхода из проекта, асимметрия информации, завышенные оценки, юридические риски слабых соглашений.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Для стартапов: Долгий и сложный процесс привлечения инвестиций, регуляторные барьеры (оформление ЦФА), трудности выхода на нужных инвесторов.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Для рынка: В России ~1 млн квалифицированных инвесторов, но в стартапы вкладываются менее 1%. При этом технологический сектор — драйвер экономики, испытывающий "голод" по финансированию.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Как эти известные проблемы – КЛИЕНТСКИЕ БОЛИ - решаются?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Существующие решения (краудфандинг, венчурные фонды, IPO) неидеальны: дают бэкерам лишь вознаграждение, но не права; требуют много времени; либо доступны лишь единицам крупных игроков.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Atomyze / Лайтхаус / Сбер (РФ):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надёжно и регуляторно чисто, но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доступ ограничен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(квалифицированные инвесторы, корпоративные клиенты). Ликвидность низкая, вторичный рынок слабый.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Tokeon (ПСБ):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уникален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реальный доступ для розницы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 токенам вина/товаров. Формат «инвестор получает продукт или доход» близок к краудфандингу. Но рынок нишевый и узкий.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Из каких источников вы получили данные о проблемах и решениях в этой сфере?</w:t>
      </w:r>
    </w:p>
    <w:p w:rsidR="00000000" w:rsidDel="00000000" w:rsidP="00000000" w:rsidRDefault="00000000" w:rsidRPr="00000000" w14:paraId="00000012">
      <w:pPr>
        <w:shd w:fill="ffffff" w:val="clear"/>
        <w:rPr>
          <w:rFonts w:ascii="Arial" w:cs="Arial" w:eastAsia="Arial" w:hAnsi="Arial"/>
          <w:b w:val="1"/>
          <w:color w:val="f3f4f5"/>
          <w:sz w:val="23"/>
          <w:szCs w:val="23"/>
        </w:rPr>
      </w:pPr>
      <w:hyperlink r:id="rId6">
        <w:r w:rsidDel="00000000" w:rsidR="00000000" w:rsidRPr="00000000">
          <w:rPr>
            <w:rFonts w:ascii="Arial" w:cs="Arial" w:eastAsia="Arial" w:hAnsi="Arial"/>
            <w:b w:val="1"/>
            <w:color w:val="1155cc"/>
            <w:sz w:val="23"/>
            <w:szCs w:val="23"/>
            <w:u w:val="single"/>
            <w:rtl w:val="0"/>
          </w:rPr>
          <w:t xml:space="preserve">https://blogs.forbes.ru/2024/11/20/startapy-vnutri-gigantov-formula-uspeha-i-prichiny-neudach/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rPr>
          <w:rFonts w:ascii="Arial" w:cs="Arial" w:eastAsia="Arial" w:hAnsi="Arial"/>
          <w:b w:val="1"/>
          <w:color w:val="f3f4f5"/>
          <w:sz w:val="23"/>
          <w:szCs w:val="23"/>
        </w:rPr>
      </w:pPr>
      <w:hyperlink r:id="rId7">
        <w:r w:rsidDel="00000000" w:rsidR="00000000" w:rsidRPr="00000000">
          <w:rPr>
            <w:rFonts w:ascii="Arial" w:cs="Arial" w:eastAsia="Arial" w:hAnsi="Arial"/>
            <w:b w:val="1"/>
            <w:color w:val="1155cc"/>
            <w:sz w:val="23"/>
            <w:szCs w:val="23"/>
            <w:u w:val="single"/>
            <w:rtl w:val="0"/>
          </w:rPr>
          <w:t xml:space="preserve">https://www.kamaflow.com/ru/post/venture-capital-investments-in-russia-in-2024-volumes-dynamics-results/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rPr>
          <w:rFonts w:ascii="Arial" w:cs="Arial" w:eastAsia="Arial" w:hAnsi="Arial"/>
          <w:b w:val="1"/>
          <w:sz w:val="23"/>
          <w:szCs w:val="23"/>
        </w:rPr>
      </w:pPr>
      <w:hyperlink r:id="rId8">
        <w:r w:rsidDel="00000000" w:rsidR="00000000" w:rsidRPr="00000000">
          <w:rPr>
            <w:rFonts w:ascii="Arial" w:cs="Arial" w:eastAsia="Arial" w:hAnsi="Arial"/>
            <w:b w:val="1"/>
            <w:color w:val="1155cc"/>
            <w:sz w:val="23"/>
            <w:szCs w:val="23"/>
            <w:u w:val="single"/>
            <w:rtl w:val="0"/>
          </w:rPr>
          <w:t xml:space="preserve">https://www.tadviser.ru/index.php/%D0%A1%D1%82%D0%B0%D1%82%D1%8C%D1%8F:%D0%92%D0%B5%D0%BD%D1%87%D1%83%D1%80%D0%BD%D1%8B%D0%B5_%D0%B8%D0%BD%D0%B2%D0%B5%D1%81%D1%82%D0%B8%D1%86%D0%B8%D0%B8_%D0%B2_%D0%98%D0%A2-%D1%81%D0%B5%D0%BA%D1%82%D0%BE%D1%80_%D0%A0%D0%BE%D1%81%D1%81%D0%B8%D0%B8#.D0.92.D0.B5.D0.BD.D1.87.D1.83.D1.80.D0.BD.D0.BE.D0.B5_.D0.B8.D0.BD.D0.B2.D0.B5.D1.81.D1.82.D0.B8.D1.80.D0.BE.D0.B2.D0.B0.D0.BD.D0.B8.D0.B5_.D0.B2_.D0.98.D0.A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Почему известные вам способы решения проблем не являются «идеальными»?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Они либо не дают инвестору реальных прав и ликвидности (краудфандинг), либо чрезмерно забюрократизированы и медленны (традиционные ЦФА от гигантов вроде Сбера или НРД), либо недоступны для среднего сегмента, либо стартапы продаются пакетами, не давая инвестору выбрать интересный ему проект самостоятельно. </w:t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 придумали способы решения (ТАБЛЕТКА ОТ КЛИЕНТСКОЙ БОЛИ)?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Создание цифровой платформы для быстрой и безопасной токенизации IT-стартапов, где прошедшие аудит проекты могут выпускать ЦФА, а инвесторы — легко покупать и продавать их, получая реальные права и ликвидность.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 Для инвестора: Это "единое окно". Через один кабинет он проходит упрощенную верификацию (благодаря интеграциям), получает доступ к каталогу проверенных стартапов с машинными отчетами ("зеленый/желтый/красный"), инвестирует в несколько кликов, а затем может торговать токенами на вторичном рынке (встроенный DEX) и участвовать в управлении через DAO. Его права технически гарантированы смарт-контрактом.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Механика вторичного рынка и защиты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Торги на DEX: участники обмениваются ЦФА через смарт-контракты и встроенную ликвидность, что обеспечивает быстрый доступ к торговле и прозрачность операций. (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https://www.consultant.ru/document/cons_doc_LAW_358753/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Защита и мониторинг: платформа продолжает мониторинг KPI; при триггерах (срывы сроков, подозрительные операции) может быть приостановлена торговля или инициированы возвраты из эскроу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 Для стартапа: Это "конструктор выпуска". После загрузки документов и Whitepaper он проходит полуавтоматизированный аудит, получает промежуточный отчет с правками и в итоге выпускает токен с юридически и технически выверенными условиями. Процесс занимает часы/дни, а не месяцы.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Ключевая механика: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Онбординг и заявка стартапа: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Команда регистрируется на платформе, подтверждая статус юрлица в РФ.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Загружает пакет документов: код, презентация, финансовая модель, Whitepaper, Roadmap, учредительные документы, описание токеномики (эмиссия, вестинг, локап).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Многоуровневый аудит и скоринг (Автоматика + Эксперты):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Автопроверка: ИИ-система анализирует загруженные данные по 6 трекам: код, токеномика, финансы, раскрытие информации, команда/юридические риски, регуляторные ограничения. Результат — машинный отчёт («зелёный/жёлтый/красный»).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Экспертный аудит: Независимые аудиторы проверяют выводы ИИ, оценивают бизнес-модель, реалистичность Roadmap и формулируют правки. (Аудитором выступает приглашенный эксперт из независимого венчурного фонда, который в качестве оплаты своих услуг получает определенный % стартапа, который оценивает, его задача сделать оценку реальной, чтобы в проект произошли инвестиции и он смог продать свою долю)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Юридическая проверка: Система сверяет параметры выпуска с законодательством (ФЗ-259): лимиты для инвесторов, география, формулировки оферты.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Итог: Выносится решение — «Допуск», «Допуск с условиями» или «Отказ».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Выпуск токенов (Смарт-контракт):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Утверждённые параметры выпуска автоматически «вшиваются» в смарт-контракт.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Привлечение инвестиций (Эскроу-механизм):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Инвесторы через личный кабинет проходят KYC/AML (через ЕСИА) и получают доступ к листингу (первичному размещению) стартапов.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Средства инвесторов привлекаются на эскроу-счета, открытые у банков-партнеров платформы.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Смарт-контракт управляет эскроу: средства переводятся стартапу не единовременно, а поэтапно, по достижению ключевых точек (KPI), прописанных в Roadmap. Например, 30% — после запуска MVP, 40% — после привлечения первых 1000 пользователей и т.д. (базовая политика инвестиций у венчурных фондов)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Вторичный рынок и управление (Ликвидность и DAO):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Выпущенные токены поступают на встроенную в платформу децентрализованную биржу, где инвесторы могут торговать ими друг с другом.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Владельцы токенов получают права, закреплённые в смарт-контракте: на долю в прибыли/активах проекта и/или на участие в принятии решений Пост-мониторинг и защита: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Платформа продолжает мониторить выполнение KPI стартапом.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 срабатывании триггера (срыв сроков, подозрительные операции) смарт-контракт может автоматически приостановить торги или инициировать возврат средств из оставшейся эскроу-суммы. Счета эскроу будут заморожены</w:t>
      </w:r>
    </w:p>
    <w:p w:rsidR="00000000" w:rsidDel="00000000" w:rsidP="00000000" w:rsidRDefault="00000000" w:rsidRPr="00000000" w14:paraId="00000032">
      <w:pPr>
        <w:spacing w:after="120" w:before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Открытие номинального счёта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18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Оператор обмена цифровых финансовых активов вправе открыть номинальный счёт в российской кредитной организации. Номинальный счёт имеет бенефициарами: лицо, выпускающее ЦФА, обладатель ЦФА, лицо, намеренное приобрести ЦФА, номинальный держатель ЦФА. Кредитный рейтинг банка должен соответствовать требованиям Банка России.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Это соответствует норме Статьи 10.1 ФЗ-331, введенной 14.07.2022, с последующими изменениями (регулируется 221-ФЗ от 2024).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Потоки средств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18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Инвесторы проходят KYC/AML и попадают на номинальные-счета, открытые у банков-партнёров.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Денежные средства для выпуска ЦФА и для сделок по ЦФА собираются на эскроу и распределяются поэтапно по достижении KPI.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Номинальный счёт позволяет обрабатывать расчёты по выпуску ЦФА и по сделкам с ними: денежные требования, права по эмиссионным ценным бумагам и погашения.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Операционная фиксация и документооборот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18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Оператор открывает счета, проводит идентификацию, хранит записи, фиксирует переход прав и организует выплаты.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Платформа раскрывает документы по сделкам и обеспечивает необходимую отчетность в соответствие с требованиями регуляторов.</w:t>
      </w:r>
    </w:p>
    <w:p w:rsidR="00000000" w:rsidDel="00000000" w:rsidP="00000000" w:rsidRDefault="00000000" w:rsidRPr="00000000" w14:paraId="0000003D">
      <w:pPr>
        <w:spacing w:after="120" w:before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Контекст и соблюдение закона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Статья 10.1. Номинальный счет оператора обмена цифровых финансовых активов и расчеты по сделкам, совершенным с использованием электронной платформы: позволяет открыть номинальный счет в кредитной организации для расчетов, связанных с выпуском и обращением ЦФА, с учётом требований Банка России. Это обеспечивает прозрачность, безопасность расчетов и соответствие нормативам.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Почему ваши идеи и предлагаемые способы решения должны сработать?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Государство активно развивает регулирование ЦФА (ФЗ-259), рынок токенизации растет, а технологическое развитие страны объявлено приоритетом. Платформа закрывает "нишевый разрыв" между тяжеловесными гигантами и непрозрачным краудфандингом.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Карточка идеи 2: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Система мгновенной кросс-платформенной верификации статуса квалифицированного инвестора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 какой сфере вы хотите искать проблемы и решения и почему?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Сфера: Финансовая инфраструктура, а именно — процедура подтверждения статуса квалифицированного инвестора.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Почему: Существующий процесс — это бюрократический барьер, который тормозит инвестиционную активность, несмотря на увеличивающееся количество квал. инвесторов ежегодно.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 каких проблемах в выбранной вами сфере вам известно? Охарактеризуйте их кратко.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Главная проблема — необходимость заново проходить длительную (до 2 недель) и зачастую бумажную процедуру подтверждения статуса "квала" на каждой новой платформе, даже если инвестор уже имеет этот статус у другого лицензированного брокера.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Как эти известные проблемы – КЛИЕНТСКИЕ БОЛИ - решаются?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Существующие способы не решают проблему по-настоящему, так как не обеспечивают мгновенного кросс-платформенного признания статуса.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Из каких источников вы получили данные о проблемах и решениях в этой сфере?</w:t>
      </w:r>
    </w:p>
    <w:p w:rsidR="00000000" w:rsidDel="00000000" w:rsidP="00000000" w:rsidRDefault="00000000" w:rsidRPr="00000000" w14:paraId="00000050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Анализ данных и докладов ЦБ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Почему известные вам способы решения проблем не являются «идеальными»?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Они не устраняют задержку и неудобство, из-за чего инвестор теряет время и возможности.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 придумали способы решения (ТАБЛЕТКА ОТ КЛИЕНТСКОЙ БОЛИ)? 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децентрализованного реестра (или системы на основе API), позволяющего инвестору в один клик дать согласие на запрос и подтвердить свой статус, делегируя проверку данным из реестра ЦБ или от первоначального брокера.</w:t>
      </w:r>
    </w:p>
    <w:p w:rsidR="00000000" w:rsidDel="00000000" w:rsidP="00000000" w:rsidRDefault="00000000" w:rsidRPr="00000000" w14:paraId="00000055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устроено изобретение внутри (Уникальность устройства):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 Архитектура на основе "ЕСИА-claim" и реестра ЦБ: Система технически не создает новый реестр, а выступает "умным" шлюзом к уже существующим официальным источникам. Через API ЕСИА и с использованием ЭЦП система формирует стандартизированный запрос к реестру квалифицированных инвесторов Банка России или (с согласия пользователя) к API брокеров-партнеров.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 Смарт-контракт управления согласием: Инвестор один раз настраивает свои предпочтения в смарт-контракте: кому, на какой срок и для каких типов активов он разрешает запрашивать свой статус. Это обеспечивает безопасность и контроль над данными.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 Протокол безопасного обмена данными: Данные передаются не напрямую, а в виде криптографически подтвержденных утверждений ("да, статус подтвержден на дату X"). Это минимизирует риски утечки персональной информации.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оно действует снаружи (Уникальность внешних взаимодействий):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 Для инвестора: На новой платформе вместо заполнения заявки он видит кнопку "Подтвердить статус инвестора". Всплывает окно с запросом от нашего сервиса (интегрированного в платформу). Инвестор подтверждает запрос своей ЭЦП через ЕСИА — и через секунды его статус верифицирован.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 Для инвестиционных платформ и брокеров: Они подключают к нашему API. При необходимости проверки инвестора они отправляют запрос в нашу систему и получают мгновенный, юридически значимый ответ, избавляясь от необходимости строить собственную сложную систему верификации.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 Для регулятора (ЦБ РФ): Система повышает прозрачность — все запросы и подтверждения логируются в неизменяемом виде, предоставляя регулятору полный аудиторский след о том, как и кем подтверждался статус.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Почему ваши идеи и предлагаемые способы решения должны сработать?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напрямую увеличивает привлекательность инвестиционного рынка, снижает трение и соответствует курсу регулятора на цифровизацию финансовых услуг (использование ЕСИА, реестров ЦБ).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Карточка идея 3: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Токенизация кредитных портфелей. 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 какой сфере вы хотите искать проблемы и решения и почему?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Сфера банковских и финансовых технологий, в частности направление, связанное с кредитными портфелями. Эта область кажется мне особенно важной и перспективной, потому что именно в ней сосредоточено множество неэффективных процессов. Банки в России активно работают с кредитными портфелями, используют их для привлечения ликвидности, но сам процесс остается сложным, затратным и недоступным для широкой аудитории инвесторов. При этом технологии токенизации позволяют сделать этот рынок прозрачнее, гибче и демократичнее, открыв доступ новым категориям участников.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О каких проблемах в выбранной сфере вам известно. Охарактеризуйте их кратко.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трудности можно описать довольно четко.</w:t>
        <w:br w:type="textWrapping"/>
        <w:t xml:space="preserve"> Во-первых, низкая ликвидность: банки не могут быстро продать часть кредитного портфеля без привлечения посредников.</w:t>
        <w:br w:type="textWrapping"/>
        <w:t xml:space="preserve"> Во-вторых, ограниченный доступ инвесторов: только крупные организации могут участвовать в подобных сделках, а частные и мелкие институциональные инвесторы фактически отрезаны от этого рынка.</w:t>
        <w:br w:type="textWrapping"/>
        <w:t xml:space="preserve"> В-третьих, отсутствует прозрачность — покупатель доли в портфеле не видит его структуру, не понимает, как оцениваются риски и качество заемщиков.</w:t>
        <w:br w:type="textWrapping"/>
        <w:t xml:space="preserve"> К этому добавляются проблемы с комплаенсом и учетом: процедуры проверки клиентов и сделок выполняются вручную, дублируются в разных банках, а единая цифровая инфраструктура отсутствует.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Как эти известные проблемы – КЛИЕНТСКИЕ БОЛИ - решаются?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Сегодня банки решают вопросы ликвидности через выпуск ипотечных и потребительских облигаций (МБС) или формируют закрытые фонды, доступ к которым имеют только крупные инвесторы. Отдельные компании создают дилерские площадки, где продаются доли кредитных портфелей. Однако у этих решений есть существенные минусы.</w:t>
        <w:br w:type="textWrapping"/>
        <w:t xml:space="preserve"> Процесс секьюритизации занимает месяцы, требует рейтингов, посредников и крупных комиссий. Для инвестора порог входа слишком высок, а структура портфеля остается непрозрачной. Комплаенс организован вручную и требует дополнительных ресурсов. На практике эти инструменты решают лишь часть проблемы и не создают устойчивую цифровую экосистему.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Из каких источников вы получили данные о проблемах и решениях в этой сфере?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https://www.consultant.ru/document/cons_doc_LAW_358753/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https://www.consultant.ru/document/cons_doc_LAW_358753/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https://www.cbr.ru/Content/Document/File/180230/analytic_note_20250801_sgu.pdf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https://www.cbr.ru/Collection/Collection/File/58301/razv_bs_25_08.pdf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Почему известные вам способы решения проблем не являются «идеальными»?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Существующие механизмы не обеспечивают нужной скорости и гибкости. Выпуск МБС требует времени и высокой стоимости подготовки, частные инвесторы не имеют доступа, а автоматизация выплат и контроля рисков отсутствует. Нет единой цифровой платформы, где можно было бы безопасно, прозрачно и быстро совершать операции с кредитными активами. Все решения остаются централизованными, зависят от конкретных банков и регуляторов, что сдерживает инновации.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Вы придумали способы решения (ТАБЛЕТКА ОТ КЛИЕНТСКОЙ БОЛИ)? 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 предлагаю создать платформу токенизации кредитных портфелей. Ее основная идея в том, чтобы оцифровать каждый кредит или транш портфеля и закрепить за ним уникальный цифровой токен. Эти токены затем объединяются в пакеты и дробятся на фракционные токены, которые становятся доступны инвесторам.</w:t>
        <w:br w:type="textWrapping"/>
        <w:t xml:space="preserve">Все операции выполняются в регулируемом распределенном реестре — Masterchain. Смарт-контракты автоматически управляют выплатами процентов, контролируют дефолты и обеспечивают прозрачное распределение доходности. Для соблюдения законодательства платформа интегрируется с государственными системами — ЕСИА и ГИС ЕФРСБ — и содержит встроенный модуль KYC.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Вместо полного переноса расчетов в распределенный реестр часть операций остается в банковской системе. Токен отражает долю в праве требования, но денежное обеспечение хранится на отдельном банковском счете, а доступ к нему фиксируется смарт-контрактом.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Почему мои идеи и предлагаемые способы решения должны сработать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России уже существует правовая база для цифровых финансовых активов (закон №259-ФЗ), которая позволяет легально реализовать подобные проекты.</w:t>
        <w:br w:type="textWrapping"/>
        <w:t xml:space="preserve">Инфраструктура частично готова: существуют лицензированные площадки вроде Атомайз, Лайтхауса и А-токена, которые можно использовать для интеграции.</w:t>
        <w:br w:type="textWrapping"/>
        <w:t xml:space="preserve">Это решение отвечает интересам всех сторон. Банки получают новый способ управления ликвидностью без классической эмиссии облигаций, инвесторы — стабильный инструмент с прогнозируемой доходностью, а регулятор — прозрачный контроль за движением средств.</w:t>
        <w:br w:type="textWrapping"/>
        <w:t xml:space="preserve">Кроме того, автоматизация процессов снижает затраты на сопровождение портфелей и повышает скорость оборота капитала.</w:t>
      </w:r>
    </w:p>
    <w:p w:rsidR="00000000" w:rsidDel="00000000" w:rsidP="00000000" w:rsidRDefault="00000000" w:rsidRPr="00000000" w14:paraId="00000077">
      <w:pPr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Как устроено изобретение внутри (уникальность устройства)</w:t>
      </w:r>
    </w:p>
    <w:p w:rsidR="00000000" w:rsidDel="00000000" w:rsidP="00000000" w:rsidRDefault="00000000" w:rsidRPr="00000000" w14:paraId="00000078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построена на многоуровневой архитектуре закрытого рр. Первый слой обеспечивает интеграцию с банковскими системами и загрузку данных о кредитах. Второй отвечает за верификацию участников, юридическую проверку и комплаенс. Третий слой реализует смарт-контракты, управляющие расчетами, выплатами и распределением доходов.</w:t>
        <w:br w:type="textWrapping"/>
        <w:t xml:space="preserve">Над этими слоями располагается аналитическая панель, которая позволяет отслеживать доходность и качество портфеля в режиме реального времени. Каждый токен формируется на основе данных о кредите — его идентификатора, рейтинга риска, ставки и срока погашения. Встроенный риск-движок автоматически оценивает качество портфеля и присваивает ему рейтинг, влияющий на доходность токенов.</w:t>
      </w:r>
    </w:p>
    <w:p w:rsidR="00000000" w:rsidDel="00000000" w:rsidP="00000000" w:rsidRDefault="00000000" w:rsidRPr="00000000" w14:paraId="00000079">
      <w:pPr>
        <w:spacing w:after="240" w:before="240" w:line="276" w:lineRule="auto"/>
        <w:ind w:firstLine="72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Как оно действует снаружи (уникальность внешних взаимодействий)</w:t>
      </w:r>
    </w:p>
    <w:p w:rsidR="00000000" w:rsidDel="00000000" w:rsidP="00000000" w:rsidRDefault="00000000" w:rsidRPr="00000000" w14:paraId="0000007A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банка процесс выглядит просто: он загружает свой кредитный портфель в систему, после чего она автоматически токенизирует активы и позволяет реализовать их частично или полностью инвесторам.</w:t>
        <w:br w:type="textWrapping"/>
        <w:t xml:space="preserve">Инвесторы получают цифровой инструмент с прозрачными параметрами риска и доходности, могут держать токены до погашения или продать их на внутреннем маркетплейсе.</w:t>
        <w:br w:type="textWrapping"/>
        <w:t xml:space="preserve">Регулятор получает полный доступ к информации о движении токенов и выплатах через API.</w:t>
        <w:br w:type="textWrapping"/>
        <w:t xml:space="preserve">Кроме того, система интегрируется с внешними площадками цифровых финансовых активов, что позволяет организовать вторичный оборот токенов и создать живой, ликвидный рынок.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onsultant.ru/document/cons_doc_LAW_358753/" TargetMode="External"/><Relationship Id="rId10" Type="http://schemas.openxmlformats.org/officeDocument/2006/relationships/hyperlink" Target="https://www.consultant.ru/document/cons_doc_LAW_358753/" TargetMode="External"/><Relationship Id="rId13" Type="http://schemas.openxmlformats.org/officeDocument/2006/relationships/hyperlink" Target="https://www.cbr.ru/Collection/Collection/File/58301/razv_bs_25_08.pdf" TargetMode="External"/><Relationship Id="rId12" Type="http://schemas.openxmlformats.org/officeDocument/2006/relationships/hyperlink" Target="https://www.cbr.ru/Content/Document/File/180230/analytic_note_20250801_sgu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nsultant.ru/document/cons_doc_LAW_358753/" TargetMode="External"/><Relationship Id="rId5" Type="http://schemas.openxmlformats.org/officeDocument/2006/relationships/styles" Target="styles.xml"/><Relationship Id="rId6" Type="http://schemas.openxmlformats.org/officeDocument/2006/relationships/hyperlink" Target="https://blogs.forbes.ru/2024/11/20/startapy-vnutri-gigantov-formula-uspeha-i-prichiny-neudach/" TargetMode="External"/><Relationship Id="rId7" Type="http://schemas.openxmlformats.org/officeDocument/2006/relationships/hyperlink" Target="https://www.kamaflow.com/ru/post/venture-capital-investments-in-russia-in-2024-volumes-dynamics-results/" TargetMode="External"/><Relationship Id="rId8" Type="http://schemas.openxmlformats.org/officeDocument/2006/relationships/hyperlink" Target="https://www.tadviser.ru/index.php/%D0%A1%D1%82%D0%B0%D1%82%D1%8C%D1%8F:%D0%92%D0%B5%D0%BD%D1%87%D1%83%D1%80%D0%BD%D1%8B%D0%B5_%D0%B8%D0%BD%D0%B2%D0%B5%D1%81%D1%82%D0%B8%D1%86%D0%B8%D0%B8_%D0%B2_%D0%98%D0%A2-%D1%81%D0%B5%D0%BA%D1%82%D0%BE%D1%80_%D0%A0%D0%BE%D1%81%D1%81%D0%B8%D0%B8#.D0.92.D0.B5.D0.BD.D1.87.D1.83.D1.80.D0.BD.D0.BE.D0.B5_.D0.B8.D0.BD.D0.B2.D0.B5.D1.81.D1.82.D0.B8.D1.80.D0.BE.D0.B2.D0.B0.D0.BD.D0.B8.D0.B5_.D0.B2_.D0.98.D0.A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