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FE3F8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1 карточка идей</w:t>
      </w:r>
    </w:p>
    <w:p>
      <w:pPr>
        <w:jc w:val="center"/>
        <w:rPr>
          <w:rFonts w:ascii="Times New Roman" w:hAnsi="Times New Roman"/>
          <w:b w:val="1"/>
          <w:sz w:val="36"/>
        </w:rPr>
      </w:pP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 какой сфере вы хотите искать проблемы и решения и почему?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хочу рассмотреть проблему в сфере цифровых технологий</w:t>
      </w:r>
      <w:bookmarkStart w:id="0" w:name="_dx_frag_StartFragment"/>
      <w:bookmarkEnd w:id="0"/>
      <w:r>
        <w:rPr>
          <w:rFonts w:ascii="Times New Roman" w:hAnsi="Times New Roman"/>
          <w:sz w:val="28"/>
        </w:rPr>
        <w:t xml:space="preserve"> </w:t>
      </w:r>
    </w:p>
    <w:p>
      <w:pPr>
        <w:rPr>
          <w:rFonts w:ascii="Times New Roman" w:hAnsi="Times New Roman"/>
          <w:sz w:val="28"/>
        </w:rPr>
      </w:pP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цифровые технологии стали неотъемлемой частью жизни подростков, но вместе с преимуществами (доступ к информации, общение, творчество) они приносят серьёзные последствия такие как:тревожность, утомление, потерю интереса к реальной жизни.Проблема цифрового выгорания напрямую влияет на здоровье, учебную мотивацию и качество жизни подрастающего поколения. 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О каких проблемах в выбранной вами сфере вам известно? Охарактеризуйте их кратко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 Постоянная перегрузка информацией — подростки получают десятки уведомлений и новостей ежедневно, что вызывает утомление и стресс.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Зависимость от гаджетов и соцсетей</w:t>
      </w:r>
      <w:r>
        <w:rPr>
          <w:rFonts w:ascii="Times New Roman" w:hAnsi="Times New Roman"/>
          <w:sz w:val="28"/>
        </w:rPr>
        <w:t xml:space="preserve"> — привычка постоянно проверять экран снижает концентрацию и самооценку.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Нарушение сна и режима дня</w:t>
      </w:r>
      <w:r>
        <w:rPr>
          <w:rFonts w:ascii="Times New Roman" w:hAnsi="Times New Roman"/>
          <w:sz w:val="28"/>
        </w:rPr>
        <w:t xml:space="preserve"> — длительное использование устройств вечером ухудшает качество отдыха.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Социальное сравнение и тревожность</w:t>
      </w:r>
      <w:r>
        <w:rPr>
          <w:rFonts w:ascii="Times New Roman" w:hAnsi="Times New Roman"/>
          <w:sz w:val="28"/>
        </w:rPr>
        <w:t xml:space="preserve"> — контент в соцсетях формирует нереалистичные стандарты успеха.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•  </w:t>
      </w:r>
      <w:r>
        <w:rPr>
          <w:rFonts w:ascii="Times New Roman" w:hAnsi="Times New Roman"/>
          <w:b w:val="0"/>
          <w:i w:val="0"/>
          <w:sz w:val="28"/>
        </w:rPr>
        <w:t>Уменьшение офлайн-контактов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sz w:val="28"/>
        </w:rPr>
        <w:t>— реальное общение заменяется виртуальным, что снижает эмпатию.</w:t>
      </w: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Как эти известные проблемы – КЛИЕНТСКИЕ БОЛИ - решаются?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В школах проводятся разовые лекции и классные часы о вреде гаджетов.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Родители устанавливают программы контроля экранного времени (Google Family Link, Яндекс.Родитель).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Некоторые семьи практикуют «дни без телефонов».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sz w:val="28"/>
        </w:rPr>
        <w:t xml:space="preserve">•  Психологи предлагают индивидуальные консультации и тренинги цифровой гигиены.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Из каких источников вы получили данные о проблемах и решениях в этой сфере?</w:t>
      </w:r>
    </w:p>
    <w:p>
      <w:pPr>
        <w:rPr>
          <w:rFonts w:ascii="Times New Roman" w:hAnsi="Times New Roman"/>
          <w:sz w:val="24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"https://cdpofoton.ru/news/vygoranie-u-podrostkov-kak-raspoznat-i-chto-delat-chtoby-ucheba-ne-stala-prichinoy-krizisa/"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https://cdpofoton.ru/news/vygoranie-u-podrostkov-kak-raspoznat-i-chto-delat-chtoby-ucheba-ne-stala-prichinoy-krizisa/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"https://counterhate.com/research/deadly-by-design/"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https://counterhate.com/research/deadly-by-design/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"https://thesocialdilemma.com/"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https://thesocialdilemma.com/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"https://51rus.org/news/society/23189"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https://51rus.org/news/society/23189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i w:val="0"/>
          <w:sz w:val="28"/>
        </w:rPr>
      </w:pP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известные вам способы решения проблем не являются «идеальными»?</w:t>
      </w:r>
    </w:p>
    <w:p>
      <w:pPr>
        <w:rPr>
          <w:rFonts w:ascii="Times New Roman" w:hAnsi="Times New Roman"/>
          <w:sz w:val="24"/>
        </w:rPr>
      </w:pP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Родительский контроль воспринимается подростками как наказание и вторжение в личное пространство.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Лекции не влияют на поведение, если нет личной мотивации.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Приложения по ограничению времени не учитывают эмоциональное состояние пользователя.</w:t>
      </w:r>
    </w:p>
    <w:p>
      <w:pPr>
        <w:numPr>
          <w:ilvl w:val="0"/>
          <w:numId w:val="5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Дни «без телефона» вызывают чувство изоляции, а не внутреннюю осознанность.</w:t>
      </w:r>
    </w:p>
    <w:p>
      <w:p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Идеальное решение должно быть вовлекающим, мягким и мотивирующим, а не принудительным.</w:t>
      </w: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rPr>
          <w:rFonts w:ascii="Times New Roman" w:hAnsi="Times New Roman"/>
          <w:sz w:val="24"/>
        </w:rPr>
      </w:pP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мобильное приложение “BalanceTeen” — помощник в управлении цифровым балансом.</w:t>
      </w:r>
    </w:p>
    <w:p>
      <w:pPr>
        <w:spacing w:before="240" w:after="24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Основные функции: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ИИ-наставник, который отслеживает уровень активности, настроение и предлагает советы по снижению цифровой нагрузки.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Игровая система  — пользователь получает очки за дни без соцсетей, прогулки или чтение.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Социальная поддержка — можно объединяться с друзьями в команды и участвовать в офлайн-квестах.</w:t>
      </w:r>
    </w:p>
    <w:p>
      <w:pPr>
        <w:numPr>
          <w:ilvl w:val="0"/>
          <w:numId w:val="6"/>
        </w:numPr>
        <w:spacing w:before="240" w:after="24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Короткие видеоролики от психологов на тему "почему вредно проводить многое время в телефоне",по типу тиктока и нейропсихологические тесты для самодиагностики.</w:t>
      </w:r>
    </w:p>
    <w:p>
      <w:p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Аналитика настроения — приложение определяет признаки выгорания и предлагает отдых.</w:t>
      </w: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2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ваши идеи и предлагаемые способы решения должны сработать?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Приложение делает осознанность модной, а не скучной обязанностью.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Геймификация и соревновательный элемент повышают вовлечённость подростков.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Формируется внутренняя мотивация, а не внешнее давление.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Проект можно интегрировать в школьные программы по цифровой гигиене и ментальному здоровью.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•  По данным Левада-Центра (2023), 81% подростков готовы пользоваться цифровыми инструментами для саморазвития — значит, формат приложения им близок.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Но это приложение будет полезно только для тех, кто осознано будет готов проводить меньше времени в телефоне, контроллируя свой дофамин</w:t>
      </w: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0"/>
          <w:i w:val="0"/>
          <w:sz w:val="28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</w:p>
    <w:p>
      <w:pPr>
        <w:spacing w:before="0" w:after="0" w:beforeAutospacing="0" w:afterAutospacing="0"/>
        <w:ind w:firstLine="0" w:left="0" w:right="0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 xml:space="preserve">                       2 Карточка Идей</w:t>
      </w:r>
    </w:p>
    <w:p>
      <w:pPr>
        <w:jc w:val="center"/>
        <w:rPr>
          <w:rFonts w:ascii="Times New Roman" w:hAnsi="Times New Roman"/>
          <w:b w:val="1"/>
          <w:sz w:val="36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 какой сфере вы хотите искать проблемы и решения и почему?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Финансовое поведение молодежи (18-25 лет) в сфере кредитных карт и микрозаймов, и его влияние на экономику страны.</w:t>
      </w:r>
    </w:p>
    <w:p>
      <w:pPr>
        <w:rPr>
          <w:rFonts w:ascii="Times New Roman" w:hAnsi="Times New Roman"/>
          <w:b w:val="1"/>
          <w:sz w:val="24"/>
        </w:rPr>
      </w:pPr>
      <w:r>
        <w:t xml:space="preserve"> </w:t>
      </w:r>
      <w:r>
        <w:rPr>
          <w:rFonts w:ascii="Times New Roman" w:hAnsi="Times New Roman"/>
          <w:b w:val="1"/>
          <w:sz w:val="24"/>
        </w:rPr>
        <w:t>О каких проблемах в выбранной вами сфере вам известно? Охарактеризуйте их кратко</w:t>
      </w:r>
    </w:p>
    <w:p>
      <w:pPr>
        <w:spacing w:before="192" w:after="192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 Раннее формирование долговой нагрузки</w:t>
      </w:r>
    </w:p>
    <w:p>
      <w:pPr>
        <w:numPr>
          <w:ilvl w:val="0"/>
          <w:numId w:val="7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45%студентов старших курсов имеют как минимум одну кредитную карту</w:t>
      </w:r>
    </w:p>
    <w:p>
      <w:pPr>
        <w:numPr>
          <w:ilvl w:val="0"/>
          <w:numId w:val="7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Средняя задолженность по кредитным картам у молодежи составляет 85 000 рублей</w:t>
      </w:r>
    </w:p>
    <w:p>
      <w:pPr>
        <w:numPr>
          <w:ilvl w:val="0"/>
          <w:numId w:val="7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60% молодых людей начинают кредитную историю с микрозаймов</w:t>
      </w:r>
    </w:p>
    <w:p>
      <w:pPr>
        <w:spacing w:before="192" w:after="192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 xml:space="preserve"> Использование кредитов для повседневных нужд</w:t>
      </w:r>
    </w:p>
    <w:p>
      <w:pPr>
        <w:numPr>
          <w:ilvl w:val="0"/>
          <w:numId w:val="8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70% кредитных средств используются на текущие расходы (еда, транспорт, связь)</w:t>
      </w:r>
    </w:p>
    <w:p>
      <w:pPr>
        <w:numPr>
          <w:ilvl w:val="0"/>
          <w:numId w:val="8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Только 15% заемных средств направляются на образование или развитие навыков</w:t>
      </w:r>
    </w:p>
    <w:p>
      <w:pPr>
        <w:numPr>
          <w:ilvl w:val="0"/>
          <w:numId w:val="8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55% молодых заемщиков регулярно используют кредитные лимиты "до нуля"</w:t>
      </w:r>
    </w:p>
    <w:p>
      <w:pPr>
        <w:spacing w:before="192" w:after="192" w:beforeAutospacing="0" w:afterAutospacing="0"/>
        <w:ind w:firstLine="0" w:left="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2.3. Психологические аспекты</w:t>
      </w:r>
    </w:p>
    <w:p>
      <w:pPr>
        <w:numPr>
          <w:ilvl w:val="0"/>
          <w:numId w:val="9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65% молодежи воспринимают кредитный лимит как "собственные деньги"</w:t>
      </w:r>
    </w:p>
    <w:p>
      <w:pPr>
        <w:numPr>
          <w:ilvl w:val="0"/>
          <w:numId w:val="9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40% не отслеживают регулярно свою кредитную нагрузку</w:t>
      </w:r>
    </w:p>
    <w:p>
      <w:pPr>
        <w:numPr>
          <w:ilvl w:val="0"/>
          <w:numId w:val="10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65% молодежи воспринимают кредитный лимит как "собственные деньги"</w:t>
      </w:r>
    </w:p>
    <w:p>
      <w:pPr>
        <w:numPr>
          <w:ilvl w:val="0"/>
          <w:numId w:val="10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75% уверены, что смогут легко погасить долги в будущем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Как эти известные проблемы – КЛИЕНТСКИЕ БОЛИ - решаются?</w:t>
      </w:r>
    </w:p>
    <w:p>
      <w:pPr>
        <w:rPr>
          <w:rFonts w:ascii="Times New Roman" w:hAnsi="Times New Roman"/>
          <w:sz w:val="24"/>
        </w:rPr>
      </w:pP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Обязательное раскрытие Полной Стоимости Кредита: Банки и МФО по закону обязаны указывать ПСК в договорах. Цель — показать заемщику реальную переплату с учетом всех комиссий и страховок.</w:t>
      </w:r>
    </w:p>
    <w:p>
      <w:pPr>
        <w:spacing w:before="0" w:after="0" w:beforeAutospacing="0" w:afterAutospacing="0"/>
        <w:ind w:hanging="360" w:left="72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Кредитные калькуляторы: На сайтах почти всех банков есть онлайн-калькуляторы, которые помогают прикинуть ежемесячный платеж и переплату.</w:t>
      </w:r>
    </w:p>
    <w:p>
      <w:pPr>
        <w:spacing w:before="0" w:after="0" w:beforeAutospacing="0" w:afterAutospacing="0"/>
        <w:ind w:hanging="360" w:left="72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14"/>
        </w:numPr>
        <w:spacing w:before="0" w:after="0" w:beforeAutospacing="0" w:afterAutospacing="0"/>
        <w:ind w:hanging="360" w:left="72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"Период охлаждения" для займов в МФО: Закон дает заемщику право в течение 14 дней вернуть заем без объяснения причин, если он передумал.</w:t>
      </w:r>
    </w:p>
    <w:p>
      <w:p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Образовательные статьи и видео: Банки, МФО и государственные сайты (например, </w:t>
      </w:r>
      <w:r>
        <w:rPr>
          <w:rStyle w:val="C2"/>
          <w:rFonts w:ascii="Times New Roman" w:hAnsi="Times New Roman"/>
          <w:b w:val="0"/>
          <w:i w:val="0"/>
          <w:strike w:val="0"/>
          <w:color w:val="3964FE"/>
          <w:sz w:val="28"/>
          <w:u w:val="none"/>
          <w:shd w:val="clear" w:fill="FFFFFF"/>
        </w:rPr>
        <w:fldChar w:fldCharType="begin"/>
      </w:r>
      <w:r>
        <w:rPr>
          <w:rStyle w:val="C2"/>
          <w:rFonts w:ascii="Times New Roman" w:hAnsi="Times New Roman"/>
          <w:b w:val="0"/>
          <w:i w:val="0"/>
          <w:strike w:val="0"/>
          <w:color w:val="3964FE"/>
          <w:sz w:val="28"/>
          <w:u w:val="none"/>
          <w:shd w:val="clear" w:fill="FFFFFF"/>
        </w:rPr>
        <w:instrText>HYPERLINK "https://fincult.info/" \t "_blank"</w:instrText>
      </w:r>
      <w:r>
        <w:rPr>
          <w:rStyle w:val="C2"/>
          <w:rFonts w:ascii="Times New Roman" w:hAnsi="Times New Roman"/>
          <w:b w:val="0"/>
          <w:i w:val="0"/>
          <w:strike w:val="0"/>
          <w:color w:val="3964FE"/>
          <w:sz w:val="28"/>
          <w:u w:val="none"/>
          <w:shd w:val="clear" w:fill="FFFFFF"/>
        </w:rPr>
        <w:fldChar w:fldCharType="separate"/>
      </w:r>
      <w:r>
        <w:rPr>
          <w:rStyle w:val="C2"/>
          <w:rFonts w:ascii="Times New Roman" w:hAnsi="Times New Roman"/>
          <w:b w:val="0"/>
          <w:i w:val="0"/>
          <w:strike w:val="0"/>
          <w:color w:val="3964FE"/>
          <w:sz w:val="28"/>
          <w:u w:val="none"/>
          <w:shd w:val="clear" w:fill="FFFFFF"/>
        </w:rPr>
        <w:t>fincult.info</w:t>
      </w:r>
      <w:r>
        <w:rPr>
          <w:rStyle w:val="C2"/>
          <w:rFonts w:ascii="Times New Roman" w:hAnsi="Times New Roman"/>
          <w:b w:val="0"/>
          <w:i w:val="0"/>
          <w:strike w:val="0"/>
          <w:color w:val="3964FE"/>
          <w:sz w:val="28"/>
          <w:u w:val="none"/>
          <w:shd w:val="clear" w:fill="FFFFFF"/>
        </w:rPr>
        <w:fldChar w:fldCharType="end"/>
      </w: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) публикуют материалы о том, как работают проценты и что такое кредитная история.</w:t>
      </w: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Из каких источников вы получили данные о проблемах и решениях в этой сфере?</w:t>
      </w: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"https://iz.ru/1835140/anna-kaledina/im-ne-zanimat-kak-banki-lisaut-molodez-kreditnogo-budusego"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https://iz.ru/1835140/anna-kaledina/im-ne-zanimat-kak-banki-lisaut-molodez-kreditnogo-budusego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"https://www.pnp.ru/economics/molodezh-podsela-na-kreditnye-karty.html"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https://www.pnp.ru/economics/molodezh-podsela-na-kreditnye-karty.html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"https://nafi.ru/projects/finansy/finansovaya-gramotnost-rossiyan-2023/"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https://nafi.ru/projects/finansy/finansovaya-gramotnost-rossiyan-2023/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"https://cbr.ru/Collection/Collection/File/49059/inf-material_bki_2023sh.pdf"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https://cbr.ru/Collection/Collection/File/49059/inf-material_bki_2023sh.pdf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"https://tass.ru/ekonomika/18949543"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https://tass.ru/ekonomika/18949543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  <w:r>
        <w:rPr>
          <w:rFonts w:ascii="Times New Roman" w:hAnsi="Times New Roman"/>
          <w:i w:val="0"/>
          <w:sz w:val="28"/>
        </w:rPr>
        <w:fldChar w:fldCharType="begin"/>
      </w:r>
      <w:r>
        <w:rPr>
          <w:rFonts w:ascii="Times New Roman" w:hAnsi="Times New Roman"/>
          <w:i w:val="0"/>
          <w:sz w:val="28"/>
        </w:rPr>
        <w:instrText>HYPERLINK "https://lenta.ru/news/2024/02/05/molodye-rossiyane-stali-chasche-obzavoditsya-kreditnymi-kartami/"</w:instrText>
      </w:r>
      <w:r>
        <w:rPr>
          <w:rFonts w:ascii="Times New Roman" w:hAnsi="Times New Roman"/>
          <w:i w:val="0"/>
          <w:sz w:val="28"/>
        </w:rPr>
        <w:fldChar w:fldCharType="separate"/>
      </w:r>
      <w:r>
        <w:rPr>
          <w:rStyle w:val="C2"/>
          <w:rFonts w:ascii="Times New Roman" w:hAnsi="Times New Roman"/>
          <w:i w:val="0"/>
          <w:sz w:val="28"/>
        </w:rPr>
        <w:t>https://lenta.ru/news/2024/02/05/molodye-rossiyane-stali-chasche-obzavoditsya-kreditnymi-kartami/</w:t>
      </w:r>
      <w:r>
        <w:rPr>
          <w:rFonts w:ascii="Times New Roman" w:hAnsi="Times New Roman"/>
          <w:i w:val="0"/>
          <w:sz w:val="28"/>
        </w:rPr>
        <w:fldChar w:fldCharType="end"/>
      </w: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i w:val="0"/>
          <w:sz w:val="28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известные вам способы решения проблем не являются «идеальными»?</w:t>
      </w:r>
    </w:p>
    <w:p>
      <w:pPr>
        <w:spacing w:before="0" w:after="0" w:beforeAutospacing="0" w:afterAutospacing="0"/>
        <w:ind w:hanging="0" w:left="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ПСК — формальность: Молодежь часто не понимает, что означает эта цифра, либо не читает договор целиком.</w:t>
      </w:r>
    </w:p>
    <w:p>
      <w:pPr>
        <w:spacing w:before="0" w:after="0" w:beforeAutospacing="0" w:afterAutospacing="0"/>
        <w:ind w:hanging="0" w:left="708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0" w:left="0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Калькуляторы не показывают риски: Они рассчитывают идеальный сценарий, но не показывают, что будет при потере работы или unforeseen расходах</w:t>
      </w:r>
    </w:p>
    <w:p>
      <w:pPr>
        <w:spacing w:before="0" w:after="0" w:beforeAutospacing="0" w:afterAutospacing="0"/>
        <w:ind w:hanging="0" w:left="708" w:right="0"/>
        <w:jc w:val="left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 "периоде охлаждения" мало кто знает, а МФО не всегда активно эту информацию продвигают.</w:t>
      </w:r>
    </w:p>
    <w:p>
      <w:pPr>
        <w:rPr>
          <w:rFonts w:ascii="Times New Roman" w:hAnsi="Times New Roman"/>
          <w:b w:val="1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numPr>
          <w:ilvl w:val="0"/>
          <w:numId w:val="1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Введение обязательного курса "Финансовая грамотность" с 10 класса</w:t>
      </w:r>
    </w:p>
    <w:p>
      <w:pPr>
        <w:numPr>
          <w:ilvl w:val="0"/>
          <w:numId w:val="1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Разработка мобильного симулятора управления личными финансами</w:t>
      </w:r>
    </w:p>
    <w:p>
      <w:pPr>
        <w:numPr>
          <w:ilvl w:val="0"/>
          <w:numId w:val="11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Создание сети молодежных финансовых консультантов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Единая система скоринга для банков и МФО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Приложение для контроля долговой нагрузки</w:t>
      </w:r>
    </w:p>
    <w:p>
      <w:pPr>
        <w:numPr>
          <w:ilvl w:val="0"/>
          <w:numId w:val="12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Автоматические оповещения о рисках</w:t>
      </w:r>
    </w:p>
    <w:p>
      <w:pPr>
        <w:numPr>
          <w:ilvl w:val="0"/>
          <w:numId w:val="13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Поэтапное ограничение кредитования молодежи</w:t>
      </w:r>
    </w:p>
    <w:p>
      <w:pPr>
        <w:numPr>
          <w:ilvl w:val="0"/>
          <w:numId w:val="13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Субсидирование "образовательных кредитов"</w:t>
      </w:r>
    </w:p>
    <w:p>
      <w:p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Налоговые льготы для финансово грамотной молодежи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3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ваши идеи и предлагаемые способы решения должны сработать</w:t>
      </w:r>
    </w:p>
    <w:p>
      <w:pPr>
        <w:numPr>
          <w:ilvl w:val="0"/>
          <w:numId w:val="19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Раннее вмешательство - работа с возрастной группой 16-22 года, когда финансовое поведение только формируется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19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Сочетание "кнута и пряника" - ограничения рисковых моделей поведения + стимулирование правильных финансовых решений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19"/>
        </w:numPr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Технологическая интеграция - использование привычных молодежи каналов коммуникации (смартфоны, мессенджеры)</w:t>
      </w:r>
    </w:p>
    <w:p>
      <w:pPr>
        <w:ind w:firstLine="0" w:left="0"/>
        <w:rPr>
          <w:rFonts w:ascii="Times New Roman" w:hAnsi="Times New Roman"/>
          <w:b w:val="1"/>
          <w:sz w:val="36"/>
        </w:rPr>
      </w:pPr>
    </w:p>
    <w:p>
      <w:pPr>
        <w:ind w:firstLine="0" w:left="0"/>
        <w:rPr>
          <w:rFonts w:ascii="Times New Roman" w:hAnsi="Times New Roman"/>
          <w:b w:val="1"/>
          <w:sz w:val="36"/>
        </w:rPr>
      </w:pPr>
    </w:p>
    <w:p>
      <w:pPr>
        <w:ind w:firstLine="0" w:left="0"/>
        <w:rPr>
          <w:rFonts w:ascii="Times New Roman" w:hAnsi="Times New Roman"/>
          <w:b w:val="1"/>
          <w:sz w:val="36"/>
        </w:rPr>
      </w:pPr>
    </w:p>
    <w:p>
      <w:pPr>
        <w:ind w:firstLine="0" w:left="0"/>
        <w:rPr>
          <w:rFonts w:ascii="Times New Roman" w:hAnsi="Times New Roman"/>
          <w:b w:val="1"/>
          <w:sz w:val="36"/>
        </w:rPr>
      </w:pPr>
    </w:p>
    <w:p>
      <w:pPr>
        <w:ind w:firstLine="0" w:left="0"/>
        <w:jc w:val="center"/>
        <w:rPr>
          <w:rFonts w:ascii="Times New Roman" w:hAnsi="Times New Roman"/>
          <w:b w:val="1"/>
          <w:sz w:val="36"/>
        </w:rPr>
      </w:pPr>
      <w:r>
        <w:rPr>
          <w:rFonts w:ascii="Times New Roman" w:hAnsi="Times New Roman"/>
          <w:b w:val="1"/>
          <w:sz w:val="36"/>
        </w:rPr>
        <w:t>3 карточка идей</w:t>
      </w:r>
    </w:p>
    <w:p>
      <w:pPr>
        <w:jc w:val="center"/>
        <w:rPr>
          <w:rFonts w:ascii="Times New Roman" w:hAnsi="Times New Roman"/>
          <w:b w:val="1"/>
          <w:sz w:val="36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 какой сфере вы хотите искать проблемы и решения и почему?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Поговорили о молодеже, теперь рассмотрим проблемы с населением, находящимся  в более преклонном возрасте.</w:t>
      </w: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А именно о демографической политике и последствиях демографического кризиса 1990-х годов.</w:t>
      </w: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О каких проблемах в выбранной вами сфере вам известно? Охарактеризуйте их кратко</w:t>
      </w:r>
    </w:p>
    <w:p>
      <w:pPr>
        <w:numPr>
          <w:ilvl w:val="0"/>
          <w:numId w:val="20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Резкое сокращение численности населения в трудоспособном возрасте</w:t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0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Увеличение демографической нагрузки на работающих</w:t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0"/>
        </w:num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Дефицит кадров в ключевых отраслях экономики</w:t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0"/>
        </w:numPr>
        <w:spacing w:before="0" w:after="0" w:beforeAutospacing="0" w:afterAutospacing="0"/>
        <w:ind w:hanging="360" w:left="72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Напряжение в пенсионной системе</w:t>
      </w:r>
    </w:p>
    <w:p>
      <w:pPr>
        <w:spacing w:before="0" w:after="0" w:beforeAutospacing="0" w:afterAutospacing="0"/>
        <w:ind w:hanging="360" w:left="720"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spacing w:before="0" w:after="0" w:beforeAutospacing="0" w:afterAutospacing="0"/>
        <w:ind w:hanging="0" w:left="0" w:right="0"/>
        <w:rPr>
          <w:rFonts w:ascii="Times New Roman" w:hAnsi="Times New Roman"/>
          <w:sz w:val="24"/>
        </w:rPr>
      </w:pPr>
    </w:p>
    <w:p>
      <w:pPr>
        <w:spacing w:before="0" w:after="0" w:beforeAutospacing="0" w:afterAutospacing="0"/>
        <w:ind w:hanging="0" w:left="0" w:right="0"/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Как эти известные проблемы – КЛИЕНТСКИЕ БОЛИ - решаются?</w:t>
      </w:r>
    </w:p>
    <w:p>
      <w:pPr>
        <w:numPr>
          <w:ilvl w:val="0"/>
          <w:numId w:val="22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Поэтапное повышение пенсионного возраста (с 2019 г.)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2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Программа материнского капитала (с 2007 г.)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2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Стимулирование трудовой миграции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2"/>
        </w:numPr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Поддержка многодетных семей</w:t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Из каких источников вы получили данные о проблемах и решениях в этой сфере?</w:t>
      </w:r>
    </w:p>
    <w:p>
      <w:pPr>
        <w:rPr>
          <w:rFonts w:ascii="Times New Roman" w:hAnsi="Times New Roman"/>
          <w:b w:val="1"/>
          <w:sz w:val="24"/>
        </w:rPr>
      </w:pPr>
    </w:p>
    <w:p>
      <w:pPr>
        <w:rPr>
          <w:rFonts w:ascii="Times New Roman" w:hAnsi="Times New Roman"/>
          <w:b w:val="1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"https://moluch.ru/archive/479/105385"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https://moluch.ru/archive/479/105385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"https://www.rbc.ru/economics/20/10/2023/6532903a9a7947d2efaf4b74"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https://www.rbc.ru/economics/20/10/2023/6532903a9a7947d2efaf4b74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"https://legalacts.ru/doc/prikaz-mintruda-rossii-ot-05072023-n-569n-ob-utverzhdenii/"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https://legalacts.ru/doc/prikaz-mintruda-rossii-ot-05072023-n-569n-ob-utverzhdenii/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"https://issek.hse.ru/news/1066343386.html"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https://issek.hse.ru/news/1066343386.html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"https://cyclowiki.org/wiki/Демографический_кризис_в_Российской_Федерации"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https://cyclowiki.org/wiki/Демографический_кризис_в_Российской_Федерации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HYPERLINK "https://vaael.ru/ru/article/view?id=2556"</w:instrText>
      </w:r>
      <w:r>
        <w:rPr>
          <w:rFonts w:ascii="Times New Roman" w:hAnsi="Times New Roman"/>
          <w:sz w:val="24"/>
        </w:rPr>
        <w:fldChar w:fldCharType="separate"/>
      </w:r>
      <w:r>
        <w:rPr>
          <w:rStyle w:val="C2"/>
          <w:rFonts w:ascii="Times New Roman" w:hAnsi="Times New Roman"/>
          <w:sz w:val="24"/>
        </w:rPr>
        <w:t>https://vaael.ru/ru/article/view?id=2556</w:t>
      </w:r>
      <w:r>
        <w:rPr>
          <w:rFonts w:ascii="Times New Roman" w:hAnsi="Times New Roman"/>
          <w:sz w:val="24"/>
        </w:rPr>
        <w:fldChar w:fldCharType="end"/>
      </w: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известные вам способы решения проблем не являются «идеальными»?</w:t>
      </w:r>
    </w:p>
    <w:p>
      <w:pPr>
        <w:rPr>
          <w:rFonts w:ascii="Times New Roman" w:hAnsi="Times New Roman"/>
          <w:sz w:val="24"/>
        </w:rPr>
      </w:pPr>
    </w:p>
    <w:p>
      <w:pPr>
        <w:numPr>
          <w:ilvl w:val="0"/>
          <w:numId w:val="25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Повышение пенсионного возраста не решает структурных проблем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5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Материнский капитал не компенсирует глубину демографической ямы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5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Миграция создает новые социальные вызовы</w:t>
      </w:r>
    </w:p>
    <w:p>
      <w:p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</w:p>
    <w:p>
      <w:pPr>
        <w:numPr>
          <w:ilvl w:val="0"/>
          <w:numId w:val="2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Меры поддержки носят фрагментарный характер</w:t>
      </w: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>
      <w:pPr>
        <w:rPr>
          <w:rFonts w:ascii="Times New Roman" w:hAnsi="Times New Roman"/>
          <w:sz w:val="24"/>
        </w:rPr>
      </w:pPr>
    </w:p>
    <w:p>
      <w:pPr>
        <w:numPr>
          <w:ilvl w:val="0"/>
          <w:numId w:val="27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Создание центров переобучения для людей 50+</w:t>
      </w:r>
    </w:p>
    <w:p>
      <w:pPr>
        <w:numPr>
          <w:ilvl w:val="0"/>
          <w:numId w:val="27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Гибкие формы занятости с сохранением пенсионных прав</w:t>
      </w:r>
    </w:p>
    <w:p>
      <w:pPr>
        <w:numPr>
          <w:ilvl w:val="0"/>
          <w:numId w:val="27"/>
        </w:numPr>
        <w:spacing w:before="0" w:after="0" w:beforeAutospacing="0" w:afterAutospacing="0"/>
        <w:ind w:right="0"/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Цифровые платформы для удаленной работы пенсионеров</w:t>
      </w:r>
    </w:p>
    <w:p>
      <w:pPr>
        <w:numPr>
          <w:ilvl w:val="0"/>
          <w:numId w:val="27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Субсидирование работодателей, нанимающих сотрудников предпенсионного возраста</w:t>
      </w:r>
    </w:p>
    <w:p>
      <w:pPr>
        <w:rPr>
          <w:rFonts w:ascii="Times New Roman" w:hAnsi="Times New Roman"/>
          <w:sz w:val="28"/>
        </w:rPr>
      </w:pPr>
    </w:p>
    <w:p>
      <w:pPr>
        <w:rPr>
          <w:rFonts w:ascii="Times New Roman" w:hAnsi="Times New Roman"/>
          <w:sz w:val="24"/>
        </w:rPr>
      </w:pPr>
    </w:p>
    <w:p>
      <w:pPr>
        <w:pStyle w:val="P2"/>
        <w:numPr>
          <w:ilvl w:val="0"/>
          <w:numId w:val="4"/>
        </w:numPr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Почему ваши идеи и предлагаемые способы решения должны сработать</w:t>
      </w:r>
    </w:p>
    <w:p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0"/>
          <w:i w:val="0"/>
          <w:color w:val="0F1115"/>
          <w:sz w:val="28"/>
          <w:shd w:val="clear" w:fill="FFFFFF"/>
        </w:rPr>
        <w:t>Опыт Японии показывает, что увеличение занятости населения 60+ на 10% компенсирует 30% дефицита рабочей силы. В России это может сохранить 3-4 млн работников на рынке.</w:t>
      </w:r>
      <w:r>
        <w:rPr>
          <w:rFonts w:ascii="Times New Roman" w:hAnsi="Times New Roman"/>
          <w:sz w:val="28"/>
        </w:rPr>
        <w:t xml:space="preserve"> 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29C48D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522217F5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697F6836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793E0244"/>
    <w:multiLevelType w:val="hybridMultilevel"/>
    <w:lvl w:ilvl="0" w:tplc="CEA41FFC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830CE6CA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 w:tplc="80BC1E20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 w:tplc="3868757C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 w:tplc="763A09D8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 w:tplc="11BE1D5C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 w:tplc="CACEB524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 w:tplc="BBA09946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BC2EA14C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4">
    <w:nsid w:val="39A9F7F9"/>
    <w:multiLevelType w:val="hybridMultilevel"/>
    <w:lvl w:ilvl="0" w:tplc="5C16434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AF70D4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17639F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6236D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CB6D69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2A144C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CE068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10D1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B55CF5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525BF088"/>
    <w:multiLevelType w:val="hybridMultilevel"/>
    <w:lvl w:ilvl="0" w:tplc="53FEC03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1FE8A4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C3CE38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59B69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3AB2CA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B71405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141693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5332B8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18B1D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25C9D7DA"/>
    <w:multiLevelType w:val="hybridMultilevel"/>
    <w:lvl w:ilvl="0" w:tplc="501A570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6A127D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495554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5CBAE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A5642A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8C4982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57DBD4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EDADC6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CF1613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67162346"/>
    <w:multiLevelType w:val="hybridMultilevel"/>
    <w:lvl w:ilvl="0" w:tplc="786289A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5E3303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44B2B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8B895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BF22C3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9D193B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26DBCB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B3E31A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FCACCD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43DB8E65"/>
    <w:multiLevelType w:val="hybridMultilevel"/>
    <w:lvl w:ilvl="0" w:tplc="13356EA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F0C978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9126F2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271D92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761E52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59014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816F8E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F08E01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B36BEE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2D647794"/>
    <w:multiLevelType w:val="hybridMultilevel"/>
    <w:lvl w:ilvl="0" w:tplc="2BE660A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8F31AC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DEBE60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30DB38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A5BD12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483E5E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A7BD6D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B693D0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F40B6C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5AF6D7A6"/>
    <w:multiLevelType w:val="hybridMultilevel"/>
    <w:lvl w:ilvl="0" w:tplc="15472AB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74C382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DA3569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EF42F1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3A2B77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FB6D31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3C970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76789C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D8CF55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033C5243"/>
    <w:multiLevelType w:val="hybridMultilevel"/>
    <w:lvl w:ilvl="0" w:tplc="41795CC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1D55FE4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94625F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23F75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282425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4FB19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008C08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DBB75E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4C11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58B46951"/>
    <w:multiLevelType w:val="hybridMultilevel"/>
    <w:lvl w:ilvl="0" w:tplc="7FC677A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5D7389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092C5F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6B79A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F59B76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8668C5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D2ADDB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3D47A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411754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37AB9F20"/>
    <w:multiLevelType w:val="hybridMultilevel"/>
    <w:lvl w:ilvl="0" w:tplc="1C64576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3715B5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44D5BF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47EDA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DA43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0A6744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E7CE3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501024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63414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0B9F4B77"/>
    <w:multiLevelType w:val="hybridMultilevel"/>
    <w:lvl w:ilvl="0" w:tplc="156F207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0A8F47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31BB62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6597C1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A96676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1733B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9F426D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8E9C80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D765AD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6F519216"/>
    <w:multiLevelType w:val="hybridMultilevel"/>
    <w:lvl w:ilvl="0" w:tplc="78C6596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30B5615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7434FF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9EED0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1EB5F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12450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A33C6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82BE40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3A2405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4C8CB8BD"/>
    <w:multiLevelType w:val="hybridMultilevel"/>
    <w:lvl w:ilvl="0" w:tplc="04A3B76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0E21E9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E149FE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6DD86C6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74FF4B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CD1AC56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7FE19C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A77801D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9E6CC2B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7">
    <w:nsid w:val="06D58723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8">
    <w:nsid w:val="14FA33B4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19">
    <w:nsid w:val="012BB1EF"/>
    <w:multiLevelType w:val="hybridMultilevel"/>
    <w:lvl w:ilvl="0" w:tplc="2D30152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8BE039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62E5B8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7D8FF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F84FAC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59AF5C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A65724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D70B7C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83552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7A110751"/>
    <w:multiLevelType w:val="hybridMultilevel"/>
    <w:lvl w:ilvl="0" w:tplc="1915F87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E938E6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582A29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1DAE0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57B3C5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7469CF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7D819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FCE007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BEAD4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78AFAE9C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22">
    <w:nsid w:val="2A363313"/>
    <w:multiLevelType w:val="hybridMultilevel"/>
    <w:lvl w:ilvl="0" w:tplc="4E5F5D7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865D80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7C6952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5540A2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4701CF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E06B2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4DAB4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38290B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70334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3">
    <w:nsid w:val="7E054F63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24">
    <w:nsid w:val="522E5EF6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abstractNum w:abstractNumId="25">
    <w:nsid w:val="2F58BE9D"/>
    <w:multiLevelType w:val="hybridMultilevel"/>
    <w:lvl w:ilvl="0" w:tplc="3397376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4CD5208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5CB28B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43B60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07A5FA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C7F3F9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A17CC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8E5F18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B42802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6">
    <w:nsid w:val="13F53116"/>
    <w:multiLevelType w:val="hybridMultilevel"/>
    <w:lvl w:ilvl="0" w:tplc="00D8182B">
      <w:start w:val="1"/>
      <w:numFmt w:val="bullet"/>
      <w:suff w:val="tab"/>
      <w:lvlText w:val="·"/>
      <w:lvlJc w:val="left"/>
      <w:pPr>
        <w:ind w:hanging="354" w:left="720"/>
      </w:pPr>
      <w:rPr>
        <w:rFonts w:ascii="Symbol" w:hAnsi="Symbol"/>
      </w:rPr>
    </w:lvl>
    <w:lvl w:ilvl="1" w:tplc="1193A8BE">
      <w:start w:val="1"/>
      <w:numFmt w:val="bullet"/>
      <w:suff w:val="tab"/>
      <w:lvlText w:val="o"/>
      <w:lvlJc w:val="left"/>
      <w:pPr>
        <w:ind w:hanging="354" w:left="1440"/>
      </w:pPr>
      <w:rPr>
        <w:rFonts w:ascii="Symbol" w:hAnsi="Symbol"/>
      </w:rPr>
    </w:lvl>
    <w:lvl w:ilvl="2" w:tplc="457E8DDC">
      <w:start w:val="1"/>
      <w:numFmt w:val="bullet"/>
      <w:suff w:val="tab"/>
      <w:lvlText w:val="·"/>
      <w:lvlJc w:val="left"/>
      <w:pPr>
        <w:ind w:hanging="354" w:left="2160"/>
      </w:pPr>
      <w:rPr>
        <w:rFonts w:ascii="Symbol" w:hAnsi="Symbol"/>
      </w:rPr>
    </w:lvl>
    <w:lvl w:ilvl="3" w:tplc="47A26378">
      <w:start w:val="1"/>
      <w:numFmt w:val="bullet"/>
      <w:suff w:val="tab"/>
      <w:lvlText w:val="o"/>
      <w:lvlJc w:val="left"/>
      <w:pPr>
        <w:ind w:hanging="354" w:left="2880"/>
      </w:pPr>
      <w:rPr>
        <w:rFonts w:ascii="Symbol" w:hAnsi="Symbol"/>
      </w:rPr>
    </w:lvl>
    <w:lvl w:ilvl="4" w:tplc="7D80512F">
      <w:start w:val="1"/>
      <w:numFmt w:val="bullet"/>
      <w:suff w:val="tab"/>
      <w:lvlText w:val="·"/>
      <w:lvlJc w:val="left"/>
      <w:pPr>
        <w:ind w:hanging="354" w:left="3600"/>
      </w:pPr>
      <w:rPr>
        <w:rFonts w:ascii="Symbol" w:hAnsi="Symbol"/>
      </w:rPr>
    </w:lvl>
    <w:lvl w:ilvl="5" w:tplc="7EB3C1D9">
      <w:start w:val="1"/>
      <w:numFmt w:val="bullet"/>
      <w:suff w:val="tab"/>
      <w:lvlText w:val="o"/>
      <w:lvlJc w:val="left"/>
      <w:pPr>
        <w:ind w:hanging="354" w:left="4320"/>
      </w:pPr>
      <w:rPr>
        <w:rFonts w:ascii="Symbol" w:hAnsi="Symbol"/>
      </w:rPr>
    </w:lvl>
    <w:lvl w:ilvl="6" w:tplc="7431E74C">
      <w:start w:val="1"/>
      <w:numFmt w:val="bullet"/>
      <w:suff w:val="tab"/>
      <w:lvlText w:val="·"/>
      <w:lvlJc w:val="left"/>
      <w:pPr>
        <w:ind w:hanging="354" w:left="5040"/>
      </w:pPr>
      <w:rPr>
        <w:rFonts w:ascii="Symbol" w:hAnsi="Symbol"/>
      </w:rPr>
    </w:lvl>
    <w:lvl w:ilvl="7" w:tplc="69E15C39">
      <w:start w:val="1"/>
      <w:numFmt w:val="bullet"/>
      <w:suff w:val="tab"/>
      <w:lvlText w:val="o"/>
      <w:lvlJc w:val="left"/>
      <w:pPr>
        <w:ind w:hanging="354" w:left="5760"/>
      </w:pPr>
      <w:rPr>
        <w:rFonts w:ascii="Symbol" w:hAnsi="Symbol"/>
      </w:rPr>
    </w:lvl>
    <w:lvl w:ilvl="8" w:tplc="19524716">
      <w:start w:val="1"/>
      <w:numFmt w:val="bullet"/>
      <w:suff w:val="tab"/>
      <w:lvlText w:val="·"/>
      <w:lvlJc w:val="left"/>
      <w:pPr>
        <w:ind w:hanging="354" w:left="6480"/>
      </w:pPr>
      <w:rPr>
        <w:rFonts w:ascii="Symbol" w:hAnsi="Symbol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/>
  </w:style>
  <w:style w:type="paragraph" w:styleId="P1">
    <w:name w:val="ВКР заголовок"/>
    <w:basedOn w:val="P0"/>
    <w:link w:val="C3"/>
    <w:qFormat/>
    <w:pPr/>
    <w:rPr>
      <w:rFonts w:ascii="Times New Roman" w:hAnsi="Times New Roman"/>
      <w:sz w:val="24"/>
    </w:rPr>
  </w:style>
  <w:style w:type="paragraph" w:styleId="P2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ВКР заголовок Знак"/>
    <w:basedOn w:val="C0"/>
    <w:link w:val="P1"/>
    <w:rPr>
      <w:rFonts w:ascii="Times New Roman" w:hAnsi="Times New Roman"/>
      <w:sz w:val="24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