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ТЕХНИЧЕСКОЕ ЗАДАНИЕ</w:t>
      </w:r>
    </w:p>
    <w:p>
      <w:pPr>
        <w:jc w:val="center"/>
      </w:pPr>
      <w:r>
        <w:rPr>
          <w:sz w:val="24"/>
        </w:rPr>
        <w:t>на закупку</w:t>
      </w:r>
    </w:p>
    <w:p>
      <w:r>
        <w:rPr>
          <w:b/>
          <w:sz w:val="24"/>
        </w:rPr>
        <w:t>1. Предмет закупки</w:t>
      </w:r>
    </w:p>
    <w:p>
      <w:r>
        <w:t>Разработка корпоративного лендинга</w:t>
      </w:r>
    </w:p>
    <w:p>
      <w:r>
        <w:rPr>
          <w:b/>
          <w:sz w:val="24"/>
        </w:rPr>
        <w:t>2. Цель закупки</w:t>
      </w:r>
    </w:p>
    <w:p>
      <w:r>
        <w:t>Информирование участников мероприятия</w:t>
      </w:r>
    </w:p>
    <w:p>
      <w:r>
        <w:rPr>
          <w:b/>
          <w:sz w:val="24"/>
        </w:rPr>
        <w:t>3. Объём работ / поставки</w:t>
      </w:r>
    </w:p>
    <w:p>
      <w:r>
        <w:t>Адаптивная веб-страница и административная панель</w:t>
      </w:r>
    </w:p>
    <w:p>
      <w:r>
        <w:rPr>
          <w:b/>
          <w:sz w:val="24"/>
        </w:rPr>
        <w:t>4. Функциональные требования</w:t>
      </w:r>
    </w:p>
    <w:p>
      <w:r>
        <w:t>Форма регистрации и административная панель</w:t>
      </w:r>
    </w:p>
    <w:p>
      <w:r>
        <w:rPr>
          <w:b/>
          <w:sz w:val="24"/>
        </w:rPr>
        <w:t>6. Срок выполнения</w:t>
      </w:r>
    </w:p>
    <w:p>
      <w:r>
        <w:t>30 ноября 2026 года</w:t>
      </w:r>
    </w:p>
    <w:p>
      <w:r>
        <w:rPr>
          <w:b/>
          <w:sz w:val="24"/>
        </w:rPr>
        <w:t>7. Критерии приёмки</w:t>
      </w:r>
    </w:p>
    <w:p>
      <w:r>
        <w:t>Соответствие требованиям и успешное тестирование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