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Narrow" w:cs="Arial Narrow" w:eastAsia="Arial Narrow" w:hAnsi="Arial Narrow"/>
          <w:b/>
          <w:bCs/>
          <w:sz w:val="34"/>
          <w:szCs w:val="34"/>
        </w:rPr>
        <w:t xml:space="preserve">Точечные изменения: Том I (1.25→1.26) и Том II (1.9→1.10)</w:t>
      </w:r>
    </w:p>
    <w:p>
      <w:pPr>
        <w:spacing w:after="60"/>
      </w:pPr>
      <w:r>
        <w:rPr>
          <w:rFonts w:ascii="Arial Narrow" w:cs="Arial Narrow" w:eastAsia="Arial Narrow" w:hAnsi="Arial Narrow"/>
          <w:i/>
          <w:iCs/>
          <w:sz w:val="22"/>
          <w:szCs w:val="22"/>
        </w:rPr>
        <w:t xml:space="preserve">Пояснительная записка для разработчиков</w:t>
      </w:r>
    </w:p>
    <w:p>
      <w:pPr>
        <w:spacing w:after="240"/>
      </w:pPr>
      <w:r>
        <w:rPr>
          <w:rFonts w:ascii="Arial Narrow" w:cs="Arial Narrow" w:eastAsia="Arial Narrow" w:hAnsi="Arial Narrow"/>
          <w:color w:val="595959"/>
          <w:sz w:val="20"/>
          <w:szCs w:val="20"/>
        </w:rPr>
        <w:t xml:space="preserve">Август 2026 · Затронуто файлов: 2 · Точек вставки: 6 (4 в томе I, 2 в томе II) · Переписано: ничего — весь остальной текст обоих томов идентичен предыдущей редакции.</w:t>
      </w:r>
    </w:p>
    <w:p>
      <w:pPr>
        <w:pStyle w:val="Heading1"/>
        <w:spacing w:after="160" w:before="400"/>
      </w:pPr>
      <w:r>
        <w:t xml:space="preserve">TL;DR</w:t>
      </w:r>
    </w:p>
    <w:p>
      <w:pPr>
        <w:spacing w:after="160" w:line="300" w:lineRule="auto"/>
      </w:pPr>
      <w:r>
        <w:rPr>
          <w:rFonts w:ascii="Arial Narrow" w:cs="Arial Narrow" w:eastAsia="Arial Narrow" w:hAnsi="Arial Narrow"/>
        </w:rPr>
        <w:t xml:space="preserve">Шесть точечных правок закрывают разрыв между методом (тома I–II) и двумя артефактами, появившимися отдельно от них: спецификацией выходного отчёта A-01 и разбором отраслевой методологии анализа Lightning Network.</w:t>
      </w:r>
    </w:p>
    <w:p>
      <w:pPr>
        <w:pStyle w:val="ListParagraph"/>
        <w:numPr>
          <w:ilvl w:val="0"/>
          <w:numId w:val="2"/>
        </w:numPr>
        <w:spacing w:after="100" w:line="300" w:lineRule="auto"/>
      </w:pPr>
      <w:r>
        <w:rPr>
          <w:rFonts w:ascii="Arial Narrow" w:cs="Arial Narrow" w:eastAsia="Arial Narrow" w:hAnsi="Arial Narrow"/>
          <w:b/>
          <w:bCs/>
        </w:rPr>
        <w:t xml:space="preserve">Том I, A-01</w:t>
      </w:r>
      <w:r>
        <w:rPr>
          <w:rFonts w:ascii="Arial Narrow" w:cs="Arial Narrow" w:eastAsia="Arial Narrow" w:hAnsi="Arial Narrow"/>
        </w:rPr>
        <w:t xml:space="preserve"> — добавлена ссылка на новый обязательный источник структуры разбора.</w:t>
      </w:r>
    </w:p>
    <w:p>
      <w:pPr>
        <w:pStyle w:val="ListParagraph"/>
        <w:numPr>
          <w:ilvl w:val="0"/>
          <w:numId w:val="2"/>
        </w:numPr>
        <w:spacing w:after="100" w:line="300" w:lineRule="auto"/>
      </w:pPr>
      <w:r>
        <w:rPr>
          <w:rFonts w:ascii="Arial Narrow" w:cs="Arial Narrow" w:eastAsia="Arial Narrow" w:hAnsi="Arial Narrow"/>
          <w:b/>
          <w:bCs/>
        </w:rPr>
        <w:t xml:space="preserve">Том I, A-15</w:t>
      </w:r>
      <w:r>
        <w:rPr>
          <w:rFonts w:ascii="Arial Narrow" w:cs="Arial Narrow" w:eastAsia="Arial Narrow" w:hAnsi="Arial Narrow"/>
        </w:rPr>
        <w:t xml:space="preserve"> — добавлена девятая диагностическая проверка.</w:t>
      </w:r>
    </w:p>
    <w:p>
      <w:pPr>
        <w:pStyle w:val="ListParagraph"/>
        <w:numPr>
          <w:ilvl w:val="0"/>
          <w:numId w:val="2"/>
        </w:numPr>
        <w:spacing w:after="100" w:line="300" w:lineRule="auto"/>
      </w:pPr>
      <w:r>
        <w:rPr>
          <w:rFonts w:ascii="Arial Narrow" w:cs="Arial Narrow" w:eastAsia="Arial Narrow" w:hAnsi="Arial Narrow"/>
          <w:b/>
          <w:bCs/>
        </w:rPr>
        <w:t xml:space="preserve">Том I, паспорт</w:t>
      </w:r>
      <w:r>
        <w:rPr>
          <w:rFonts w:ascii="Arial Narrow" w:cs="Arial Narrow" w:eastAsia="Arial Narrow" w:hAnsi="Arial Narrow"/>
        </w:rPr>
        <w:t xml:space="preserve"> — исправлена нестыковка статуса (найдена раньше, исправлена попутно).</w:t>
      </w:r>
    </w:p>
    <w:p>
      <w:pPr>
        <w:pStyle w:val="ListParagraph"/>
        <w:numPr>
          <w:ilvl w:val="0"/>
          <w:numId w:val="2"/>
        </w:numPr>
        <w:spacing w:after="100" w:line="300" w:lineRule="auto"/>
      </w:pPr>
      <w:r>
        <w:rPr>
          <w:rFonts w:ascii="Arial Narrow" w:cs="Arial Narrow" w:eastAsia="Arial Narrow" w:hAnsi="Arial Narrow"/>
          <w:b/>
          <w:bCs/>
        </w:rPr>
        <w:t xml:space="preserve">Том II, приложение П1 (преамбула)</w:t>
      </w:r>
      <w:r>
        <w:rPr>
          <w:rFonts w:ascii="Arial Narrow" w:cs="Arial Narrow" w:eastAsia="Arial Narrow" w:hAnsi="Arial Narrow"/>
        </w:rPr>
        <w:t xml:space="preserve"> — добавлены классы источников A/B/C/D.</w:t>
      </w:r>
    </w:p>
    <w:p>
      <w:pPr>
        <w:pStyle w:val="ListParagraph"/>
        <w:numPr>
          <w:ilvl w:val="0"/>
          <w:numId w:val="2"/>
        </w:numPr>
        <w:spacing w:after="100" w:line="300" w:lineRule="auto"/>
      </w:pPr>
      <w:r>
        <w:rPr>
          <w:rFonts w:ascii="Arial Narrow" w:cs="Arial Narrow" w:eastAsia="Arial Narrow" w:hAnsi="Arial Narrow"/>
          <w:b/>
          <w:bCs/>
        </w:rPr>
        <w:t xml:space="preserve">Том II, новое приложение П1.12</w:t>
      </w:r>
      <w:r>
        <w:rPr>
          <w:rFonts w:ascii="Arial Narrow" w:cs="Arial Narrow" w:eastAsia="Arial Narrow" w:hAnsi="Arial Narrow"/>
        </w:rPr>
        <w:t xml:space="preserve"> — формальная спецификация разбора работы.</w:t>
      </w:r>
    </w:p>
    <w:p>
      <w:pPr>
        <w:pStyle w:val="ListParagraph"/>
        <w:numPr>
          <w:ilvl w:val="0"/>
          <w:numId w:val="2"/>
        </w:numPr>
        <w:spacing w:after="100" w:line="300" w:lineRule="auto"/>
      </w:pPr>
      <w:r>
        <w:rPr>
          <w:rFonts w:ascii="Arial Narrow" w:cs="Arial Narrow" w:eastAsia="Arial Narrow" w:hAnsi="Arial Narrow"/>
          <w:b/>
          <w:bCs/>
        </w:rPr>
        <w:t xml:space="preserve">Обложки</w:t>
      </w:r>
      <w:r>
        <w:rPr>
          <w:rFonts w:ascii="Arial Narrow" w:cs="Arial Narrow" w:eastAsia="Arial Narrow" w:hAnsi="Arial Narrow"/>
        </w:rPr>
        <w:t xml:space="preserve"> обеих редакций обновлены (номер, дата).</w:t>
      </w:r>
    </w:p>
    <w:p>
      <w:pPr>
        <w:spacing w:after="160" w:line="300" w:lineRule="auto"/>
      </w:pPr>
      <w:r>
        <w:rPr>
          <w:rFonts w:ascii="Arial Narrow" w:cs="Arial Narrow" w:eastAsia="Arial Narrow" w:hAnsi="Arial Narrow"/>
        </w:rPr>
        <w:t xml:space="preserve">Ниже — почему каждая понадобилась, что именно изменено (с точным местом и текстом), что рассмотрено и отклонено, и что это значит для тех, кто реализует систему в коде.</w:t>
      </w:r>
    </w:p>
    <w:p>
      <w:pPr>
        <w:pStyle w:val="Heading1"/>
        <w:spacing w:after="160" w:before="400"/>
      </w:pPr>
      <w:r>
        <w:t xml:space="preserve">1. Причины изменений</w:t>
      </w:r>
    </w:p>
    <w:p>
      <w:pPr>
        <w:pStyle w:val="Heading2"/>
        <w:spacing w:after="120" w:before="280"/>
      </w:pPr>
      <w:r>
        <w:t xml:space="preserve">1.1. У выходного отчёта A-01 не было спецификации</w:t>
      </w:r>
    </w:p>
    <w:p>
      <w:pPr>
        <w:spacing w:after="160" w:line="300" w:lineRule="auto"/>
      </w:pPr>
      <w:r>
        <w:rPr>
          <w:rFonts w:ascii="Arial Narrow" w:cs="Arial Narrow" w:eastAsia="Arial Narrow" w:hAnsi="Arial Narrow"/>
        </w:rPr>
        <w:t xml:space="preserve">A-01 — единственный агент с правом свободного текста, обращённого к человеку (§9.0.3 тома I). До этой правки структура его ответа (режим М3, полный разбор) нигде не была формально задана: она демонстрировалась один раз, в эталонном экземпляре «Разбор работы: Верифейс», но не была зафиксирована как требование. Риск очевиден: качество ответа A-01 зависело от того, насколько удачным был конкретный прогон, а не от заданного стандарта. Реверс-инжиниринг эталона дал восемь обязательных блоков; они закреплены как </w:t>
      </w:r>
      <w:r>
        <w:rPr>
          <w:rFonts w:ascii="Arial Narrow" w:cs="Arial Narrow" w:eastAsia="Arial Narrow" w:hAnsi="Arial Narrow"/>
          <w:b/>
          <w:bCs/>
        </w:rPr>
        <w:t xml:space="preserve">П1.12 тома II</w:t>
      </w:r>
      <w:r>
        <w:rPr>
          <w:rFonts w:ascii="Arial Narrow" w:cs="Arial Narrow" w:eastAsia="Arial Narrow" w:hAnsi="Arial Narrow"/>
        </w:rPr>
        <w:t xml:space="preserve"> и как ссылка из системного промпта A-01.</w:t>
      </w:r>
    </w:p>
    <w:p>
      <w:pPr>
        <w:pStyle w:val="Heading2"/>
        <w:spacing w:after="120" w:before="280"/>
      </w:pPr>
      <w:r>
        <w:t xml:space="preserve">1.2. Один и тот же диагностический паттерн нашёлся независимо трижды</w:t>
      </w:r>
    </w:p>
    <w:p>
      <w:pPr>
        <w:spacing w:after="160" w:line="300" w:lineRule="auto"/>
      </w:pPr>
      <w:r>
        <w:rPr>
          <w:rFonts w:ascii="Arial Narrow" w:cs="Arial Narrow" w:eastAsia="Arial Narrow" w:hAnsi="Arial Narrow"/>
        </w:rPr>
        <w:t xml:space="preserve">При разборе методологии анализа Lightning Network (ред. 2.0) и живого применения этой методологии («Рецензия на отчёт по практике Lightning ПКСК») обнаружился паттерн возражения, которого не было ни в одной из восьми существующих проверок A-15: конструкция заявляет свойство, которое её же архитектура делает невозможным (пример: заявленный суверенитет пользователя при узле, видящем граф отношений). Паттерн независимо встретился:</w:t>
      </w:r>
    </w:p>
    <w:p>
      <w:pPr>
        <w:pStyle w:val="ListParagraph"/>
        <w:numPr>
          <w:ilvl w:val="0"/>
          <w:numId w:val="2"/>
        </w:numPr>
        <w:spacing w:after="100" w:line="300" w:lineRule="auto"/>
      </w:pPr>
      <w:r>
        <w:rPr>
          <w:rFonts w:ascii="Arial Narrow" w:cs="Arial Narrow" w:eastAsia="Arial Narrow" w:hAnsi="Arial Narrow"/>
        </w:rPr>
        <w:t xml:space="preserve">в «Разборе работы: Верифейс» (Возражение 1, без явной привязки к номеру признака — вероятно, разобрано «с нуля», а не по чек-листу);</w:t>
      </w:r>
    </w:p>
    <w:p>
      <w:pPr>
        <w:pStyle w:val="ListParagraph"/>
        <w:numPr>
          <w:ilvl w:val="0"/>
          <w:numId w:val="2"/>
        </w:numPr>
        <w:spacing w:after="100" w:line="300" w:lineRule="auto"/>
      </w:pPr>
      <w:r>
        <w:rPr>
          <w:rFonts w:ascii="Arial Narrow" w:cs="Arial Narrow" w:eastAsia="Arial Narrow" w:hAnsi="Arial Narrow"/>
        </w:rPr>
        <w:t xml:space="preserve">в модуле М12.3 методологии Lightning-анализа («конфликт прослеживаемости»);</w:t>
      </w:r>
    </w:p>
    <w:p>
      <w:pPr>
        <w:pStyle w:val="ListParagraph"/>
        <w:numPr>
          <w:ilvl w:val="0"/>
          <w:numId w:val="2"/>
        </w:numPr>
        <w:spacing w:after="100" w:line="300" w:lineRule="auto"/>
      </w:pPr>
      <w:r>
        <w:rPr>
          <w:rFonts w:ascii="Arial Narrow" w:cs="Arial Narrow" w:eastAsia="Arial Narrow" w:hAnsi="Arial Narrow"/>
        </w:rPr>
        <w:t xml:space="preserve">в «Рецензии на отчёт по практике Lightning ПКСК» (раздел 10: ложное утверждение о видимости регулятора).</w:t>
      </w:r>
    </w:p>
    <w:p>
      <w:pPr>
        <w:spacing w:after="160" w:line="300" w:lineRule="auto"/>
      </w:pPr>
      <w:r>
        <w:rPr>
          <w:rFonts w:ascii="Arial Narrow" w:cs="Arial Narrow" w:eastAsia="Arial Narrow" w:hAnsi="Arial Narrow"/>
        </w:rPr>
        <w:t xml:space="preserve">Три независимых подтверждения — достаточное основание для девятого пункта чек-листа A-15, а не для добавления его как разового возражения.</w:t>
      </w:r>
    </w:p>
    <w:p>
      <w:pPr>
        <w:pStyle w:val="Heading2"/>
        <w:spacing w:after="120" w:before="280"/>
      </w:pPr>
      <w:r>
        <w:t xml:space="preserve">1.3. Отраслевая методология дала два готовых усиления метода</w:t>
      </w:r>
    </w:p>
    <w:p>
      <w:pPr>
        <w:spacing w:after="160" w:line="300" w:lineRule="auto"/>
      </w:pPr>
      <w:r>
        <w:rPr>
          <w:rFonts w:ascii="Arial Narrow" w:cs="Arial Narrow" w:eastAsia="Arial Narrow" w:hAnsi="Arial Narrow"/>
        </w:rPr>
        <w:t xml:space="preserve">Из той же методологии Lightning-анализа взяты две вещи общего назначения, не привязанные к Lightning как таковому:</w:t>
      </w:r>
    </w:p>
    <w:p>
      <w:pPr>
        <w:pStyle w:val="ListParagraph"/>
        <w:numPr>
          <w:ilvl w:val="0"/>
          <w:numId w:val="2"/>
        </w:numPr>
        <w:spacing w:after="100" w:line="300" w:lineRule="auto"/>
      </w:pPr>
      <w:r>
        <w:rPr>
          <w:rFonts w:ascii="Arial Narrow" w:cs="Arial Narrow" w:eastAsia="Arial Narrow" w:hAnsi="Arial Narrow"/>
          <w:b/>
          <w:bCs/>
        </w:rPr>
        <w:t xml:space="preserve">классы источников A/B/C/D</w:t>
      </w:r>
      <w:r>
        <w:rPr>
          <w:rFonts w:ascii="Arial Narrow" w:cs="Arial Narrow" w:eastAsia="Arial Narrow" w:hAnsi="Arial Narrow"/>
        </w:rPr>
        <w:t xml:space="preserve"> — уточняют, чем можно, а чем нельзя подтверждать </w:t>
      </w:r>
      <w:r>
        <w:rPr>
          <w:rFonts w:ascii="Consolas" w:cs="Consolas" w:eastAsia="Consolas" w:hAnsi="Consolas"/>
          <w:sz w:val="20"/>
          <w:szCs w:val="20"/>
        </w:rPr>
        <w:t xml:space="preserve">[ФАКТ: источник]</w:t>
      </w:r>
      <w:r>
        <w:rPr>
          <w:rFonts w:ascii="Arial Narrow" w:cs="Arial Narrow" w:eastAsia="Arial Narrow" w:hAnsi="Arial Narrow"/>
        </w:rPr>
        <w:t xml:space="preserve">;</w:t>
      </w:r>
    </w:p>
    <w:p>
      <w:pPr>
        <w:pStyle w:val="ListParagraph"/>
        <w:numPr>
          <w:ilvl w:val="0"/>
          <w:numId w:val="2"/>
        </w:numPr>
        <w:spacing w:after="100" w:line="300" w:lineRule="auto"/>
      </w:pPr>
      <w:r>
        <w:rPr>
          <w:rFonts w:ascii="Arial Narrow" w:cs="Arial Narrow" w:eastAsia="Arial Narrow" w:hAnsi="Arial Narrow"/>
          <w:b/>
          <w:bCs/>
        </w:rPr>
        <w:t xml:space="preserve">фаза самопроверки перед сдачей</w:t>
      </w:r>
      <w:r>
        <w:rPr>
          <w:rFonts w:ascii="Arial Narrow" w:cs="Arial Narrow" w:eastAsia="Arial Narrow" w:hAnsi="Arial Narrow"/>
        </w:rPr>
        <w:t xml:space="preserve"> и принцип «признание непроверенного непроверенным — часть результата, а не дефект» — из «Фазы 8» и заключительной формулы той же методологии.</w:t>
      </w:r>
    </w:p>
    <w:p>
      <w:pPr>
        <w:spacing w:after="160" w:line="300" w:lineRule="auto"/>
      </w:pPr>
      <w:r>
        <w:rPr>
          <w:rFonts w:ascii="Arial Narrow" w:cs="Arial Narrow" w:eastAsia="Arial Narrow" w:hAnsi="Arial Narrow"/>
        </w:rPr>
        <w:t xml:space="preserve">Оба вошли в П1.12, а не в отдельный документ, поскольку оба — про форму выходного отчёта, то есть про то же самое место, для которого и писалась спецификация.</w:t>
      </w:r>
    </w:p>
    <w:p>
      <w:pPr>
        <w:pStyle w:val="Heading2"/>
        <w:spacing w:after="120" w:before="280"/>
      </w:pPr>
      <w:r>
        <w:t xml:space="preserve">1.4. Попутно найденная нестыковка</w:t>
      </w:r>
    </w:p>
    <w:p>
      <w:pPr>
        <w:spacing w:after="160" w:line="300" w:lineRule="auto"/>
      </w:pPr>
      <w:r>
        <w:rPr>
          <w:rFonts w:ascii="Arial Narrow" w:cs="Arial Narrow" w:eastAsia="Arial Narrow" w:hAnsi="Arial Narrow"/>
        </w:rPr>
        <w:t xml:space="preserve">При первом чтении тома I (до всех остальных правок) была замечена нестыковка: паспорт концепции утверждал «готово 24 из 32 параграфов главы 9», тогда как карта документа и фактическое содержание показывали 32 из 32. Правка внесена в рамках этого же прохода, раз документ всё равно редактировался.</w:t>
      </w:r>
    </w:p>
    <w:p>
      <w:pPr>
        <w:pStyle w:val="Heading1"/>
        <w:spacing w:after="160" w:before="400"/>
      </w:pPr>
      <w:r>
        <w:t xml:space="preserve">2. Состав изменений — Том I (ред. 1.25 → 1.26)</w:t>
      </w:r>
    </w:p>
    <w:p>
      <w:pPr>
        <w:pStyle w:val="Heading2"/>
        <w:spacing w:after="120" w:before="280"/>
      </w:pPr>
      <w:r>
        <w:t xml:space="preserve">2.1. A-01 · §9.1 · новый абзац после системного промпта, перед «9.1.6 Критерии качества выхода»</w:t>
      </w:r>
    </w:p>
    <w:p>
      <w:pPr>
        <w:spacing w:after="160" w:line="300" w:lineRule="auto"/>
      </w:pPr>
      <w:r>
        <w:rPr>
          <w:rFonts w:ascii="Arial Narrow" w:cs="Arial Narrow" w:eastAsia="Arial Narrow" w:hAnsi="Arial Narrow"/>
          <w:b/>
          <w:bCs/>
        </w:rPr>
        <w:t xml:space="preserve">Было:</w:t>
      </w:r>
      <w:r>
        <w:rPr>
          <w:rFonts w:ascii="Arial Narrow" w:cs="Arial Narrow" w:eastAsia="Arial Narrow" w:hAnsi="Arial Narrow"/>
        </w:rPr>
        <w:t xml:space="preserve"> ничего на этом месте — раздел «Критерии качества выхода» шёл сразу за блоком СТИЛЬ.</w:t>
      </w:r>
    </w:p>
    <w:p>
      <w:pPr>
        <w:spacing w:after="160" w:line="300" w:lineRule="auto"/>
      </w:pPr>
      <w:r>
        <w:rPr>
          <w:rFonts w:ascii="Arial Narrow" w:cs="Arial Narrow" w:eastAsia="Arial Narrow" w:hAnsi="Arial Narrow"/>
          <w:b/>
          <w:bCs/>
        </w:rPr>
        <w:t xml:space="preserve">Стало</w:t>
      </w:r>
      <w:r>
        <w:rPr>
          <w:rFonts w:ascii="Arial Narrow" w:cs="Arial Narrow" w:eastAsia="Arial Narrow" w:hAnsi="Arial Narrow"/>
        </w:rPr>
        <w:t xml:space="preserve"> (добавлено дословно):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0" w:line="280" w:lineRule="auto"/>
            </w:pPr>
            <w:r>
              <w:rPr>
                <w:rFonts w:ascii="Arial Narrow" w:cs="Arial Narrow" w:eastAsia="Arial Narrow" w:hAnsi="Arial Narrow"/>
                <w:i/>
                <w:iCs/>
              </w:rPr>
              <w:t xml:space="preserve">Пятичастный ход ведёт процесс. Отдельно от него — свободнотекстовый разбор работы, который A-01 адресует человеку по итогам полного разбора в режиме М3: его обязательная структура, язык и критерии приёмки заданы не здесь, а в «Требования к выходному отчёту» (П1.12 тома II), и подлежат применению без сокращений.</w:t>
            </w:r>
          </w:p>
        </w:tc>
      </w:tr>
    </w:tbl>
    <w:p>
      <w:pPr>
        <w:spacing w:after="160" w:line="300" w:lineRule="auto"/>
      </w:pPr>
      <w:r>
        <w:rPr>
          <w:rFonts w:ascii="Arial Narrow" w:cs="Arial Narrow" w:eastAsia="Arial Narrow" w:hAnsi="Arial Narrow"/>
          <w:b/>
          <w:bCs/>
        </w:rPr>
        <w:t xml:space="preserve">Тип: </w:t>
      </w:r>
      <w:r>
        <w:rPr>
          <w:rFonts w:ascii="Arial Narrow" w:cs="Arial Narrow" w:eastAsia="Arial Narrow" w:hAnsi="Arial Narrow"/>
        </w:rPr>
        <w:t xml:space="preserve">добавление (новый абзац, ничего не заменено и не удалено).</w:t>
      </w:r>
    </w:p>
    <w:p>
      <w:pPr>
        <w:pStyle w:val="Heading2"/>
        <w:spacing w:after="120" w:before="280"/>
      </w:pPr>
      <w:r>
        <w:t xml:space="preserve">2.2. A-15 · §9.15 · счётчик «три отраслевых» → «четыре отраслевых»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100" w:line="280" w:lineRule="auto"/>
            </w:pPr>
            <w:r>
              <w:rPr>
                <w:rFonts w:ascii="Arial Narrow" w:cs="Arial Narrow" w:eastAsia="Arial Narrow" w:hAnsi="Arial Narrow"/>
                <w:b/>
                <w:bCs/>
              </w:rPr>
              <w:t xml:space="preserve">Было: </w:t>
            </w:r>
            <w:r>
              <w:rPr>
                <w:rFonts w:ascii="Arial Narrow" w:cs="Arial Narrow" w:eastAsia="Arial Narrow" w:hAnsi="Arial Narrow"/>
                <w:i/>
                <w:iCs/>
              </w:rPr>
              <w:t xml:space="preserve">«К пяти каноническим признакам практика добавляет три отраслевых, специфичных для платёжной сферы.»</w:t>
            </w:r>
          </w:p>
          <w:p>
            <w:pPr>
              <w:spacing w:after="0" w:line="280" w:lineRule="auto"/>
            </w:pPr>
            <w:r>
              <w:rPr>
                <w:rFonts w:ascii="Arial Narrow" w:cs="Arial Narrow" w:eastAsia="Arial Narrow" w:hAnsi="Arial Narrow"/>
                <w:b/>
                <w:bCs/>
              </w:rPr>
              <w:t xml:space="preserve">Стало: </w:t>
            </w:r>
            <w:r>
              <w:rPr>
                <w:rFonts w:ascii="Arial Narrow" w:cs="Arial Narrow" w:eastAsia="Arial Narrow" w:hAnsi="Arial Narrow"/>
                <w:i/>
                <w:iCs/>
              </w:rPr>
              <w:t xml:space="preserve">«...добавляет четыре отраслевых...»</w:t>
            </w:r>
          </w:p>
        </w:tc>
      </w:tr>
    </w:tbl>
    <w:p>
      <w:pPr>
        <w:pStyle w:val="Heading2"/>
        <w:spacing w:after="120" w:before="280"/>
      </w:pPr>
      <w:r>
        <w:t xml:space="preserve">2.3. A-15 · §9.15 · новый признак в описательной части (после «Восьмой», перед «Отдельно следует сказать»)</w:t>
      </w:r>
    </w:p>
    <w:p>
      <w:pPr>
        <w:spacing w:after="160" w:line="300" w:lineRule="auto"/>
      </w:pPr>
      <w:r>
        <w:rPr>
          <w:rFonts w:ascii="Arial Narrow" w:cs="Arial Narrow" w:eastAsia="Arial Narrow" w:hAnsi="Arial Narrow"/>
          <w:b/>
          <w:bCs/>
        </w:rPr>
        <w:t xml:space="preserve">Добавлено дословно: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0" w:line="280" w:lineRule="auto"/>
            </w:pPr>
            <w:r>
              <w:rPr>
                <w:rFonts w:ascii="Arial Narrow" w:cs="Arial Narrow" w:eastAsia="Arial Narrow" w:hAnsi="Arial Narrow"/>
                <w:i/>
                <w:iCs/>
              </w:rPr>
              <w:t xml:space="preserve">Девятый: заявленное свойство противоречит устройству. «Наше ключевое отличие — суверенитет пользователя» — при архитектуре, где вся маршрутизация и биллинг проходят через общий узел. Проверка: для каждого заявленного свойства (приватность, суверенитет, децентрализация, устойчивость к цензуре) назвать компонент архитектуры, способный его нарушить, и потребовать техническое доказательство, что этот компонент не может им злоупотребить, — а не заверение о намерениях. «Оператор не будет» доказательством не является: это отказ от заявленного свойства под видом его соблюдения.</w:t>
            </w:r>
          </w:p>
        </w:tc>
      </w:tr>
    </w:tbl>
    <w:p>
      <w:pPr>
        <w:pStyle w:val="Heading2"/>
        <w:spacing w:after="120" w:before="280"/>
      </w:pPr>
      <w:r>
        <w:t xml:space="preserve">2.4. A-15 · системный промпт · заголовок счётчика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100" w:line="280" w:lineRule="auto"/>
            </w:pPr>
            <w:r>
              <w:rPr>
                <w:rFonts w:ascii="Arial Narrow" w:cs="Arial Narrow" w:eastAsia="Arial Narrow" w:hAnsi="Arial Narrow"/>
                <w:b/>
                <w:bCs/>
              </w:rPr>
              <w:t xml:space="preserve">Было: </w:t>
            </w:r>
            <w:r>
              <w:rPr>
                <w:rFonts w:ascii="Arial Narrow" w:cs="Arial Narrow" w:eastAsia="Arial Narrow" w:hAnsi="Arial Narrow"/>
                <w:i/>
                <w:iCs/>
              </w:rPr>
              <w:t xml:space="preserve">ВОСЕМЬ ПРОВЕРОК. Проходи все, в этом порядке...</w:t>
            </w:r>
          </w:p>
          <w:p>
            <w:pPr>
              <w:spacing w:after="0" w:line="280" w:lineRule="auto"/>
            </w:pPr>
            <w:r>
              <w:rPr>
                <w:rFonts w:ascii="Arial Narrow" w:cs="Arial Narrow" w:eastAsia="Arial Narrow" w:hAnsi="Arial Narrow"/>
                <w:b/>
                <w:bCs/>
              </w:rPr>
              <w:t xml:space="preserve">Стало: </w:t>
            </w:r>
            <w:r>
              <w:rPr>
                <w:rFonts w:ascii="Arial Narrow" w:cs="Arial Narrow" w:eastAsia="Arial Narrow" w:hAnsi="Arial Narrow"/>
                <w:i/>
                <w:iCs/>
              </w:rPr>
              <w:t xml:space="preserve">ДЕВЯТЬ ПРОВЕРОК. Проходи все, в этом порядке...</w:t>
            </w:r>
          </w:p>
        </w:tc>
      </w:tr>
    </w:tbl>
    <w:p>
      <w:pPr>
        <w:pStyle w:val="Heading2"/>
        <w:spacing w:after="120" w:before="280"/>
      </w:pPr>
      <w:r>
        <w:t xml:space="preserve">2.5. A-15 · системный промпт · новая проверка №9 (между проверкой 8 и блоком «ДОПОЛНИТЕЛЬНО»)</w:t>
      </w:r>
    </w:p>
    <w:p>
      <w:pPr>
        <w:spacing w:after="160" w:line="300" w:lineRule="auto"/>
      </w:pPr>
      <w:r>
        <w:rPr>
          <w:rFonts w:ascii="Arial Narrow" w:cs="Arial Narrow" w:eastAsia="Arial Narrow" w:hAnsi="Arial Narrow"/>
        </w:rPr>
        <w:t xml:space="preserve">Добавлено дословно (сохранён формат построчной разбивки, как у проверок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40"/>
              <w:left w:type="dxa" w:w="180"/>
              <w:bottom w:type="dxa" w:w="140"/>
              <w:right w:type="dxa" w:w="180"/>
            </w:tcMar>
          </w:tcPr>
          <w:p>
            <w:pPr>
              <w:spacing w:after="0" w:line="260" w:lineRule="auto"/>
            </w:pPr>
            <w:r>
              <w:rPr>
                <w:rFonts w:ascii="Consolas" w:cs="Consolas" w:eastAsia="Consolas" w:hAnsi="Consolas"/>
                <w:sz w:val="20"/>
                <w:szCs w:val="20"/>
              </w:rPr>
              <w:t xml:space="preserve">9. ЗАЯВЛЕННОЕ СВОЙСТВО ПРОТИВОРЕЧИТ УСТРОЙСТВУ. Если конструкция</w:t>
            </w:r>
            <w:r>
              <w:br/>
              <w:t xml:space="preserve"/>
            </w:r>
            <w:r>
              <w:rPr>
                <w:rFonts w:ascii="Consolas" w:cs="Consolas" w:eastAsia="Consolas" w:hAnsi="Consolas"/>
                <w:sz w:val="20"/>
                <w:szCs w:val="20"/>
              </w:rPr>
              <w:t xml:space="preserve">   заявляет свойство (приватность, суверенитет, децентрализация,</w:t>
            </w:r>
            <w:r>
              <w:br/>
              <w:t xml:space="preserve"/>
            </w:r>
            <w:r>
              <w:rPr>
                <w:rFonts w:ascii="Consolas" w:cs="Consolas" w:eastAsia="Consolas" w:hAnsi="Consolas"/>
                <w:sz w:val="20"/>
                <w:szCs w:val="20"/>
              </w:rPr>
              <w:t xml:space="preserve">   устойчивость к цензуре): найди компонент архитектуры, способный</w:t>
            </w:r>
            <w:r>
              <w:br/>
              <w:t xml:space="preserve"/>
            </w:r>
            <w:r>
              <w:rPr>
                <w:rFonts w:ascii="Consolas" w:cs="Consolas" w:eastAsia="Consolas" w:hAnsi="Consolas"/>
                <w:sz w:val="20"/>
                <w:szCs w:val="20"/>
              </w:rPr>
              <w:t xml:space="preserve">   его нарушить (центральный узел маршрутизации, оператор с доступом</w:t>
            </w:r>
            <w:r>
              <w:br/>
              <w:t xml:space="preserve"/>
            </w:r>
            <w:r>
              <w:rPr>
                <w:rFonts w:ascii="Consolas" w:cs="Consolas" w:eastAsia="Consolas" w:hAnsi="Consolas"/>
                <w:sz w:val="20"/>
                <w:szCs w:val="20"/>
              </w:rPr>
              <w:t xml:space="preserve">   к состояниям, единая точка биллинга), и потребуй техническое</w:t>
            </w:r>
            <w:r>
              <w:br/>
              <w:t xml:space="preserve"/>
            </w:r>
            <w:r>
              <w:rPr>
                <w:rFonts w:ascii="Consolas" w:cs="Consolas" w:eastAsia="Consolas" w:hAnsi="Consolas"/>
                <w:sz w:val="20"/>
                <w:szCs w:val="20"/>
              </w:rPr>
              <w:t xml:space="preserve">   доказательство невозможности злоупотребления — не заверение о</w:t>
            </w:r>
            <w:r>
              <w:br/>
              <w:t xml:space="preserve"/>
            </w:r>
            <w:r>
              <w:rPr>
                <w:rFonts w:ascii="Consolas" w:cs="Consolas" w:eastAsia="Consolas" w:hAnsi="Consolas"/>
                <w:sz w:val="20"/>
                <w:szCs w:val="20"/>
              </w:rPr>
              <w:t xml:space="preserve">   намерениях. «Оператор не будет» доказательством не является. Если</w:t>
            </w:r>
            <w:r>
              <w:br/>
              <w:t xml:space="preserve"/>
            </w:r>
            <w:r>
              <w:rPr>
                <w:rFonts w:ascii="Consolas" w:cs="Consolas" w:eastAsia="Consolas" w:hAnsi="Consolas"/>
                <w:sz w:val="20"/>
                <w:szCs w:val="20"/>
              </w:rPr>
              <w:t xml:space="preserve">   доказательства нет, заявленное свойство не обеспечено ничем, кроме</w:t>
            </w:r>
            <w:r>
              <w:br/>
              <w:t xml:space="preserve"/>
            </w:r>
            <w:r>
              <w:rPr>
                <w:rFonts w:ascii="Consolas" w:cs="Consolas" w:eastAsia="Consolas" w:hAnsi="Consolas"/>
                <w:sz w:val="20"/>
                <w:szCs w:val="20"/>
              </w:rPr>
              <w:t xml:space="preserve">   намерения оператора; так и напиши.</w:t>
            </w:r>
          </w:p>
        </w:tc>
      </w:tr>
    </w:tbl>
    <w:p>
      <w:pPr>
        <w:pStyle w:val="Heading2"/>
        <w:spacing w:after="120" w:before="280"/>
      </w:pPr>
      <w:r>
        <w:t xml:space="preserve">2.6. A-15 · «Критерии качества выхода» · счётчик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100" w:line="280" w:lineRule="auto"/>
            </w:pPr>
            <w:r>
              <w:rPr>
                <w:rFonts w:ascii="Arial Narrow" w:cs="Arial Narrow" w:eastAsia="Arial Narrow" w:hAnsi="Arial Narrow"/>
                <w:b/>
                <w:bCs/>
              </w:rPr>
              <w:t xml:space="preserve">Было: </w:t>
            </w:r>
            <w:r>
              <w:rPr>
                <w:rFonts w:ascii="Arial Narrow" w:cs="Arial Narrow" w:eastAsia="Arial Narrow" w:hAnsi="Arial Narrow"/>
                <w:i/>
                <w:iCs/>
              </w:rPr>
              <w:t xml:space="preserve">«Все восемь проверок пройдены с вердиктами.»</w:t>
            </w:r>
          </w:p>
          <w:p>
            <w:pPr>
              <w:spacing w:after="0" w:line="280" w:lineRule="auto"/>
            </w:pPr>
            <w:r>
              <w:rPr>
                <w:rFonts w:ascii="Arial Narrow" w:cs="Arial Narrow" w:eastAsia="Arial Narrow" w:hAnsi="Arial Narrow"/>
                <w:b/>
                <w:bCs/>
              </w:rPr>
              <w:t xml:space="preserve">Стало: </w:t>
            </w:r>
            <w:r>
              <w:rPr>
                <w:rFonts w:ascii="Arial Narrow" w:cs="Arial Narrow" w:eastAsia="Arial Narrow" w:hAnsi="Arial Narrow"/>
                <w:i/>
                <w:iCs/>
              </w:rPr>
              <w:t xml:space="preserve">«Все девять проверок пройдены с вердиктами.»</w:t>
            </w:r>
          </w:p>
        </w:tc>
      </w:tr>
    </w:tbl>
    <w:p>
      <w:pPr>
        <w:pStyle w:val="Heading2"/>
        <w:spacing w:after="120" w:before="280"/>
      </w:pPr>
      <w:r>
        <w:t xml:space="preserve">2.7. Паспорт концепции · строка «Статус документа»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100" w:line="280" w:lineRule="auto"/>
            </w:pPr>
            <w:r>
              <w:rPr>
                <w:rFonts w:ascii="Arial Narrow" w:cs="Arial Narrow" w:eastAsia="Arial Narrow" w:hAnsi="Arial Narrow"/>
                <w:b/>
                <w:bCs/>
              </w:rPr>
              <w:t xml:space="preserve">Было: </w:t>
            </w:r>
            <w:r>
              <w:rPr>
                <w:rFonts w:ascii="Arial Narrow" w:cs="Arial Narrow" w:eastAsia="Arial Narrow" w:hAnsi="Arial Narrow"/>
                <w:i/>
                <w:iCs/>
              </w:rPr>
              <w:t xml:space="preserve">«Рабочая редакция 1.5. Ансамбль — 32 позиции; готово 24 из 32 параграфов главы 9. Контуры К0–К4 и К7 закрыты полностью»</w:t>
            </w:r>
          </w:p>
          <w:p>
            <w:pPr>
              <w:spacing w:after="0" w:line="280" w:lineRule="auto"/>
            </w:pPr>
            <w:r>
              <w:rPr>
                <w:rFonts w:ascii="Arial Narrow" w:cs="Arial Narrow" w:eastAsia="Arial Narrow" w:hAnsi="Arial Narrow"/>
                <w:b/>
                <w:bCs/>
              </w:rPr>
              <w:t xml:space="preserve">Стало: </w:t>
            </w:r>
            <w:r>
              <w:rPr>
                <w:rFonts w:ascii="Arial Narrow" w:cs="Arial Narrow" w:eastAsia="Arial Narrow" w:hAnsi="Arial Narrow"/>
                <w:i/>
                <w:iCs/>
              </w:rPr>
              <w:t xml:space="preserve">«Рабочая редакция 1.26. Ансамбль — 32 позиции, все параграфы главы 9 готовы. Точечные изменения редакции 1.26: А-01 — ссылка на «Требования к выходному отчёту» (П1.12 тома II); А-15 — девятая проверка (заявленное свойство противоречит устройству)»</w:t>
            </w:r>
          </w:p>
        </w:tc>
      </w:tr>
    </w:tbl>
    <w:p>
      <w:pPr>
        <w:pStyle w:val="Heading2"/>
        <w:spacing w:after="120" w:before="280"/>
      </w:pPr>
      <w:r>
        <w:t xml:space="preserve">2.8. Обложка</w:t>
      </w:r>
    </w:p>
    <w:p>
      <w:pPr>
        <w:spacing w:after="160" w:line="300" w:lineRule="auto"/>
      </w:pPr>
      <w:r>
        <w:rPr>
          <w:rFonts w:ascii="Arial Narrow" w:cs="Arial Narrow" w:eastAsia="Arial Narrow" w:hAnsi="Arial Narrow"/>
        </w:rPr>
        <w:t xml:space="preserve">«Редакция 1.25 / Июль 2026» → «Редакция 1.26 / Август 2026».</w:t>
      </w:r>
    </w:p>
    <w:p>
      <w:pPr>
        <w:pStyle w:val="Heading1"/>
        <w:spacing w:after="160" w:before="400"/>
      </w:pPr>
      <w:r>
        <w:t xml:space="preserve">3. Состав изменений — Том II (ред. 1.9 → 1.10)</w:t>
      </w:r>
    </w:p>
    <w:p>
      <w:pPr>
        <w:pStyle w:val="Heading2"/>
        <w:spacing w:after="120" w:before="280"/>
      </w:pPr>
      <w:r>
        <w:t xml:space="preserve">3.1. Приложение П1 · преамбула · новый абзац после правила [ФАКТ:]/[ОПЫТ:]/[ДОПУЩЕНИЕ]</w:t>
      </w:r>
    </w:p>
    <w:p>
      <w:pPr>
        <w:spacing w:after="160" w:line="300" w:lineRule="auto"/>
      </w:pPr>
      <w:r>
        <w:rPr>
          <w:rFonts w:ascii="Arial Narrow" w:cs="Arial Narrow" w:eastAsia="Arial Narrow" w:hAnsi="Arial Narrow"/>
          <w:b/>
          <w:bCs/>
        </w:rPr>
        <w:t xml:space="preserve">Добавлено дословно: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EDED" w:color="auto" w:val="clear"/>
            <w:tcMar>
              <w:top w:type="dxa" w:w="120"/>
              <w:left w:type="dxa" w:w="160"/>
              <w:bottom w:type="dxa" w:w="120"/>
              <w:right w:type="dxa" w:w="160"/>
            </w:tcMar>
          </w:tcPr>
          <w:p>
            <w:pPr>
              <w:spacing w:after="0" w:line="280" w:lineRule="auto"/>
            </w:pPr>
            <w:r>
              <w:rPr>
                <w:rFonts w:ascii="Arial Narrow" w:cs="Arial Narrow" w:eastAsia="Arial Narrow" w:hAnsi="Arial Narrow"/>
                <w:i/>
                <w:iCs/>
              </w:rPr>
              <w:t xml:space="preserve">Источник в пометке [ФАКТ: источник] относится к одному из четырёх классов допустимости: A — спецификации, стандарты, исходный код, публично проверяемые данные протокола (для любых технических утверждений); B — рецензируемые публикации, отчёты об инцидентах, воспроизводимые эксперименты (для утверждений о поведении и атаках); C — нормативные акты и сообщения регуляторов (для правовых и институциональных утверждений); D — пресс-релизы, отраслевые СМИ, страницы проектов (годится только как факт события и никогда — как источник числа или механики). Источник класса D делает техническое утверждение недоказанным независимо от его правдоподобия.</w:t>
            </w:r>
          </w:p>
        </w:tc>
      </w:tr>
    </w:tbl>
    <w:p>
      <w:pPr>
        <w:spacing w:after="160" w:line="300" w:lineRule="auto"/>
      </w:pPr>
      <w:r>
        <w:rPr>
          <w:rFonts w:ascii="Arial Narrow" w:cs="Arial Narrow" w:eastAsia="Arial Narrow" w:hAnsi="Arial Narrow"/>
        </w:rPr>
        <w:t xml:space="preserve">Правило общее для всех форм П1.1–П1.12 (стоит один раз в преамбуле, а не дублируется в каждом шаблоне).</w:t>
      </w:r>
    </w:p>
    <w:p>
      <w:pPr>
        <w:pStyle w:val="Heading2"/>
        <w:spacing w:after="120" w:before="280"/>
      </w:pPr>
      <w:r>
        <w:t xml:space="preserve">3.2. Новое приложение П1.12 «Разбор работы (выходной отчёт A-01)»</w:t>
      </w:r>
    </w:p>
    <w:p>
      <w:pPr>
        <w:spacing w:after="160" w:line="300" w:lineRule="auto"/>
      </w:pPr>
      <w:r>
        <w:rPr>
          <w:rFonts w:ascii="Arial Narrow" w:cs="Arial Narrow" w:eastAsia="Arial Narrow" w:hAnsi="Arial Narrow"/>
        </w:rPr>
        <w:t xml:space="preserve">Вставлено между П1.11 «Запись морга» и П2. Полный текст — в самом томе; структура: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BFBFBF" w:sz="4"/>
              <w:left w:val="single" w:color="BFBFBF" w:sz="4"/>
              <w:bottom w:val="single" w:color="BFBFBF" w:sz="4"/>
              <w:right w:val="single" w:color="BFBFBF" w:sz="4"/>
            </w:tcBorders>
            <w:shd w:fill="D9D9D9" w:color="auto" w:val="clear"/>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bCs/>
              </w:rPr>
              <w:t xml:space="preserve">Блок</w:t>
            </w:r>
          </w:p>
        </w:tc>
        <w:tc>
          <w:tcPr>
            <w:tcW w:type="dxa" w:w="3600"/>
            <w:tcBorders>
              <w:top w:val="single" w:color="BFBFBF" w:sz="4"/>
              <w:left w:val="single" w:color="BFBFBF" w:sz="4"/>
              <w:bottom w:val="single" w:color="BFBFBF" w:sz="4"/>
              <w:right w:val="single" w:color="BFBFBF" w:sz="4"/>
            </w:tcBorders>
            <w:shd w:fill="D9D9D9" w:color="auto" w:val="clear"/>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bCs/>
              </w:rPr>
              <w:t xml:space="preserve">Обязательность</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0. Шапка</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1. Что это за работа</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2. Вето</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условно (§6.4 тома II)</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3. Что устояло</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 включая при вето</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4. Возражения, по разрушительности</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 если есть предмет</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5. Один вопрос</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 ровно один</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6. Один шаг</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 ровно один</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7. Оценки по стадиям</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w:t>
            </w:r>
          </w:p>
        </w:tc>
      </w:tr>
      <w:tr>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8. Наставнику</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обязательно</w:t>
            </w:r>
          </w:p>
        </w:tc>
      </w:tr>
    </w:tbl>
    <w:p>
      <w:pPr>
        <w:spacing w:after="160" w:line="300" w:lineRule="auto"/>
      </w:pPr>
      <w:r>
        <w:rPr>
          <w:rFonts w:ascii="Arial Narrow" w:cs="Arial Narrow" w:eastAsia="Arial Narrow" w:hAnsi="Arial Narrow"/>
        </w:rPr>
        <w:t xml:space="preserve">Плюс: правило самопроверки автора перед сдачей, пример «плохо/хорошо», список антипаттернов, два открытых вопроса к методологическому совету (видимость блока «Наставнику» для автора; верхняя граница числа возражений — пока не проверенный на серии разборов ориентир 3–5), ссылка на эталонный экземпляр.</w:t>
      </w:r>
    </w:p>
    <w:p>
      <w:pPr>
        <w:pStyle w:val="Heading2"/>
        <w:spacing w:after="120" w:before="280"/>
      </w:pPr>
      <w:r>
        <w:t xml:space="preserve">3.3. Обложка</w:t>
      </w:r>
    </w:p>
    <w:p>
      <w:pPr>
        <w:spacing w:after="160" w:line="300" w:lineRule="auto"/>
      </w:pPr>
      <w:r>
        <w:rPr>
          <w:rFonts w:ascii="Arial Narrow" w:cs="Arial Narrow" w:eastAsia="Arial Narrow" w:hAnsi="Arial Narrow"/>
        </w:rPr>
        <w:t xml:space="preserve">«Редакция 1.9 / Июль 2026» → «Редакция 1.10 / Август 2026».</w:t>
      </w:r>
    </w:p>
    <w:p>
      <w:pPr>
        <w:pStyle w:val="Heading1"/>
        <w:spacing w:after="160" w:before="400"/>
      </w:pPr>
      <w:r>
        <w:t xml:space="preserve">4. Рассмотрено и отклонено</w:t>
      </w:r>
    </w:p>
    <w:p>
      <w:pPr>
        <w:spacing w:after="160" w:line="300" w:lineRule="auto"/>
      </w:pPr>
      <w:r>
        <w:rPr>
          <w:rFonts w:ascii="Arial Narrow" w:cs="Arial Narrow" w:eastAsia="Arial Narrow" w:hAnsi="Arial Narrow"/>
        </w:rPr>
        <w:t xml:space="preserve">Фиксируется, чтобы не пересматривалось заново без причины.</w:t>
      </w:r>
    </w:p>
    <w:p>
      <w:pPr>
        <w:pStyle w:val="Heading2"/>
        <w:spacing w:after="120" w:before="280"/>
      </w:pPr>
      <w:r>
        <w:t xml:space="preserve">4.1. Добавление в A-12 (Аналогизатор) процедуры переноса из модуля М10 Lightning-методологии — отклонено</w:t>
      </w:r>
    </w:p>
    <w:p>
      <w:pPr>
        <w:spacing w:after="160" w:line="300" w:lineRule="auto"/>
      </w:pPr>
      <w:r>
        <w:rPr>
          <w:rFonts w:ascii="Arial Narrow" w:cs="Arial Narrow" w:eastAsia="Arial Narrow" w:hAnsi="Arial Narrow"/>
        </w:rPr>
        <w:t xml:space="preserve">Предполагалось перенести в А-12 процедуру «вывести механизм из ограничения → проверить ограничение в целевой среде → классифицировать исход». При открытии полного профиля А-12 перед правкой выяснилось: у него уже есть работающая четырёхшаговая процедура («абстрагируй функцию → найди источники → переложи на платёжную область → условия переносимости») с девятью проверяемыми условиями переносимости, структурно эквивалентная тому, что предлагала методология Lightning-анализа. Более ранняя оценка «у А-12 это не расписано» была ошибкой, сделанной без чтения полного профиля агента. Правка не вносилась — она продублировала бы существующий и работающий механизм.</w:t>
      </w:r>
    </w:p>
    <w:p>
      <w:pPr>
        <w:pStyle w:val="Heading2"/>
        <w:spacing w:after="120" w:before="280"/>
      </w:pPr>
      <w:r>
        <w:t xml:space="preserve">4.2. Объединение формата рецензий Anti-Dühring и «методологии им. Е. Г. Соловьева» — отложено</w:t>
      </w:r>
    </w:p>
    <w:p>
      <w:pPr>
        <w:spacing w:after="160" w:line="300" w:lineRule="auto"/>
      </w:pPr>
      <w:r>
        <w:rPr>
          <w:rFonts w:ascii="Arial Narrow" w:cs="Arial Narrow" w:eastAsia="Arial Narrow" w:hAnsi="Arial Narrow"/>
        </w:rPr>
        <w:t xml:space="preserve">Внутри той же программы НСПК параллельно используется независимо выросший формат рецензирования (девять модулей, таблица покрытия в процентах, маршрут доработки из нескольких шагов вместо «одного шага» П1.12). Это решение об институциональной унификации двух практик, а не точечная правка метода, и оно не принималось явочным порядком.</w:t>
      </w:r>
    </w:p>
    <w:p>
      <w:pPr>
        <w:pStyle w:val="Heading1"/>
        <w:spacing w:after="160" w:before="400"/>
      </w:pPr>
      <w:r>
        <w:t xml:space="preserve">5. Значимо для реализации</w:t>
      </w:r>
    </w:p>
    <w:p>
      <w:pPr>
        <w:spacing w:after="160" w:line="300" w:lineRule="auto"/>
      </w:pPr>
      <w:r>
        <w:rPr>
          <w:rFonts w:ascii="Arial Narrow" w:cs="Arial Narrow" w:eastAsia="Arial Narrow" w:hAnsi="Arial Narrow"/>
        </w:rPr>
        <w:t xml:space="preserve">Пункты, которые могут требовать изменений в коде/промптах/инструментах вокруг системы, а не только в тексте тома.</w:t>
      </w:r>
    </w:p>
    <w:p>
      <w:pPr>
        <w:pStyle w:val="ListParagraph"/>
        <w:numPr>
          <w:ilvl w:val="0"/>
          <w:numId w:val="2"/>
        </w:numPr>
        <w:spacing w:after="100" w:line="300" w:lineRule="auto"/>
      </w:pPr>
      <w:r>
        <w:rPr>
          <w:rFonts w:ascii="Arial Narrow" w:cs="Arial Narrow" w:eastAsia="Arial Narrow" w:hAnsi="Arial Narrow"/>
          <w:b/>
          <w:bCs/>
        </w:rPr>
        <w:t xml:space="preserve">Формат вывода A-15 меняется с восьми вердиктов на девять.</w:t>
      </w:r>
      <w:r>
        <w:rPr>
          <w:rFonts w:ascii="Arial Narrow" w:cs="Arial Narrow" w:eastAsia="Arial Narrow" w:hAnsi="Arial Narrow"/>
        </w:rPr>
        <w:t xml:space="preserve"> Любой парсер, шаблон отображения или автоматическая проверка, ожидающие фиксированный вектор из восьми пар «номер проверки → ЧИСТО/ПОДОЗРЕНИЕ/ПОДТВЕРЖДЕНО», должны быть обновлены до девяти. Формат самой пары не изменился.</w:t>
      </w:r>
    </w:p>
    <w:p>
      <w:pPr>
        <w:pStyle w:val="ListParagraph"/>
        <w:numPr>
          <w:ilvl w:val="0"/>
          <w:numId w:val="2"/>
        </w:numPr>
        <w:spacing w:after="100" w:line="300" w:lineRule="auto"/>
      </w:pPr>
      <w:r>
        <w:rPr>
          <w:rFonts w:ascii="Arial Narrow" w:cs="Arial Narrow" w:eastAsia="Arial Narrow" w:hAnsi="Arial Narrow"/>
          <w:b/>
          <w:bCs/>
        </w:rPr>
        <w:t xml:space="preserve">Гейт-условие A-15 изменилось количественно:</w:t>
      </w:r>
      <w:r>
        <w:rPr>
          <w:rFonts w:ascii="Arial Narrow" w:cs="Arial Narrow" w:eastAsia="Arial Narrow" w:hAnsi="Arial Narrow"/>
        </w:rPr>
        <w:t xml:space="preserve"> «все восемь проверок пройдены» → «все девять». Если приёмка результата A-15 автоматизирована (скрипт, рубрика, чек-лист), число нужно поправить в этом месте отдельно от промпта.</w:t>
      </w:r>
    </w:p>
    <w:p>
      <w:pPr>
        <w:pStyle w:val="ListParagraph"/>
        <w:numPr>
          <w:ilvl w:val="0"/>
          <w:numId w:val="2"/>
        </w:numPr>
        <w:spacing w:after="100" w:line="300" w:lineRule="auto"/>
      </w:pPr>
      <w:r>
        <w:rPr>
          <w:rFonts w:ascii="Arial Narrow" w:cs="Arial Narrow" w:eastAsia="Arial Narrow" w:hAnsi="Arial Narrow"/>
          <w:b/>
          <w:bCs/>
        </w:rPr>
        <w:t xml:space="preserve">У A-01 появился внешний обязательный источник.</w:t>
      </w:r>
      <w:r>
        <w:rPr>
          <w:rFonts w:ascii="Arial Narrow" w:cs="Arial Narrow" w:eastAsia="Arial Narrow" w:hAnsi="Arial Narrow"/>
        </w:rPr>
        <w:t xml:space="preserve"> Промпт A-01 больше не самодостаточен для сборки разбора: сборщик контекста (если он существует отдельно от статичного системного промпта) должен подавать A-01 содержимое П1.12 при формировании ответа в режиме М3. Объём вставки — около 700 слов; стоит учитывать в бюджете токенов.</w:t>
      </w:r>
    </w:p>
    <w:p>
      <w:pPr>
        <w:pStyle w:val="ListParagraph"/>
        <w:numPr>
          <w:ilvl w:val="0"/>
          <w:numId w:val="2"/>
        </w:numPr>
        <w:spacing w:after="100" w:line="300" w:lineRule="auto"/>
      </w:pPr>
      <w:r>
        <w:rPr>
          <w:rFonts w:ascii="Arial Narrow" w:cs="Arial Narrow" w:eastAsia="Arial Narrow" w:hAnsi="Arial Narrow"/>
          <w:b/>
          <w:bCs/>
        </w:rPr>
        <w:t xml:space="preserve">Классы источников A/B/C/D — не новый обязательный синтаксис.</w:t>
      </w:r>
      <w:r>
        <w:rPr>
          <w:rFonts w:ascii="Arial Narrow" w:cs="Arial Narrow" w:eastAsia="Arial Narrow" w:hAnsi="Arial Narrow"/>
        </w:rPr>
        <w:t xml:space="preserve"> </w:t>
      </w:r>
      <w:r>
        <w:rPr>
          <w:rFonts w:ascii="Consolas" w:cs="Consolas" w:eastAsia="Consolas" w:hAnsi="Consolas"/>
          <w:sz w:val="20"/>
          <w:szCs w:val="20"/>
        </w:rPr>
        <w:t xml:space="preserve">[ФАКТ: источник]</w:t>
      </w:r>
      <w:r>
        <w:rPr>
          <w:rFonts w:ascii="Arial Narrow" w:cs="Arial Narrow" w:eastAsia="Arial Narrow" w:hAnsi="Arial Narrow"/>
        </w:rPr>
        <w:t xml:space="preserve"> остаётся валидным как раньше; буква класса — не новое поле для парсинга, а критерий качества, который применяют рецензирующие агенты (в первую очередь A-15, A-24) при чтении, а не формальный тег, который обязан присутствовать в тексте.</w:t>
      </w:r>
    </w:p>
    <w:p>
      <w:pPr>
        <w:pStyle w:val="ListParagraph"/>
        <w:numPr>
          <w:ilvl w:val="0"/>
          <w:numId w:val="2"/>
        </w:numPr>
        <w:spacing w:after="100" w:line="300" w:lineRule="auto"/>
      </w:pPr>
      <w:r>
        <w:rPr>
          <w:rFonts w:ascii="Arial Narrow" w:cs="Arial Narrow" w:eastAsia="Arial Narrow" w:hAnsi="Arial Narrow"/>
          <w:b/>
          <w:bCs/>
        </w:rPr>
        <w:t xml:space="preserve">Версионирование файлов.</w:t>
      </w:r>
      <w:r>
        <w:rPr>
          <w:rFonts w:ascii="Arial Narrow" w:cs="Arial Narrow" w:eastAsia="Arial Narrow" w:hAnsi="Arial Narrow"/>
        </w:rPr>
        <w:t xml:space="preserve"> Если сборка или CI берёт номер редакции из имени файла, актуальные имена — </w:t>
      </w:r>
      <w:r>
        <w:rPr>
          <w:rFonts w:ascii="Consolas" w:cs="Consolas" w:eastAsia="Consolas" w:hAnsi="Consolas"/>
          <w:sz w:val="20"/>
          <w:szCs w:val="20"/>
        </w:rPr>
        <w:t xml:space="preserve">..._v1_26.docx</w:t>
      </w:r>
      <w:r>
        <w:rPr>
          <w:rFonts w:ascii="Arial Narrow" w:cs="Arial Narrow" w:eastAsia="Arial Narrow" w:hAnsi="Arial Narrow"/>
        </w:rPr>
        <w:t xml:space="preserve"> и </w:t>
      </w:r>
      <w:r>
        <w:rPr>
          <w:rFonts w:ascii="Consolas" w:cs="Consolas" w:eastAsia="Consolas" w:hAnsi="Consolas"/>
          <w:sz w:val="20"/>
          <w:szCs w:val="20"/>
        </w:rPr>
        <w:t xml:space="preserve">..._v1_10.docx</w:t>
      </w:r>
      <w:r>
        <w:rPr>
          <w:rFonts w:ascii="Arial Narrow" w:cs="Arial Narrow" w:eastAsia="Arial Narrow" w:hAnsi="Arial Narrow"/>
        </w:rPr>
        <w:t xml:space="preserve"> (ранее </w:t>
      </w:r>
      <w:r>
        <w:rPr>
          <w:rFonts w:ascii="Consolas" w:cs="Consolas" w:eastAsia="Consolas" w:hAnsi="Consolas"/>
          <w:sz w:val="20"/>
          <w:szCs w:val="20"/>
        </w:rPr>
        <w:t xml:space="preserve">_v1_25</w:t>
      </w:r>
      <w:r>
        <w:rPr>
          <w:rFonts w:ascii="Arial Narrow" w:cs="Arial Narrow" w:eastAsia="Arial Narrow" w:hAnsi="Arial Narrow"/>
        </w:rPr>
        <w:t xml:space="preserve">, </w:t>
      </w:r>
      <w:r>
        <w:rPr>
          <w:rFonts w:ascii="Consolas" w:cs="Consolas" w:eastAsia="Consolas" w:hAnsi="Consolas"/>
          <w:sz w:val="20"/>
          <w:szCs w:val="20"/>
        </w:rPr>
        <w:t xml:space="preserve">_v1_9</w:t>
      </w:r>
      <w:r>
        <w:rPr>
          <w:rFonts w:ascii="Arial Narrow" w:cs="Arial Narrow" w:eastAsia="Arial Narrow" w:hAnsi="Arial Narrow"/>
        </w:rPr>
        <w:t xml:space="preserve">).</w:t>
      </w:r>
    </w:p>
    <w:p>
      <w:pPr>
        <w:pStyle w:val="ListParagraph"/>
        <w:numPr>
          <w:ilvl w:val="0"/>
          <w:numId w:val="2"/>
        </w:numPr>
        <w:spacing w:after="100" w:line="300" w:lineRule="auto"/>
      </w:pPr>
      <w:r>
        <w:rPr>
          <w:rFonts w:ascii="Arial Narrow" w:cs="Arial Narrow" w:eastAsia="Arial Narrow" w:hAnsi="Arial Narrow"/>
          <w:b/>
          <w:bCs/>
        </w:rPr>
        <w:t xml:space="preserve">Не переименовано и не перенумеровано:</w:t>
      </w:r>
      <w:r>
        <w:rPr>
          <w:rFonts w:ascii="Arial Narrow" w:cs="Arial Narrow" w:eastAsia="Arial Narrow" w:hAnsi="Arial Narrow"/>
        </w:rPr>
        <w:t xml:space="preserve"> ни один агент, ни одна стадия (S0–S9), ни один гейт (G0–G8), ни один номер главы. Правки не меняют ничего, на что уже могли ссылаться внешние промпты или документация, кроме двух точек, перечисленных выше.</w:t>
      </w:r>
    </w:p>
    <w:p>
      <w:pPr>
        <w:pStyle w:val="Heading1"/>
        <w:spacing w:after="160" w:before="400"/>
      </w:pPr>
      <w:r>
        <w:t xml:space="preserve">6. Таблица прослеживаемости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BFBFBF" w:sz="4"/>
              <w:left w:val="single" w:color="BFBFBF" w:sz="4"/>
              <w:bottom w:val="single" w:color="BFBFBF" w:sz="4"/>
              <w:right w:val="single" w:color="BFBFBF" w:sz="4"/>
            </w:tcBorders>
            <w:shd w:fill="D9D9D9" w:color="auto" w:val="clear"/>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bCs/>
              </w:rPr>
              <w:t xml:space="preserve">Изменение</w:t>
            </w:r>
          </w:p>
        </w:tc>
        <w:tc>
          <w:tcPr>
            <w:tcW w:type="dxa" w:w="5040"/>
            <w:tcBorders>
              <w:top w:val="single" w:color="BFBFBF" w:sz="4"/>
              <w:left w:val="single" w:color="BFBFBF" w:sz="4"/>
              <w:bottom w:val="single" w:color="BFBFBF" w:sz="4"/>
              <w:right w:val="single" w:color="BFBFBF" w:sz="4"/>
            </w:tcBorders>
            <w:shd w:fill="D9D9D9" w:color="auto" w:val="clear"/>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bCs/>
              </w:rPr>
              <w:t xml:space="preserve">Источник / основание</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П1.12, структура из восьми блоков</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«Разбор работы: Верифейс» (реверс-инжиниринг) + §2.3, §9.0.2, §9.0.3 тома I; §6.1, §6.4 тома II</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Классы источников A/B/C/D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«Методология анализа Lightning Network», ред. 2.0, принцип 1.6</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Фаза самопроверки + «непроверенное как непроверенное»</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Там же: «Фаза 8. Самопроверка по рубрике» и заключительная формула редакции 2.0</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A-15, девятая проверка</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Независимо: Верифейс (Возражение 1); Lightning-методология, модуль М12.3; «Рецензия на отчёт по практике Lightning ПКСК», раздел 10</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Ссылка на контрольную точку 9 (форум) в блоке «Наставнику» П1.12</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Уже существующее правило, глава 4 тома I — добавлена только явная ссылка, само правило не менялось</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Исправление статуса паспорта (24/32 → 32/32)</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lineRule="auto"/>
              <w:jc w:val="left"/>
            </w:pPr>
            <w:r>
              <w:rPr>
                <w:rFonts w:ascii="Arial Narrow" w:cs="Arial Narrow" w:eastAsia="Arial Narrow" w:hAnsi="Arial Narrow"/>
                <w:b w:val="false"/>
                <w:bCs w:val="false"/>
              </w:rPr>
              <w:t xml:space="preserve">Обнаружено при первом чтении тома I, до остальных правок этой сессии</w:t>
            </w:r>
          </w:p>
        </w:tc>
      </w:tr>
    </w:tbl>
    <w:p>
      <w:pPr>
        <w:pStyle w:val="Heading1"/>
        <w:spacing w:after="160" w:before="400"/>
      </w:pPr>
      <w:r>
        <w:t xml:space="preserve">7. Проверка</w:t>
      </w:r>
    </w:p>
    <w:p>
      <w:pPr>
        <w:pStyle w:val="ListParagraph"/>
        <w:numPr>
          <w:ilvl w:val="0"/>
          <w:numId w:val="2"/>
        </w:numPr>
        <w:spacing w:after="100" w:line="300" w:lineRule="auto"/>
      </w:pPr>
      <w:r>
        <w:rPr>
          <w:rFonts w:ascii="Arial Narrow" w:cs="Arial Narrow" w:eastAsia="Arial Narrow" w:hAnsi="Arial Narrow"/>
        </w:rPr>
        <w:t xml:space="preserve">Обе редакции успешно открываются и рендерятся (LibreOffice, экспорт в PDF без ошибок).</w:t>
      </w:r>
    </w:p>
    <w:p>
      <w:pPr>
        <w:pStyle w:val="ListParagraph"/>
        <w:numPr>
          <w:ilvl w:val="0"/>
          <w:numId w:val="2"/>
        </w:numPr>
        <w:spacing w:after="100" w:line="300" w:lineRule="auto"/>
      </w:pPr>
      <w:r>
        <w:rPr>
          <w:rFonts w:ascii="Arial Narrow" w:cs="Arial Narrow" w:eastAsia="Arial Narrow" w:hAnsi="Arial Narrow"/>
        </w:rPr>
        <w:t xml:space="preserve">Число параграфов: том I 2621→2623 (+2 новых, остальные правки — замена текста внутри существующих); том II 1871→1900 (+29, за счёт таблицы и текста П1.12).</w:t>
      </w:r>
    </w:p>
    <w:p>
      <w:pPr>
        <w:pStyle w:val="ListParagraph"/>
        <w:numPr>
          <w:ilvl w:val="0"/>
          <w:numId w:val="2"/>
        </w:numPr>
        <w:spacing w:after="100" w:line="300" w:lineRule="auto"/>
      </w:pPr>
      <w:r>
        <w:rPr>
          <w:rFonts w:ascii="Arial Narrow" w:cs="Arial Narrow" w:eastAsia="Arial Narrow" w:hAnsi="Arial Narrow"/>
        </w:rPr>
        <w:t xml:space="preserve">XSD-проверка находит несколько ошибок пакетирования (styles.xml, numbering.xml, document.xml, settings.xml) в обеих редакциях — идентичные по типу ошибки присутствуют и в нетронутых оригиналах (проверено сравнением), то есть это унаследованная особенность исходных файлов, не следствие этой правки.</w:t>
      </w:r>
    </w:p>
    <w:p>
      <w:pPr>
        <w:pStyle w:val="ListParagraph"/>
        <w:numPr>
          <w:ilvl w:val="0"/>
          <w:numId w:val="2"/>
        </w:numPr>
        <w:spacing w:after="100" w:line="300" w:lineRule="auto"/>
      </w:pPr>
      <w:r>
        <w:rPr>
          <w:rFonts w:ascii="Arial Narrow" w:cs="Arial Narrow" w:eastAsia="Arial Narrow" w:hAnsi="Arial Narrow"/>
        </w:rPr>
        <w:t xml:space="preserve">Каждая вставка проверена визуально (постранично, рендер в PDF) на месте до публикации.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abstractNum w:abstractNumId="3" w15:restartNumberingAfterBreak="0">
    <w:multiLevelType w:val="hybridMultilevel"/>
    <w:lvl w:ilvl="0" w15:tentative="1">
      <w:start w:val="1"/>
      <w:numFmt w:val="decimal"/>
      <w:lvlText w:val="%1."/>
      <w:lvlJc w:val="left"/>
      <w:pPr>
        <w:ind w:left="460" w:hanging="34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pPr>
    <w:rPr>
      <w:rFonts w:ascii="Arial Narrow" w:cs="Arial Narrow" w:eastAsia="Arial Narrow" w:hAnsi="Arial Narrow"/>
      <w:b/>
      <w:bCs/>
      <w:color w:val="000000"/>
      <w:sz w:val="32"/>
      <w:szCs w:val="32"/>
    </w:rPr>
  </w:style>
  <w:style w:type="paragraph" w:styleId="Heading2">
    <w:name w:val="Heading 2"/>
    <w:basedOn w:val="Normal"/>
    <w:next w:val="Normal"/>
    <w:qFormat/>
    <w:pPr>
      <w:keepNext/>
      <w:spacing w:after="120" w:before="280"/>
    </w:pPr>
    <w:rPr>
      <w:rFonts w:ascii="Arial Narrow" w:cs="Arial Narrow" w:eastAsia="Arial Narrow" w:hAnsi="Arial Narrow"/>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2026-08-07T03:10:39.691Z</dcterms:created>
  <dcterms:modified xsi:type="dcterms:W3CDTF">2026-08-07T03:10:39.704Z</dcterms:modified>
</cp:coreProperties>
</file>

<file path=docProps/custom.xml><?xml version="1.0" encoding="utf-8"?>
<Properties xmlns="http://schemas.openxmlformats.org/officeDocument/2006/custom-properties" xmlns:vt="http://schemas.openxmlformats.org/officeDocument/2006/docPropsVTypes"/>
</file>