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Демонстрационная учебная работа</w:t>
      </w:r>
    </w:p>
    <w:p>
      <w:pPr>
        <w:pStyle w:val="Heading2"/>
      </w:pPr>
      <w:r>
        <w:t>2. Методы исследования</w:t>
      </w:r>
    </w:p>
    <w:p>
      <w:r>
        <w:t>Для анализа был использован сравнительный подход. Работа описывает структуру решения, целевую аудиторию и ожидаемый эффект внедрения.</w:t>
      </w:r>
    </w:p>
    <w:p>
      <w:r>
        <w:t>В разделе методологии требуется подробнее раскрыть критерии оценки и способ интерпретации результатов.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