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Idea de nuestra misión secundaria estándar, hipótesis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del trabajo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 llama rayos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ultravioleta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 radiación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UV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 la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radiación electromagnéticas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cuya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longitud de onda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está comprendida aproximadamente entre los 10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nm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(10x10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vertAlign w:val="superscript"/>
          <w:rtl w:val="0"/>
        </w:rPr>
        <w:t xml:space="preserve">−9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y los 400 nm (400 x 10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vertAlign w:val="superscript"/>
          <w:rtl w:val="0"/>
        </w:rPr>
        <w:t xml:space="preserve">−9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m). Su nombre proviene de que su rango empieza desde longitudes de onda más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cortas de lo que nosotros  los humanos identificamos como el color 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violeta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pero dicha luz o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longitud de onda, es invisible al ojo humano al estar por encima del espectro visible. Esta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radiación es parte integrante de los rayos solares y produce varios efectos en la salud al ser una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radiación entre no-ionizante e ionizante.</w:t>
      </w:r>
      <w:r w:rsidDel="00000000" w:rsidR="00000000" w:rsidRPr="00000000">
        <w:rPr>
          <w:rtl w:val="0"/>
        </w:rPr>
        <w:t xml:space="preserve">Nuestra misión secundaria se trataba de poder medir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rayos ultravioletas con un sensor de rayos ultravioleta para poder observar los niveles de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rayos ultravioletas que salen del sor para completar la misión y un logro para nosotros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Esto es un rayo ultravioleta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247650</wp:posOffset>
            </wp:positionV>
            <wp:extent cx="1371600" cy="18621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Nuestro montaje experimental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Nuestro montaje experimental en el cohete se compone de tres sensores en el cohete para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poder observar en el ordenador el grado de rayos ultravioletas que caen a la tierra.Si el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paracaídas o el cohete tapa uno de los sensores  que el resto pueda calcular los rayos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ultravioletas para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 caen a la tierra y observar el nivel el nivel de rayos ultravioleta.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es.wikipedia.org/wiki/Violeta_(color)" TargetMode="External"/><Relationship Id="rId9" Type="http://schemas.openxmlformats.org/officeDocument/2006/relationships/hyperlink" Target="https://es.wikipedia.org/wiki/Me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Radiaci%C3%B3n_electromagn%C3%A9tica" TargetMode="External"/><Relationship Id="rId7" Type="http://schemas.openxmlformats.org/officeDocument/2006/relationships/hyperlink" Target="https://es.wikipedia.org/wiki/Longitud_de_onda" TargetMode="External"/><Relationship Id="rId8" Type="http://schemas.openxmlformats.org/officeDocument/2006/relationships/hyperlink" Target="https://es.wikipedia.org/wiki/Nan%C3%B3me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